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BF0354" w:rsidRDefault="00BF7EB9" w:rsidP="00111AC6">
      <w:pPr>
        <w:pStyle w:val="Untertitel"/>
        <w:rPr>
          <w:b/>
        </w:rPr>
      </w:pPr>
      <w:r>
        <w:rPr>
          <w:noProof/>
        </w:rPr>
        <mc:AlternateContent>
          <mc:Choice Requires="wps">
            <w:drawing>
              <wp:anchor distT="0" distB="0" distL="114300" distR="114300" simplePos="0" relativeHeight="251658240" behindDoc="0" locked="0" layoutInCell="1" allowOverlap="1" wp14:anchorId="6A8AD3C8" wp14:editId="6AEB8E8C">
                <wp:simplePos x="0" y="0"/>
                <wp:positionH relativeFrom="column">
                  <wp:align>center</wp:align>
                </wp:positionH>
                <wp:positionV relativeFrom="margin">
                  <wp:posOffset>0</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800" cy="4676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41CA" w:rsidRPr="00BF0354" w:rsidRDefault="002A41CA" w:rsidP="00BF0354">
                            <w:pPr>
                              <w:pStyle w:val="Titel"/>
                            </w:pPr>
                            <w:r w:rsidRPr="00246654">
                              <w:rPr>
                                <w:i/>
                              </w:rPr>
                              <w:t>ProSekKa</w:t>
                            </w:r>
                            <w:r>
                              <w:t xml:space="preserve"> – Prognose der Sonneneinstrahlung mit einer kostengünstigen Kamera</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6A8AD3C8" id="_x0000_t202" coordsize="21600,21600" o:spt="202" path="m,l,21600r21600,l21600,xe">
                <v:stroke joinstyle="miter"/>
                <v:path gradientshapeok="t" o:connecttype="rect"/>
              </v:shapetype>
              <v:shape id="Textfeld 1" o:spid="_x0000_s1026" type="#_x0000_t202" style="position:absolute;left:0;text-align:left;margin-left:0;margin-top:0;width:424.6pt;height:368.2pt;z-index:251658240;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" filled="f" stroked="f">
                <v:textbox inset="0,0,0,0">
                  <w:txbxContent>
                    <w:p w:rsidR="002A41CA" w:rsidRPr="00BF0354" w:rsidRDefault="002A41CA" w:rsidP="00BF0354">
                      <w:pPr>
                        <w:pStyle w:val="Titel"/>
                      </w:pPr>
                      <w:r w:rsidRPr="00246654">
                        <w:rPr>
                          <w:i/>
                        </w:rPr>
                        <w:t>ProSekKa</w:t>
                      </w:r>
                      <w:r>
                        <w:t xml:space="preserve"> – Prognose der Sonneneinstrahlung mit einer kostengünstigen Kamera</w:t>
                      </w:r>
                    </w:p>
                  </w:txbxContent>
                </v:textbox>
                <w10:wrap anchory="margin"/>
              </v:shape>
            </w:pict>
          </mc:Fallback>
        </mc:AlternateContent>
      </w:r>
      <w:r>
        <w:rPr>
          <w:noProof/>
        </w:rPr>
        <mc:AlternateContent>
          <mc:Choice Requires="wps">
            <w:drawing>
              <wp:anchor distT="0" distB="0" distL="114300" distR="114300" simplePos="0" relativeHeight="251662336" behindDoc="0" locked="0" layoutInCell="1" allowOverlap="1" wp14:anchorId="68A25106" wp14:editId="360B4CB7">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41CA" w:rsidRDefault="002A41CA" w:rsidP="00BF7EB9">
                            <w:pPr>
                              <w:pStyle w:val="Untertitel"/>
                              <w:rPr>
                                <w:b/>
                              </w:rPr>
                            </w:pPr>
                            <w:r>
                              <w:rPr>
                                <w:b/>
                              </w:rPr>
                              <w:t>MSE - Masterthesis</w:t>
                            </w:r>
                          </w:p>
                          <w:p w:rsidR="002A41CA" w:rsidRPr="00BF0354" w:rsidRDefault="002A41CA" w:rsidP="00BF7EB9">
                            <w:pPr>
                              <w:pStyle w:val="Untertitel"/>
                            </w:pPr>
                            <w:r w:rsidRPr="00BF0354">
                              <w:t>im Studiengang</w:t>
                            </w:r>
                            <w:r w:rsidRPr="00BF0354">
                              <w:br/>
                            </w:r>
                            <w:r>
                              <w:t>Elektro- und Informationstechnik</w:t>
                            </w:r>
                          </w:p>
                          <w:p w:rsidR="002A41CA" w:rsidRDefault="002A41CA" w:rsidP="005D26BD">
                            <w:pPr>
                              <w:pStyle w:val="Untertitel"/>
                            </w:pPr>
                            <w:r>
                              <w:t>vorgelegt von</w:t>
                            </w:r>
                          </w:p>
                          <w:p w:rsidR="002A41CA" w:rsidRDefault="002A41CA" w:rsidP="00BA7590">
                            <w:pPr>
                              <w:pStyle w:val="Untertitel"/>
                            </w:pPr>
                            <w:r>
                              <w:rPr>
                                <w:b/>
                              </w:rPr>
                              <w:t>Attila Horvath</w:t>
                            </w:r>
                            <w:r>
                              <w:rPr>
                                <w:b/>
                              </w:rPr>
                              <w:br/>
                            </w:r>
                          </w:p>
                          <w:p w:rsidR="002A41CA" w:rsidRPr="00BA7590" w:rsidRDefault="002A41CA"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68A25106" id="Textfeld 9" o:spid="_x0000_s1027" type="#_x0000_t202" style="position:absolute;left:0;text-align:left;margin-left:0;margin-top:368.55pt;width:425.2pt;height:281.6pt;z-index:251662336;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" filled="f" stroked="f">
                <v:textbox inset="0,0,0,0">
                  <w:txbxContent>
                    <w:p w:rsidR="002A41CA" w:rsidRDefault="002A41CA" w:rsidP="00BF7EB9">
                      <w:pPr>
                        <w:pStyle w:val="Untertitel"/>
                        <w:rPr>
                          <w:b/>
                        </w:rPr>
                      </w:pPr>
                      <w:r>
                        <w:rPr>
                          <w:b/>
                        </w:rPr>
                        <w:t>MSE - Masterthesis</w:t>
                      </w:r>
                    </w:p>
                    <w:p w:rsidR="002A41CA" w:rsidRPr="00BF0354" w:rsidRDefault="002A41CA" w:rsidP="00BF7EB9">
                      <w:pPr>
                        <w:pStyle w:val="Untertitel"/>
                      </w:pPr>
                      <w:r w:rsidRPr="00BF0354">
                        <w:t>im Studiengang</w:t>
                      </w:r>
                      <w:r w:rsidRPr="00BF0354">
                        <w:br/>
                      </w:r>
                      <w:r>
                        <w:t>Elektro- und Informationstechnik</w:t>
                      </w:r>
                    </w:p>
                    <w:p w:rsidR="002A41CA" w:rsidRDefault="002A41CA" w:rsidP="005D26BD">
                      <w:pPr>
                        <w:pStyle w:val="Untertitel"/>
                      </w:pPr>
                      <w:r>
                        <w:t>vorgelegt von</w:t>
                      </w:r>
                    </w:p>
                    <w:p w:rsidR="002A41CA" w:rsidRDefault="002A41CA" w:rsidP="00BA7590">
                      <w:pPr>
                        <w:pStyle w:val="Untertitel"/>
                      </w:pPr>
                      <w:r>
                        <w:rPr>
                          <w:b/>
                        </w:rPr>
                        <w:t>Attila Horvath</w:t>
                      </w:r>
                      <w:r>
                        <w:rPr>
                          <w:b/>
                        </w:rPr>
                        <w:br/>
                      </w:r>
                    </w:p>
                    <w:p w:rsidR="002A41CA" w:rsidRPr="00BA7590" w:rsidRDefault="002A41CA" w:rsidP="00BA7590">
                      <w:pPr>
                        <w:pStyle w:val="Untertitel"/>
                        <w:rPr>
                          <w:b/>
                        </w:rPr>
                      </w:pPr>
                      <w:r>
                        <w:t>am 01.02 2019</w:t>
                      </w:r>
                      <w:r w:rsidRPr="005D26BD">
                        <w:t xml:space="preserve"> </w:t>
                      </w:r>
                      <w:r>
                        <w:br/>
                        <w:t xml:space="preserve">an </w:t>
                      </w:r>
                      <w:r w:rsidRPr="00BF0354">
                        <w:t xml:space="preserve">der Hochschule </w:t>
                      </w:r>
                      <w:r>
                        <w:t>Luzern Technik &amp; Architektur</w:t>
                      </w:r>
                    </w:p>
                  </w:txbxContent>
                </v:textbox>
                <w10:wrap anchory="margin"/>
              </v:shape>
            </w:pict>
          </mc:Fallback>
        </mc:AlternateContent>
      </w:r>
      <w:r w:rsidR="00BA7590">
        <w:rPr>
          <w:noProof/>
        </w:rPr>
        <mc:AlternateContent>
          <mc:Choice Requires="wps">
            <w:drawing>
              <wp:anchor distT="0" distB="0" distL="114300" distR="114300" simplePos="0" relativeHeight="251664384" behindDoc="0" locked="0" layoutInCell="1" allowOverlap="1" wp14:anchorId="5BDA6D4F" wp14:editId="65A04D65">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41CA" w:rsidRPr="00BF0354" w:rsidRDefault="002A41CA" w:rsidP="00C969F6">
                            <w:pPr>
                              <w:pStyle w:val="Untertitel"/>
                              <w:tabs>
                                <w:tab w:val="left" w:pos="2835"/>
                              </w:tabs>
                              <w:spacing w:before="0"/>
                              <w:jc w:val="left"/>
                            </w:pPr>
                            <w:r>
                              <w:t xml:space="preserve">Erstprüfer/in: </w:t>
                            </w:r>
                            <w:r>
                              <w:tab/>
                              <w:t>Prof. Dr. Do Kument-Vorlage</w:t>
                            </w:r>
                            <w:r>
                              <w:br/>
                              <w:t xml:space="preserve">Zweitprüfer/in: </w:t>
                            </w:r>
                            <w:r>
                              <w:tab/>
                              <w:t>Prof. Winnie Word Ph.D.</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5BDA6D4F" id="Textfeld 10" o:spid="_x0000_s1028" type="#_x0000_t202" style="position:absolute;left:0;text-align:left;margin-left:0;margin-top:0;width:425.2pt;height:61.05pt;z-index:251664384;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" filled="f" stroked="f">
                <v:textbox inset="10mm,0,0,0">
                  <w:txbxContent>
                    <w:p w:rsidR="002A41CA" w:rsidRPr="00BF0354" w:rsidRDefault="002A41CA" w:rsidP="00C969F6">
                      <w:pPr>
                        <w:pStyle w:val="Untertitel"/>
                        <w:tabs>
                          <w:tab w:val="left" w:pos="2835"/>
                        </w:tabs>
                        <w:spacing w:before="0"/>
                        <w:jc w:val="left"/>
                      </w:pPr>
                      <w:r>
                        <w:t xml:space="preserve">Erstprüfer/in: </w:t>
                      </w:r>
                      <w:r>
                        <w:tab/>
                        <w:t>Prof. Dr. Do Kument-Vorlage</w:t>
                      </w:r>
                      <w:r>
                        <w:br/>
                        <w:t xml:space="preserve">Zweitprüfer/in: </w:t>
                      </w:r>
                      <w:r>
                        <w:tab/>
                        <w:t>Prof. Winnie Word Ph.D.</w:t>
                      </w:r>
                    </w:p>
                  </w:txbxContent>
                </v:textbox>
                <w10:wrap anchory="margin"/>
              </v:shape>
            </w:pict>
          </mc:Fallback>
        </mc:AlternateContent>
      </w:r>
    </w:p>
    <w:p w:rsidR="00C969F6" w:rsidRDefault="00C969F6">
      <w:pPr>
        <w:pStyle w:val="berschrift1"/>
        <w:numPr>
          <w:ilvl w:val="0"/>
          <w:numId w:val="0"/>
        </w:numPr>
      </w:pPr>
      <w:bookmarkStart w:id="0" w:name="_Ref491742389"/>
      <w:bookmarkStart w:id="1" w:name="_Toc531888898"/>
      <w:r>
        <w:lastRenderedPageBreak/>
        <w:t>Ehrenwörtliche Erklärung</w:t>
      </w:r>
      <w:bookmarkEnd w:id="1"/>
    </w:p>
    <w:p w:rsidR="00C969F6" w:rsidRDefault="00C969F6" w:rsidP="00C969F6">
      <w:r>
        <w:t>„Hiermit versichere ich, &lt;Vorname&gt; &lt;Nachname&gt;, ehrenwörtlich, dass ich die vorliegende Bachelorarbeit (bzw. Masterarbeit) mit dem Titel: „&lt;Titel der Arbeit wie auf dem Deckblatt angegeben&gt;“ selbstständig und ohne fremde Hilfe verfasst und keine anderen als die angegebenen Hilfsmittel benutzt habe. Die Stellen der Arbeit, die dem Wortlaut oder dem Sinn nach anderen Werken entnommen wurden, sind in jedem Fall unter Angabe der Quelle kenntlich gemacht. Die Arbeit ist noch nicht veröffentlicht oder in anderer Form als Prüfungsleistung vorgelegt worden.</w:t>
      </w:r>
    </w:p>
    <w:p w:rsidR="00C969F6" w:rsidRDefault="00C969F6" w:rsidP="00C969F6">
      <w:r>
        <w:t>Ich habe die Bedeutung der ehrenwörtlichen Versicherung und die prüfungsrechtlichen Folgen (§ 26 Abs. 2 Bachelor-SPO (6 Semester), § 24 Abs. 2 Bachelor-SPO (7 Semester), § 23 Abs. 2 Master-SPO (3 Semester) bzw. § 19 Abs. 2 Master-SPO (4 Semester und berufsbegleitend) der HdM) einer unrichtigen oder unvollständigen ehrenwörtlichen Versicherung zur Kenntnis genommen.“</w:t>
      </w:r>
    </w:p>
    <w:p w:rsidR="00C969F6" w:rsidRPr="00C969F6" w:rsidRDefault="00C969F6" w:rsidP="00C969F6">
      <w:r>
        <w:t>&lt;</w:t>
      </w:r>
      <w:r w:rsidR="00A35092">
        <w:t xml:space="preserve">Ort, Datum, </w:t>
      </w:r>
      <w:r>
        <w:t>Unterschrift&gt;</w:t>
      </w:r>
    </w:p>
    <w:p w:rsidR="00284FA6" w:rsidRDefault="00284FA6">
      <w:pPr>
        <w:pStyle w:val="berschrift1"/>
        <w:numPr>
          <w:ilvl w:val="0"/>
          <w:numId w:val="0"/>
        </w:numPr>
      </w:pPr>
      <w:bookmarkStart w:id="2" w:name="_Toc531888899"/>
      <w:r>
        <w:lastRenderedPageBreak/>
        <w:t>Kurzfassung</w:t>
      </w:r>
      <w:bookmarkEnd w:id="0"/>
      <w:bookmarkEnd w:id="2"/>
    </w:p>
    <w:p w:rsidR="00284FA6" w:rsidRDefault="00284FA6">
      <w:r>
        <w:t xml:space="preserve">Gegenstand der hier vorgestellten Arbeit ist eine Dokumentvorlage für </w:t>
      </w:r>
      <w:r w:rsidR="00080B9A">
        <w:t>Abschluss</w:t>
      </w:r>
      <w:r>
        <w:t xml:space="preserve">arbeiten und andere wissenschaftliche Arbeiten (z.B. </w:t>
      </w:r>
      <w:r w:rsidR="00080B9A">
        <w:t xml:space="preserve">Bachelorarbeiten, </w:t>
      </w:r>
      <w:r>
        <w:t>Masterarbeiten</w:t>
      </w:r>
      <w:r w:rsidR="00E016C0">
        <w:t xml:space="preserve">, </w:t>
      </w:r>
      <w:r w:rsidR="00340216">
        <w:t>Diplom</w:t>
      </w:r>
      <w:r w:rsidR="00583AA1">
        <w:t>arbeiten</w:t>
      </w:r>
      <w:r>
        <w:t xml:space="preserve"> und</w:t>
      </w:r>
      <w:r w:rsidR="00080B9A">
        <w:t xml:space="preserve"> Studienarbeiten</w:t>
      </w:r>
      <w:r>
        <w:t xml:space="preserve">) an der Hochschule der Medien (HdM) Stuttgart. Die Dokumentvorlage basiert auf den Richtlinien zur Erstellung von </w:t>
      </w:r>
      <w:r w:rsidR="00583AA1">
        <w:t>Abschlussarbeiten</w:t>
      </w:r>
      <w:r>
        <w:t xml:space="preserve"> </w:t>
      </w:r>
      <w:r w:rsidR="00E016C0">
        <w:t>in</w:t>
      </w:r>
      <w:r>
        <w:t xml:space="preserve"> </w:t>
      </w:r>
      <w:r w:rsidR="00E016C0">
        <w:t>der Fakultät</w:t>
      </w:r>
      <w:r>
        <w:t xml:space="preserve"> Information und Kommunikation, sie ist aber ohne weiteres über den Fachbereich hinaus innerhalb und außerhalb unserer Hochschule nutzbar und kann für eine Vielzahl wissenschaftlicher Arbeiten und Berichte verwendet werden. Die Dokumentvorlage stellt ein Angebot dar, das von den Studierenden genutzt werden kann, dessen Verwendung an der HdM aber nicht verpflichtend ist. Die existierenden Regelungen zu </w:t>
      </w:r>
      <w:r w:rsidR="00E016C0">
        <w:t>Abschluss</w:t>
      </w:r>
      <w:r>
        <w:t xml:space="preserve">arbeiten bleiben dabei unberührt. Diese Dokumentvorlage wurde zur Verwendung im Textverarbeitungssystem Microsoft Word erstellt. Die hier vorliegende Arbeit ist selbst mit dieser Dokumentvorlage geschrieben und kann in formaler Hinsicht als Muster für die Abfassung von </w:t>
      </w:r>
      <w:r w:rsidR="00E016C0">
        <w:t>wissenschaftlichen A</w:t>
      </w:r>
      <w:r>
        <w:t xml:space="preserve">rbeiten verwendet werden. Auf diese Weise lässt sich die Einhaltung der für </w:t>
      </w:r>
      <w:r w:rsidR="00E016C0">
        <w:t>wissenschaftliche A</w:t>
      </w:r>
      <w:r>
        <w:t xml:space="preserve">rbeiten geltenden Formatvorgaben weitgehend automatisieren, wodurch sich die Qualität der </w:t>
      </w:r>
      <w:r w:rsidR="00E016C0">
        <w:t>wissenschaftlichen A</w:t>
      </w:r>
      <w:r>
        <w:t>rbeiten hinsichtlich formaler Kriterien erhöht und sich der Beratungsaufwand verringert.</w:t>
      </w:r>
    </w:p>
    <w:p w:rsidR="00284FA6" w:rsidRDefault="00284FA6">
      <w:r>
        <w:rPr>
          <w:b/>
        </w:rPr>
        <w:t>Schlagwörter</w:t>
      </w:r>
      <w:r>
        <w:t xml:space="preserve">: Dokumentvorlage, wissenschaftliche Arbeit, </w:t>
      </w:r>
      <w:r w:rsidR="00CE73C2">
        <w:t xml:space="preserve">Bachelorarbeit, Masterarbeit, Diplomarbeit, </w:t>
      </w:r>
      <w:r>
        <w:t>Hochschule, Textverarbeitungssystem, Microsoft Word</w:t>
      </w:r>
    </w:p>
    <w:p w:rsidR="00284FA6" w:rsidRDefault="00284FA6">
      <w:pPr>
        <w:pStyle w:val="berschrift1"/>
        <w:pageBreakBefore w:val="0"/>
        <w:numPr>
          <w:ilvl w:val="0"/>
          <w:numId w:val="0"/>
        </w:numPr>
        <w:rPr>
          <w:lang w:val="en-GB"/>
        </w:rPr>
      </w:pPr>
      <w:bookmarkStart w:id="3" w:name="_Ref491691319"/>
      <w:bookmarkStart w:id="4" w:name="_Toc531888900"/>
      <w:r>
        <w:rPr>
          <w:lang w:val="en-GB"/>
        </w:rPr>
        <w:t>Abstract</w:t>
      </w:r>
      <w:bookmarkEnd w:id="3"/>
      <w:bookmarkEnd w:id="4"/>
      <w:r>
        <w:rPr>
          <w:lang w:val="en-GB"/>
        </w:rPr>
        <w:t xml:space="preserve"> </w:t>
      </w:r>
    </w:p>
    <w:p w:rsidR="00284FA6" w:rsidRDefault="00284FA6">
      <w:pPr>
        <w:rPr>
          <w:lang w:val="en-GB"/>
        </w:rPr>
      </w:pPr>
      <w:r>
        <w:rPr>
          <w:lang w:val="en-GB"/>
        </w:rPr>
        <w:t>A style sheet for theses (e.g., master theses, bachelor theses</w:t>
      </w:r>
      <w:r w:rsidR="00CE73C2">
        <w:rPr>
          <w:lang w:val="en-GB"/>
        </w:rPr>
        <w:t>, diploma theses</w:t>
      </w:r>
      <w:r>
        <w:rPr>
          <w:lang w:val="en-GB"/>
        </w:rPr>
        <w:t xml:space="preserve">) is being presented. This style sheet may be used by any student, its utilisation, however, is not obligatory in our </w:t>
      </w:r>
      <w:r w:rsidR="00CE73C2">
        <w:rPr>
          <w:lang w:val="en-GB"/>
        </w:rPr>
        <w:t>university</w:t>
      </w:r>
      <w:r>
        <w:rPr>
          <w:lang w:val="en-GB"/>
        </w:rPr>
        <w:t xml:space="preserve">. The style sheet is designed for the Microsoft Word text processing system. This document itself is written by using the developed style sheet and can be used as a template </w:t>
      </w:r>
      <w:proofErr w:type="gramStart"/>
      <w:r>
        <w:rPr>
          <w:lang w:val="en-GB"/>
        </w:rPr>
        <w:t>for the production of</w:t>
      </w:r>
      <w:proofErr w:type="gramEnd"/>
      <w:r>
        <w:rPr>
          <w:lang w:val="en-GB"/>
        </w:rPr>
        <w:t xml:space="preserve"> theses. In this way, the fulfilment of the existing formatting guidelines will be automated to a large extent, thus raising the quality of theses with respect to formal criteria as well as reducing the need for training and consulting.</w:t>
      </w:r>
    </w:p>
    <w:p w:rsidR="00284FA6" w:rsidRDefault="00284FA6">
      <w:pPr>
        <w:rPr>
          <w:lang w:val="en-GB"/>
        </w:rPr>
      </w:pPr>
      <w:r>
        <w:rPr>
          <w:b/>
          <w:lang w:val="en-GB"/>
        </w:rPr>
        <w:t>Keywords:</w:t>
      </w:r>
      <w:r>
        <w:rPr>
          <w:lang w:val="en-GB"/>
        </w:rPr>
        <w:t xml:space="preserve"> style sheet, thesis, </w:t>
      </w:r>
      <w:r w:rsidR="00CE73C2">
        <w:rPr>
          <w:lang w:val="en-GB"/>
        </w:rPr>
        <w:t xml:space="preserve">bachelor thesis, master thesis, diploma thesis, </w:t>
      </w:r>
      <w:r>
        <w:rPr>
          <w:lang w:val="en-GB"/>
        </w:rPr>
        <w:t>university, text processor, Microsoft Word</w:t>
      </w:r>
    </w:p>
    <w:p w:rsidR="00284FA6" w:rsidRDefault="00284FA6">
      <w:pPr>
        <w:pStyle w:val="berschrift1"/>
        <w:numPr>
          <w:ilvl w:val="0"/>
          <w:numId w:val="0"/>
        </w:numPr>
      </w:pPr>
      <w:bookmarkStart w:id="5" w:name="_Toc531888901"/>
      <w:r>
        <w:lastRenderedPageBreak/>
        <w:t>Inhaltsverzeichnis</w:t>
      </w:r>
      <w:bookmarkEnd w:id="5"/>
    </w:p>
    <w:p w:rsidR="00956100" w:rsidRDefault="00284FA6">
      <w:pPr>
        <w:pStyle w:val="Verzeichnis1"/>
        <w:rPr>
          <w:rFonts w:asciiTheme="minorHAnsi" w:eastAsiaTheme="minorEastAsia" w:hAnsiTheme="minorHAnsi" w:cstheme="minorBidi"/>
          <w:b w:val="0"/>
          <w:sz w:val="22"/>
          <w:szCs w:val="22"/>
          <w:lang w:val="de-CH" w:eastAsia="de-CH"/>
        </w:rPr>
      </w:pPr>
      <w:r>
        <w:fldChar w:fldCharType="begin"/>
      </w:r>
      <w:r>
        <w:instrText xml:space="preserve"> TOC \o "1-3" \t "Agenda;1" </w:instrText>
      </w:r>
      <w:r>
        <w:fldChar w:fldCharType="separate"/>
      </w:r>
      <w:r w:rsidR="00956100">
        <w:t>Ehrenwörtliche Erklärung</w:t>
      </w:r>
      <w:r w:rsidR="00956100">
        <w:tab/>
      </w:r>
      <w:r w:rsidR="00956100">
        <w:fldChar w:fldCharType="begin"/>
      </w:r>
      <w:r w:rsidR="00956100">
        <w:instrText xml:space="preserve"> PAGEREF _Toc531888898 \h </w:instrText>
      </w:r>
      <w:r w:rsidR="00956100">
        <w:fldChar w:fldCharType="separate"/>
      </w:r>
      <w:r w:rsidR="00956100">
        <w:t>2</w:t>
      </w:r>
      <w:r w:rsidR="00956100">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Kurzfassung</w:t>
      </w:r>
      <w:r>
        <w:tab/>
      </w:r>
      <w:r>
        <w:fldChar w:fldCharType="begin"/>
      </w:r>
      <w:r>
        <w:instrText xml:space="preserve"> PAGEREF _Toc531888899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rsidRPr="00956100">
        <w:rPr>
          <w:lang w:val="de-CH"/>
        </w:rPr>
        <w:t>Abstract</w:t>
      </w:r>
      <w:r>
        <w:tab/>
      </w:r>
      <w:r>
        <w:fldChar w:fldCharType="begin"/>
      </w:r>
      <w:r>
        <w:instrText xml:space="preserve"> PAGEREF _Toc531888900 \h </w:instrText>
      </w:r>
      <w:r>
        <w:fldChar w:fldCharType="separate"/>
      </w:r>
      <w:r>
        <w:t>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Inhaltsverzeichnis</w:t>
      </w:r>
      <w:r>
        <w:tab/>
      </w:r>
      <w:r>
        <w:fldChar w:fldCharType="begin"/>
      </w:r>
      <w:r>
        <w:instrText xml:space="preserve"> PAGEREF _Toc531888901 \h </w:instrText>
      </w:r>
      <w:r>
        <w:fldChar w:fldCharType="separate"/>
      </w:r>
      <w:r>
        <w:t>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Abbildungsverzeichnis</w:t>
      </w:r>
      <w:r>
        <w:tab/>
      </w:r>
      <w:r>
        <w:fldChar w:fldCharType="begin"/>
      </w:r>
      <w:r>
        <w:instrText xml:space="preserve"> PAGEREF _Toc531888902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Tabellenverzeichnis</w:t>
      </w:r>
      <w:r>
        <w:tab/>
      </w:r>
      <w:r>
        <w:fldChar w:fldCharType="begin"/>
      </w:r>
      <w:r>
        <w:instrText xml:space="preserve"> PAGEREF _Toc531888903 \h </w:instrText>
      </w:r>
      <w:r>
        <w:fldChar w:fldCharType="separate"/>
      </w:r>
      <w:r>
        <w:t>6</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Abkürzungsverzeichnis</w:t>
      </w:r>
      <w:r>
        <w:tab/>
      </w:r>
      <w:r>
        <w:fldChar w:fldCharType="begin"/>
      </w:r>
      <w:r>
        <w:instrText xml:space="preserve"> PAGEREF _Toc531888904 \h </w:instrText>
      </w:r>
      <w:r>
        <w:fldChar w:fldCharType="separate"/>
      </w:r>
      <w:r>
        <w:t>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Vorwort</w:t>
      </w:r>
      <w:r>
        <w:tab/>
      </w:r>
      <w:r>
        <w:fldChar w:fldCharType="begin"/>
      </w:r>
      <w:r>
        <w:instrText xml:space="preserve"> PAGEREF _Toc531888905 \h </w:instrText>
      </w:r>
      <w:r>
        <w:fldChar w:fldCharType="separate"/>
      </w:r>
      <w:r>
        <w:t>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1</w:t>
      </w:r>
      <w:r>
        <w:rPr>
          <w:rFonts w:asciiTheme="minorHAnsi" w:eastAsiaTheme="minorEastAsia" w:hAnsiTheme="minorHAnsi" w:cstheme="minorBidi"/>
          <w:b w:val="0"/>
          <w:sz w:val="22"/>
          <w:szCs w:val="22"/>
          <w:lang w:val="de-CH" w:eastAsia="de-CH"/>
        </w:rPr>
        <w:tab/>
      </w:r>
      <w:r>
        <w:t>Überblick</w:t>
      </w:r>
      <w:r>
        <w:tab/>
      </w:r>
      <w:r>
        <w:fldChar w:fldCharType="begin"/>
      </w:r>
      <w:r>
        <w:instrText xml:space="preserve"> PAGEREF _Toc531888906 \h </w:instrText>
      </w:r>
      <w:r>
        <w:fldChar w:fldCharType="separate"/>
      </w:r>
      <w:r>
        <w:t>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2</w:t>
      </w:r>
      <w:r>
        <w:rPr>
          <w:rFonts w:asciiTheme="minorHAnsi" w:eastAsiaTheme="minorEastAsia" w:hAnsiTheme="minorHAnsi" w:cstheme="minorBidi"/>
          <w:b w:val="0"/>
          <w:sz w:val="22"/>
          <w:szCs w:val="22"/>
          <w:lang w:val="de-CH" w:eastAsia="de-CH"/>
        </w:rPr>
        <w:tab/>
      </w:r>
      <w:r>
        <w:t>Ziele</w:t>
      </w:r>
      <w:r>
        <w:tab/>
      </w:r>
      <w:r>
        <w:fldChar w:fldCharType="begin"/>
      </w:r>
      <w:r>
        <w:instrText xml:space="preserve"> PAGEREF _Toc531888907 \h </w:instrText>
      </w:r>
      <w:r>
        <w:fldChar w:fldCharType="separate"/>
      </w:r>
      <w:r>
        <w:t>11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3</w:t>
      </w:r>
      <w:r>
        <w:rPr>
          <w:rFonts w:asciiTheme="minorHAnsi" w:eastAsiaTheme="minorEastAsia" w:hAnsiTheme="minorHAnsi" w:cstheme="minorBidi"/>
          <w:b w:val="0"/>
          <w:sz w:val="22"/>
          <w:szCs w:val="22"/>
          <w:lang w:val="de-CH" w:eastAsia="de-CH"/>
        </w:rPr>
        <w:tab/>
      </w:r>
      <w:r>
        <w:t>Solare Strahlung</w:t>
      </w:r>
      <w:r>
        <w:tab/>
      </w:r>
      <w:r>
        <w:fldChar w:fldCharType="begin"/>
      </w:r>
      <w:r>
        <w:instrText xml:space="preserve"> PAGEREF _Toc531888908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w:t>
      </w:r>
      <w:r>
        <w:rPr>
          <w:rFonts w:asciiTheme="minorHAnsi" w:eastAsiaTheme="minorEastAsia" w:hAnsiTheme="minorHAnsi" w:cstheme="minorBidi"/>
          <w:sz w:val="22"/>
          <w:szCs w:val="22"/>
          <w:lang w:val="de-CH" w:eastAsia="de-CH"/>
        </w:rPr>
        <w:tab/>
      </w:r>
      <w:r>
        <w:t>Strahlungsangebot der Sonne</w:t>
      </w:r>
      <w:r>
        <w:tab/>
      </w:r>
      <w:r>
        <w:fldChar w:fldCharType="begin"/>
      </w:r>
      <w:r>
        <w:instrText xml:space="preserve"> PAGEREF _Toc531888909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3.2</w:t>
      </w:r>
      <w:r>
        <w:rPr>
          <w:rFonts w:asciiTheme="minorHAnsi" w:eastAsiaTheme="minorEastAsia" w:hAnsiTheme="minorHAnsi" w:cstheme="minorBidi"/>
          <w:sz w:val="22"/>
          <w:szCs w:val="22"/>
          <w:lang w:val="de-CH" w:eastAsia="de-CH"/>
        </w:rPr>
        <w:tab/>
      </w:r>
      <w:r>
        <w:t>Extraterrestrische Strahlung</w:t>
      </w:r>
      <w:r>
        <w:tab/>
      </w:r>
      <w:r>
        <w:fldChar w:fldCharType="begin"/>
      </w:r>
      <w:r>
        <w:instrText xml:space="preserve"> PAGEREF _Toc531888910 \h </w:instrText>
      </w:r>
      <w:r>
        <w:fldChar w:fldCharType="separate"/>
      </w:r>
      <w:r>
        <w:t>12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3.3</w:t>
      </w:r>
      <w:r>
        <w:rPr>
          <w:rFonts w:asciiTheme="minorHAnsi" w:eastAsiaTheme="minorEastAsia" w:hAnsiTheme="minorHAnsi" w:cstheme="minorBidi"/>
          <w:sz w:val="22"/>
          <w:szCs w:val="22"/>
          <w:lang w:val="de-CH" w:eastAsia="de-CH"/>
        </w:rPr>
        <w:tab/>
      </w:r>
      <w:r>
        <w:t>Spektrale Eigenschaft der Sonnenstrahlung</w:t>
      </w:r>
      <w:r>
        <w:tab/>
      </w:r>
      <w:r>
        <w:fldChar w:fldCharType="begin"/>
      </w:r>
      <w:r>
        <w:instrText xml:space="preserve"> PAGEREF _Toc531888911 \h </w:instrText>
      </w:r>
      <w:r>
        <w:fldChar w:fldCharType="separate"/>
      </w:r>
      <w:r>
        <w:t>12</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3.4</w:t>
      </w:r>
      <w:r w:rsidRPr="00956100">
        <w:rPr>
          <w:rFonts w:asciiTheme="minorHAnsi" w:eastAsiaTheme="minorEastAsia" w:hAnsiTheme="minorHAnsi" w:cstheme="minorBidi"/>
          <w:sz w:val="22"/>
          <w:szCs w:val="22"/>
          <w:lang w:val="en-US" w:eastAsia="de-CH"/>
        </w:rPr>
        <w:tab/>
      </w:r>
      <w:r w:rsidRPr="00956100">
        <w:rPr>
          <w:lang w:val="en-US"/>
        </w:rPr>
        <w:t>Atmospherische Interaktion</w:t>
      </w:r>
      <w:r w:rsidRPr="00956100">
        <w:rPr>
          <w:lang w:val="en-US"/>
        </w:rPr>
        <w:tab/>
      </w:r>
      <w:r>
        <w:fldChar w:fldCharType="begin"/>
      </w:r>
      <w:r w:rsidRPr="00956100">
        <w:rPr>
          <w:lang w:val="en-US"/>
        </w:rPr>
        <w:instrText xml:space="preserve"> PAGEREF _Toc531888912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3.4.1</w:t>
      </w:r>
      <w:r w:rsidRPr="00956100">
        <w:rPr>
          <w:rFonts w:asciiTheme="minorHAnsi" w:eastAsiaTheme="minorEastAsia" w:hAnsiTheme="minorHAnsi" w:cstheme="minorBidi"/>
          <w:sz w:val="22"/>
          <w:szCs w:val="22"/>
          <w:lang w:val="en-US" w:eastAsia="de-CH"/>
        </w:rPr>
        <w:tab/>
      </w:r>
      <w:r w:rsidRPr="00956100">
        <w:rPr>
          <w:lang w:val="en-US"/>
        </w:rPr>
        <w:t>Rayleigh scattering</w:t>
      </w:r>
      <w:r w:rsidRPr="00956100">
        <w:rPr>
          <w:lang w:val="en-US"/>
        </w:rPr>
        <w:tab/>
      </w:r>
      <w:r>
        <w:fldChar w:fldCharType="begin"/>
      </w:r>
      <w:r w:rsidRPr="00956100">
        <w:rPr>
          <w:lang w:val="en-US"/>
        </w:rPr>
        <w:instrText xml:space="preserve"> PAGEREF _Toc531888913 \h </w:instrText>
      </w:r>
      <w:r>
        <w:fldChar w:fldCharType="separate"/>
      </w:r>
      <w:r w:rsidRPr="00956100">
        <w:rPr>
          <w:lang w:val="en-US"/>
        </w:rPr>
        <w:t>13</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3.4.2</w:t>
      </w:r>
      <w:r w:rsidRPr="00956100">
        <w:rPr>
          <w:rFonts w:asciiTheme="minorHAnsi" w:eastAsiaTheme="minorEastAsia" w:hAnsiTheme="minorHAnsi" w:cstheme="minorBidi"/>
          <w:sz w:val="22"/>
          <w:szCs w:val="22"/>
          <w:lang w:val="en-US" w:eastAsia="de-CH"/>
        </w:rPr>
        <w:tab/>
      </w:r>
      <w:r w:rsidRPr="00956100">
        <w:rPr>
          <w:lang w:val="en-US"/>
        </w:rPr>
        <w:t>Aerosol scattering and Absorption</w:t>
      </w:r>
      <w:r w:rsidRPr="00956100">
        <w:rPr>
          <w:lang w:val="en-US"/>
        </w:rPr>
        <w:tab/>
      </w:r>
      <w:r>
        <w:fldChar w:fldCharType="begin"/>
      </w:r>
      <w:r w:rsidRPr="00956100">
        <w:rPr>
          <w:lang w:val="en-US"/>
        </w:rPr>
        <w:instrText xml:space="preserve"> PAGEREF _Toc531888914 \h </w:instrText>
      </w:r>
      <w:r>
        <w:fldChar w:fldCharType="separate"/>
      </w:r>
      <w:r w:rsidRPr="00956100">
        <w:rPr>
          <w:lang w:val="en-US"/>
        </w:rPr>
        <w:t>14</w:t>
      </w:r>
      <w:r>
        <w:fldChar w:fldCharType="end"/>
      </w:r>
    </w:p>
    <w:p w:rsidR="00956100" w:rsidRPr="00956100" w:rsidRDefault="00956100">
      <w:pPr>
        <w:pStyle w:val="Verzeichnis3"/>
        <w:rPr>
          <w:rFonts w:asciiTheme="minorHAnsi" w:eastAsiaTheme="minorEastAsia" w:hAnsiTheme="minorHAnsi" w:cstheme="minorBidi"/>
          <w:sz w:val="22"/>
          <w:szCs w:val="22"/>
          <w:lang w:val="en-US" w:eastAsia="de-CH"/>
        </w:rPr>
      </w:pPr>
      <w:r w:rsidRPr="00956100">
        <w:rPr>
          <w:lang w:val="en-US"/>
        </w:rPr>
        <w:t>3.4.3</w:t>
      </w:r>
      <w:r w:rsidRPr="00956100">
        <w:rPr>
          <w:rFonts w:asciiTheme="minorHAnsi" w:eastAsiaTheme="minorEastAsia" w:hAnsiTheme="minorHAnsi" w:cstheme="minorBidi"/>
          <w:sz w:val="22"/>
          <w:szCs w:val="22"/>
          <w:lang w:val="en-US" w:eastAsia="de-CH"/>
        </w:rPr>
        <w:tab/>
      </w:r>
      <w:r w:rsidRPr="00956100">
        <w:rPr>
          <w:lang w:val="en-US"/>
        </w:rPr>
        <w:t>Gas and Absorption</w:t>
      </w:r>
      <w:r w:rsidRPr="00956100">
        <w:rPr>
          <w:lang w:val="en-US"/>
        </w:rPr>
        <w:tab/>
      </w:r>
      <w:r>
        <w:fldChar w:fldCharType="begin"/>
      </w:r>
      <w:r w:rsidRPr="00956100">
        <w:rPr>
          <w:lang w:val="en-US"/>
        </w:rPr>
        <w:instrText xml:space="preserve"> PAGEREF _Toc531888915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en-US" w:eastAsia="de-CH"/>
        </w:rPr>
      </w:pPr>
      <w:r w:rsidRPr="00956100">
        <w:rPr>
          <w:lang w:val="en-US"/>
        </w:rPr>
        <w:t>3.5</w:t>
      </w:r>
      <w:r w:rsidRPr="00956100">
        <w:rPr>
          <w:rFonts w:asciiTheme="minorHAnsi" w:eastAsiaTheme="minorEastAsia" w:hAnsiTheme="minorHAnsi" w:cstheme="minorBidi"/>
          <w:sz w:val="22"/>
          <w:szCs w:val="22"/>
          <w:lang w:val="en-US" w:eastAsia="de-CH"/>
        </w:rPr>
        <w:tab/>
      </w:r>
      <w:r w:rsidRPr="00956100">
        <w:rPr>
          <w:lang w:val="en-US"/>
        </w:rPr>
        <w:t>Direct Normal Irradiance</w:t>
      </w:r>
      <w:r w:rsidRPr="00956100">
        <w:rPr>
          <w:lang w:val="en-US"/>
        </w:rPr>
        <w:tab/>
      </w:r>
      <w:r>
        <w:fldChar w:fldCharType="begin"/>
      </w:r>
      <w:r w:rsidRPr="00956100">
        <w:rPr>
          <w:lang w:val="en-US"/>
        </w:rPr>
        <w:instrText xml:space="preserve"> PAGEREF _Toc531888916 \h </w:instrText>
      </w:r>
      <w:r>
        <w:fldChar w:fldCharType="separate"/>
      </w:r>
      <w:r w:rsidRPr="00956100">
        <w:rPr>
          <w:lang w:val="en-US"/>
        </w:rPr>
        <w:t>14</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3.6</w:t>
      </w:r>
      <w:r w:rsidRPr="00956100">
        <w:rPr>
          <w:rFonts w:asciiTheme="minorHAnsi" w:eastAsiaTheme="minorEastAsia" w:hAnsiTheme="minorHAnsi" w:cstheme="minorBidi"/>
          <w:sz w:val="22"/>
          <w:szCs w:val="22"/>
          <w:lang w:val="fr-CH" w:eastAsia="de-CH"/>
        </w:rPr>
        <w:tab/>
      </w:r>
      <w:r w:rsidRPr="00956100">
        <w:rPr>
          <w:lang w:val="fr-CH"/>
        </w:rPr>
        <w:t>Global horizontal Irradiance</w:t>
      </w:r>
      <w:r w:rsidRPr="00956100">
        <w:rPr>
          <w:lang w:val="fr-CH"/>
        </w:rPr>
        <w:tab/>
      </w:r>
      <w:r>
        <w:fldChar w:fldCharType="begin"/>
      </w:r>
      <w:r w:rsidRPr="00956100">
        <w:rPr>
          <w:lang w:val="fr-CH"/>
        </w:rPr>
        <w:instrText xml:space="preserve"> PAGEREF _Toc531888917 \h </w:instrText>
      </w:r>
      <w:r>
        <w:fldChar w:fldCharType="separate"/>
      </w:r>
      <w:r w:rsidRPr="00956100">
        <w:rPr>
          <w:lang w:val="fr-CH"/>
        </w:rPr>
        <w:t>15</w:t>
      </w:r>
      <w:r>
        <w:fldChar w:fldCharType="end"/>
      </w:r>
    </w:p>
    <w:p w:rsidR="00956100" w:rsidRPr="00956100" w:rsidRDefault="00956100">
      <w:pPr>
        <w:pStyle w:val="Verzeichnis2"/>
        <w:rPr>
          <w:rFonts w:asciiTheme="minorHAnsi" w:eastAsiaTheme="minorEastAsia" w:hAnsiTheme="minorHAnsi" w:cstheme="minorBidi"/>
          <w:sz w:val="22"/>
          <w:szCs w:val="22"/>
          <w:lang w:val="fr-CH" w:eastAsia="de-CH"/>
        </w:rPr>
      </w:pPr>
      <w:r w:rsidRPr="00956100">
        <w:rPr>
          <w:lang w:val="fr-CH"/>
        </w:rPr>
        <w:t>3.7</w:t>
      </w:r>
      <w:r w:rsidRPr="00956100">
        <w:rPr>
          <w:rFonts w:asciiTheme="minorHAnsi" w:eastAsiaTheme="minorEastAsia" w:hAnsiTheme="minorHAnsi" w:cstheme="minorBidi"/>
          <w:sz w:val="22"/>
          <w:szCs w:val="22"/>
          <w:lang w:val="fr-CH" w:eastAsia="de-CH"/>
        </w:rPr>
        <w:tab/>
      </w:r>
      <w:r w:rsidRPr="00956100">
        <w:rPr>
          <w:lang w:val="fr-CH"/>
        </w:rPr>
        <w:t>Diffuse Irradiance</w:t>
      </w:r>
      <w:r w:rsidRPr="00956100">
        <w:rPr>
          <w:lang w:val="fr-CH"/>
        </w:rPr>
        <w:tab/>
      </w:r>
      <w:r>
        <w:fldChar w:fldCharType="begin"/>
      </w:r>
      <w:r w:rsidRPr="00956100">
        <w:rPr>
          <w:lang w:val="fr-CH"/>
        </w:rPr>
        <w:instrText xml:space="preserve"> PAGEREF _Toc531888918 \h </w:instrText>
      </w:r>
      <w:r>
        <w:fldChar w:fldCharType="separate"/>
      </w:r>
      <w:r w:rsidRPr="00956100">
        <w:rPr>
          <w:lang w:val="fr-CH"/>
        </w:rPr>
        <w:t>16</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3.8</w:t>
      </w:r>
      <w:r>
        <w:rPr>
          <w:rFonts w:asciiTheme="minorHAnsi" w:eastAsiaTheme="minorEastAsia" w:hAnsiTheme="minorHAnsi" w:cstheme="minorBidi"/>
          <w:sz w:val="22"/>
          <w:szCs w:val="22"/>
          <w:lang w:val="de-CH" w:eastAsia="de-CH"/>
        </w:rPr>
        <w:tab/>
      </w:r>
      <w:r>
        <w:t>Solarmessgeräte</w:t>
      </w:r>
      <w:r>
        <w:tab/>
      </w:r>
      <w:r>
        <w:fldChar w:fldCharType="begin"/>
      </w:r>
      <w:r>
        <w:instrText xml:space="preserve"> PAGEREF _Toc531888919 \h </w:instrText>
      </w:r>
      <w:r>
        <w:fldChar w:fldCharType="separate"/>
      </w:r>
      <w:r>
        <w:t>17</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3.9</w:t>
      </w:r>
      <w:r>
        <w:rPr>
          <w:rFonts w:asciiTheme="minorHAnsi" w:eastAsiaTheme="minorEastAsia" w:hAnsiTheme="minorHAnsi" w:cstheme="minorBidi"/>
          <w:sz w:val="22"/>
          <w:szCs w:val="22"/>
          <w:lang w:val="de-CH" w:eastAsia="de-CH"/>
        </w:rPr>
        <w:tab/>
      </w:r>
      <w:r>
        <w:t>Wolken</w:t>
      </w:r>
      <w:r>
        <w:tab/>
      </w:r>
      <w:r>
        <w:fldChar w:fldCharType="begin"/>
      </w:r>
      <w:r>
        <w:instrText xml:space="preserve"> PAGEREF _Toc531888920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3.10</w:t>
      </w:r>
      <w:r>
        <w:rPr>
          <w:rFonts w:asciiTheme="minorHAnsi" w:eastAsiaTheme="minorEastAsia" w:hAnsiTheme="minorHAnsi" w:cstheme="minorBidi"/>
          <w:sz w:val="22"/>
          <w:szCs w:val="22"/>
          <w:lang w:val="de-CH" w:eastAsia="de-CH"/>
        </w:rPr>
        <w:tab/>
      </w:r>
      <w:r>
        <w:t>Dreidimensionale Effekte in der Kurzeit Vorhersage</w:t>
      </w:r>
      <w:r>
        <w:tab/>
      </w:r>
      <w:r>
        <w:fldChar w:fldCharType="begin"/>
      </w:r>
      <w:r>
        <w:instrText xml:space="preserve"> PAGEREF _Toc531888921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3.11</w:t>
      </w:r>
      <w:r>
        <w:rPr>
          <w:rFonts w:asciiTheme="minorHAnsi" w:eastAsiaTheme="minorEastAsia" w:hAnsiTheme="minorHAnsi" w:cstheme="minorBidi"/>
          <w:sz w:val="22"/>
          <w:szCs w:val="22"/>
          <w:lang w:val="de-CH" w:eastAsia="de-CH"/>
        </w:rPr>
        <w:tab/>
      </w:r>
      <w:r>
        <w:t>Ursache und Wirkung der PV-Variabilität</w:t>
      </w:r>
      <w:r>
        <w:tab/>
      </w:r>
      <w:r>
        <w:fldChar w:fldCharType="begin"/>
      </w:r>
      <w:r>
        <w:instrText xml:space="preserve"> PAGEREF _Toc531888922 \h </w:instrText>
      </w:r>
      <w:r>
        <w:fldChar w:fldCharType="separate"/>
      </w:r>
      <w:r>
        <w:t>20</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3.12</w:t>
      </w:r>
      <w:r>
        <w:rPr>
          <w:rFonts w:asciiTheme="minorHAnsi" w:eastAsiaTheme="minorEastAsia" w:hAnsiTheme="minorHAnsi" w:cstheme="minorBidi"/>
          <w:sz w:val="22"/>
          <w:szCs w:val="22"/>
          <w:lang w:val="de-CH" w:eastAsia="de-CH"/>
        </w:rPr>
        <w:tab/>
      </w:r>
      <w:r>
        <w:t>Optik und bildgebende Techniken</w:t>
      </w:r>
      <w:r>
        <w:tab/>
      </w:r>
      <w:r>
        <w:fldChar w:fldCharType="begin"/>
      </w:r>
      <w:r>
        <w:instrText xml:space="preserve"> PAGEREF _Toc531888923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3.12.1</w:t>
      </w:r>
      <w:r>
        <w:rPr>
          <w:rFonts w:asciiTheme="minorHAnsi" w:eastAsiaTheme="minorEastAsia" w:hAnsiTheme="minorHAnsi" w:cstheme="minorBidi"/>
          <w:sz w:val="22"/>
          <w:szCs w:val="22"/>
          <w:lang w:val="de-CH" w:eastAsia="de-CH"/>
        </w:rPr>
        <w:tab/>
      </w:r>
      <w:r>
        <w:t>Für die Auswahl der Optik bestimmende Faktoren</w:t>
      </w:r>
      <w:r>
        <w:tab/>
      </w:r>
      <w:r>
        <w:fldChar w:fldCharType="begin"/>
      </w:r>
      <w:r>
        <w:instrText xml:space="preserve"> PAGEREF _Toc531888924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3.12.2</w:t>
      </w:r>
      <w:r>
        <w:rPr>
          <w:rFonts w:asciiTheme="minorHAnsi" w:eastAsiaTheme="minorEastAsia" w:hAnsiTheme="minorHAnsi" w:cstheme="minorBidi"/>
          <w:sz w:val="22"/>
          <w:szCs w:val="22"/>
          <w:lang w:val="de-CH" w:eastAsia="de-CH"/>
        </w:rPr>
        <w:tab/>
      </w:r>
      <w:r>
        <w:t>Bildwinkel</w:t>
      </w:r>
      <w:r>
        <w:tab/>
      </w:r>
      <w:r>
        <w:fldChar w:fldCharType="begin"/>
      </w:r>
      <w:r>
        <w:instrText xml:space="preserve"> PAGEREF _Toc531888925 \h </w:instrText>
      </w:r>
      <w:r>
        <w:fldChar w:fldCharType="separate"/>
      </w:r>
      <w:r>
        <w:t>21</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3.12.3</w:t>
      </w:r>
      <w:r>
        <w:rPr>
          <w:rFonts w:asciiTheme="minorHAnsi" w:eastAsiaTheme="minorEastAsia" w:hAnsiTheme="minorHAnsi" w:cstheme="minorBidi"/>
          <w:sz w:val="22"/>
          <w:szCs w:val="22"/>
          <w:lang w:val="de-CH" w:eastAsia="de-CH"/>
        </w:rPr>
        <w:tab/>
      </w:r>
      <w:r>
        <w:t>Optische Verzerrung</w:t>
      </w:r>
      <w:r>
        <w:tab/>
      </w:r>
      <w:r>
        <w:fldChar w:fldCharType="begin"/>
      </w:r>
      <w:r>
        <w:instrText xml:space="preserve"> PAGEREF _Toc531888926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3.12.4</w:t>
      </w:r>
      <w:r>
        <w:rPr>
          <w:rFonts w:asciiTheme="minorHAnsi" w:eastAsiaTheme="minorEastAsia" w:hAnsiTheme="minorHAnsi" w:cstheme="minorBidi"/>
          <w:sz w:val="22"/>
          <w:szCs w:val="22"/>
          <w:lang w:val="de-CH" w:eastAsia="de-CH"/>
        </w:rPr>
        <w:tab/>
      </w:r>
      <w:r>
        <w:t>Die Verwendung eines Fischaugenobjektivs</w:t>
      </w:r>
      <w:r>
        <w:tab/>
      </w:r>
      <w:r>
        <w:fldChar w:fldCharType="begin"/>
      </w:r>
      <w:r>
        <w:instrText xml:space="preserve"> PAGEREF _Toc531888927 \h </w:instrText>
      </w:r>
      <w:r>
        <w:fldChar w:fldCharType="separate"/>
      </w:r>
      <w:r>
        <w:t>22</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3.13</w:t>
      </w:r>
      <w:r>
        <w:rPr>
          <w:rFonts w:asciiTheme="minorHAnsi" w:eastAsiaTheme="minorEastAsia" w:hAnsiTheme="minorHAnsi" w:cstheme="minorBidi"/>
          <w:sz w:val="22"/>
          <w:szCs w:val="22"/>
          <w:lang w:val="de-CH" w:eastAsia="de-CH"/>
        </w:rPr>
        <w:tab/>
      </w:r>
      <w:r>
        <w:t>Bildverarbeitung</w:t>
      </w:r>
      <w:r>
        <w:tab/>
      </w:r>
      <w:r>
        <w:fldChar w:fldCharType="begin"/>
      </w:r>
      <w:r>
        <w:instrText xml:space="preserve"> PAGEREF _Toc531888928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3.13.1</w:t>
      </w:r>
      <w:r>
        <w:rPr>
          <w:rFonts w:asciiTheme="minorHAnsi" w:eastAsiaTheme="minorEastAsia" w:hAnsiTheme="minorHAnsi" w:cstheme="minorBidi"/>
          <w:sz w:val="22"/>
          <w:szCs w:val="22"/>
          <w:lang w:val="de-CH" w:eastAsia="de-CH"/>
        </w:rPr>
        <w:tab/>
      </w:r>
      <w:r>
        <w:t>Eigenschaften einer Weitwinkelaufnahme</w:t>
      </w:r>
      <w:r>
        <w:tab/>
      </w:r>
      <w:r>
        <w:fldChar w:fldCharType="begin"/>
      </w:r>
      <w:r>
        <w:instrText xml:space="preserve"> PAGEREF _Toc531888929 \h </w:instrText>
      </w:r>
      <w:r>
        <w:fldChar w:fldCharType="separate"/>
      </w:r>
      <w:r>
        <w:t>22</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3.13.2</w:t>
      </w:r>
      <w:r>
        <w:rPr>
          <w:rFonts w:asciiTheme="minorHAnsi" w:eastAsiaTheme="minorEastAsia" w:hAnsiTheme="minorHAnsi" w:cstheme="minorBidi"/>
          <w:sz w:val="22"/>
          <w:szCs w:val="22"/>
          <w:lang w:val="de-CH" w:eastAsia="de-CH"/>
        </w:rPr>
        <w:tab/>
      </w:r>
      <w:r>
        <w:t>CCD</w:t>
      </w:r>
      <w:r>
        <w:tab/>
      </w:r>
      <w:r>
        <w:fldChar w:fldCharType="begin"/>
      </w:r>
      <w:r>
        <w:instrText xml:space="preserve"> PAGEREF _Toc531888930 \h </w:instrText>
      </w:r>
      <w:r>
        <w:fldChar w:fldCharType="separate"/>
      </w:r>
      <w:r>
        <w:t>23</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4</w:t>
      </w:r>
      <w:r>
        <w:rPr>
          <w:rFonts w:asciiTheme="minorHAnsi" w:eastAsiaTheme="minorEastAsia" w:hAnsiTheme="minorHAnsi" w:cstheme="minorBidi"/>
          <w:b w:val="0"/>
          <w:sz w:val="22"/>
          <w:szCs w:val="22"/>
          <w:lang w:val="de-CH" w:eastAsia="de-CH"/>
        </w:rPr>
        <w:tab/>
      </w:r>
      <w:r>
        <w:t>Übersicht solarer Vorhersage Methoden</w:t>
      </w:r>
      <w:r>
        <w:tab/>
      </w:r>
      <w:r>
        <w:fldChar w:fldCharType="begin"/>
      </w:r>
      <w:r>
        <w:instrText xml:space="preserve"> PAGEREF _Toc531888931 \h </w:instrText>
      </w:r>
      <w:r>
        <w:fldChar w:fldCharType="separate"/>
      </w:r>
      <w:r>
        <w:t>24</w:t>
      </w:r>
      <w:r>
        <w:fldChar w:fldCharType="end"/>
      </w:r>
    </w:p>
    <w:p w:rsidR="00956100" w:rsidRDefault="00956100">
      <w:pPr>
        <w:pStyle w:val="Verzeichnis3"/>
        <w:rPr>
          <w:rFonts w:asciiTheme="minorHAnsi" w:eastAsiaTheme="minorEastAsia" w:hAnsiTheme="minorHAnsi" w:cstheme="minorBidi"/>
          <w:sz w:val="22"/>
          <w:szCs w:val="22"/>
          <w:lang w:val="de-CH" w:eastAsia="de-CH"/>
        </w:rPr>
      </w:pPr>
      <w:r>
        <w:t>4.1.1</w:t>
      </w:r>
      <w:r>
        <w:rPr>
          <w:rFonts w:asciiTheme="minorHAnsi" w:eastAsiaTheme="minorEastAsia" w:hAnsiTheme="minorHAnsi" w:cstheme="minorBidi"/>
          <w:sz w:val="22"/>
          <w:szCs w:val="22"/>
          <w:lang w:val="de-CH" w:eastAsia="de-CH"/>
        </w:rPr>
        <w:tab/>
      </w:r>
      <w:r>
        <w:t>Klassifikation solarer Vorhersage Methoden</w:t>
      </w:r>
      <w:r>
        <w:tab/>
      </w:r>
      <w:r>
        <w:fldChar w:fldCharType="begin"/>
      </w:r>
      <w:r>
        <w:instrText xml:space="preserve"> PAGEREF _Toc531888932 \h </w:instrText>
      </w:r>
      <w:r>
        <w:fldChar w:fldCharType="separate"/>
      </w:r>
      <w:r>
        <w:t>24</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5</w:t>
      </w:r>
      <w:r>
        <w:rPr>
          <w:rFonts w:asciiTheme="minorHAnsi" w:eastAsiaTheme="minorEastAsia" w:hAnsiTheme="minorHAnsi" w:cstheme="minorBidi"/>
          <w:b w:val="0"/>
          <w:sz w:val="22"/>
          <w:szCs w:val="22"/>
          <w:lang w:val="de-CH" w:eastAsia="de-CH"/>
        </w:rPr>
        <w:tab/>
      </w:r>
      <w:r>
        <w:t>Risikoanalyse</w:t>
      </w:r>
      <w:r>
        <w:tab/>
      </w:r>
      <w:r>
        <w:fldChar w:fldCharType="begin"/>
      </w:r>
      <w:r>
        <w:instrText xml:space="preserve"> PAGEREF _Toc531888933 \h </w:instrText>
      </w:r>
      <w:r>
        <w:fldChar w:fldCharType="separate"/>
      </w:r>
      <w:r>
        <w:t>25</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lastRenderedPageBreak/>
        <w:t>6</w:t>
      </w:r>
      <w:r>
        <w:rPr>
          <w:rFonts w:asciiTheme="minorHAnsi" w:eastAsiaTheme="minorEastAsia" w:hAnsiTheme="minorHAnsi" w:cstheme="minorBidi"/>
          <w:b w:val="0"/>
          <w:sz w:val="22"/>
          <w:szCs w:val="22"/>
          <w:lang w:val="de-CH" w:eastAsia="de-CH"/>
        </w:rPr>
        <w:tab/>
      </w:r>
      <w:r>
        <w:t>Stand der Technik</w:t>
      </w:r>
      <w:r>
        <w:tab/>
      </w:r>
      <w:r>
        <w:fldChar w:fldCharType="begin"/>
      </w:r>
      <w:r>
        <w:instrText xml:space="preserve"> PAGEREF _Toc531888934 \h </w:instrText>
      </w:r>
      <w:r>
        <w:fldChar w:fldCharType="separate"/>
      </w:r>
      <w:r>
        <w:t>27</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A: Beispiele für die Gliederung von Abschlussarbeiten</w:t>
      </w:r>
      <w:r>
        <w:tab/>
      </w:r>
      <w:r>
        <w:fldChar w:fldCharType="begin"/>
      </w:r>
      <w:r>
        <w:instrText xml:space="preserve"> PAGEREF _Toc531888935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A.1 Literaturarbeiten</w:t>
      </w:r>
      <w:r>
        <w:tab/>
      </w:r>
      <w:r>
        <w:fldChar w:fldCharType="begin"/>
      </w:r>
      <w:r>
        <w:instrText xml:space="preserve"> PAGEREF _Toc531888936 \h </w:instrText>
      </w:r>
      <w:r>
        <w:fldChar w:fldCharType="separate"/>
      </w:r>
      <w:r>
        <w:t>28</w:t>
      </w:r>
      <w:r>
        <w:fldChar w:fldCharType="end"/>
      </w:r>
    </w:p>
    <w:p w:rsidR="00956100" w:rsidRDefault="00956100">
      <w:pPr>
        <w:pStyle w:val="Verzeichnis2"/>
        <w:rPr>
          <w:rFonts w:asciiTheme="minorHAnsi" w:eastAsiaTheme="minorEastAsia" w:hAnsiTheme="minorHAnsi" w:cstheme="minorBidi"/>
          <w:sz w:val="22"/>
          <w:szCs w:val="22"/>
          <w:lang w:val="de-CH" w:eastAsia="de-CH"/>
        </w:rPr>
      </w:pPr>
      <w:r>
        <w:t>A.2 Systementwicklungen</w:t>
      </w:r>
      <w:r>
        <w:tab/>
      </w:r>
      <w:r>
        <w:fldChar w:fldCharType="begin"/>
      </w:r>
      <w:r>
        <w:instrText xml:space="preserve"> PAGEREF _Toc531888937 \h </w:instrText>
      </w:r>
      <w:r>
        <w:fldChar w:fldCharType="separate"/>
      </w:r>
      <w:r>
        <w:t>28</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Anhang B: Formatvorlagen</w:t>
      </w:r>
      <w:r>
        <w:tab/>
      </w:r>
      <w:r>
        <w:fldChar w:fldCharType="begin"/>
      </w:r>
      <w:r>
        <w:instrText xml:space="preserve"> PAGEREF _Toc531888938 \h </w:instrText>
      </w:r>
      <w:r>
        <w:fldChar w:fldCharType="separate"/>
      </w:r>
      <w:r>
        <w:t>29</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Glossar</w:t>
      </w:r>
      <w:r>
        <w:tab/>
      </w:r>
      <w:r>
        <w:fldChar w:fldCharType="begin"/>
      </w:r>
      <w:r>
        <w:instrText xml:space="preserve"> PAGEREF _Toc531888939 \h </w:instrText>
      </w:r>
      <w:r>
        <w:fldChar w:fldCharType="separate"/>
      </w:r>
      <w:r>
        <w:t>30</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Quellenverzeichnis</w:t>
      </w:r>
      <w:r>
        <w:tab/>
      </w:r>
      <w:r>
        <w:fldChar w:fldCharType="begin"/>
      </w:r>
      <w:r>
        <w:instrText xml:space="preserve"> PAGEREF _Toc531888940 \h </w:instrText>
      </w:r>
      <w:r>
        <w:fldChar w:fldCharType="separate"/>
      </w:r>
      <w:r>
        <w:t>31</w:t>
      </w:r>
      <w:r>
        <w:fldChar w:fldCharType="end"/>
      </w:r>
    </w:p>
    <w:p w:rsidR="00956100" w:rsidRDefault="00956100">
      <w:pPr>
        <w:pStyle w:val="Verzeichnis1"/>
        <w:rPr>
          <w:rFonts w:asciiTheme="minorHAnsi" w:eastAsiaTheme="minorEastAsia" w:hAnsiTheme="minorHAnsi" w:cstheme="minorBidi"/>
          <w:b w:val="0"/>
          <w:sz w:val="22"/>
          <w:szCs w:val="22"/>
          <w:lang w:val="de-CH" w:eastAsia="de-CH"/>
        </w:rPr>
      </w:pPr>
      <w:r>
        <w:t>Stichwortverzeichnis</w:t>
      </w:r>
      <w:r>
        <w:tab/>
      </w:r>
      <w:r>
        <w:fldChar w:fldCharType="begin"/>
      </w:r>
      <w:r>
        <w:instrText xml:space="preserve"> PAGEREF _Toc531888941 \h </w:instrText>
      </w:r>
      <w:r>
        <w:fldChar w:fldCharType="separate"/>
      </w:r>
      <w:r>
        <w:t>32</w:t>
      </w:r>
      <w:r>
        <w:fldChar w:fldCharType="end"/>
      </w:r>
    </w:p>
    <w:p w:rsidR="00284FA6" w:rsidRDefault="00284FA6">
      <w:pPr>
        <w:pStyle w:val="berschrift1"/>
        <w:numPr>
          <w:ilvl w:val="0"/>
          <w:numId w:val="0"/>
        </w:numPr>
      </w:pPr>
      <w:r>
        <w:rPr>
          <w:noProof/>
          <w:sz w:val="24"/>
        </w:rPr>
        <w:lastRenderedPageBreak/>
        <w:fldChar w:fldCharType="end"/>
      </w:r>
      <w:bookmarkStart w:id="6" w:name="_Toc531888902"/>
      <w:r>
        <w:t>Abbildungsverzeichnis</w:t>
      </w:r>
      <w:bookmarkEnd w:id="6"/>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"Abbildung" </w:instrText>
      </w:r>
      <w:r>
        <w:fldChar w:fldCharType="separate"/>
      </w:r>
      <w:r w:rsidR="00824316">
        <w:t>Abbildung 1: Verbinden eines Textteils mit einer Formatvorlage</w:t>
      </w:r>
      <w:r w:rsidR="00824316">
        <w:tab/>
      </w:r>
      <w:r w:rsidR="00824316">
        <w:fldChar w:fldCharType="begin"/>
      </w:r>
      <w:r w:rsidR="00824316">
        <w:instrText xml:space="preserve"> PAGEREF _Toc493178515 \h </w:instrText>
      </w:r>
      <w:r w:rsidR="00824316">
        <w:fldChar w:fldCharType="separate"/>
      </w:r>
      <w:r w:rsidR="00824316">
        <w:t>23</w:t>
      </w:r>
      <w:r w:rsidR="00824316">
        <w:fldChar w:fldCharType="end"/>
      </w:r>
    </w:p>
    <w:p w:rsidR="00824316" w:rsidRDefault="00824316">
      <w:pPr>
        <w:pStyle w:val="Abbildungsverzeichnis"/>
        <w:rPr>
          <w:rFonts w:asciiTheme="minorHAnsi" w:eastAsiaTheme="minorEastAsia" w:hAnsiTheme="minorHAnsi" w:cstheme="minorBidi"/>
          <w:sz w:val="22"/>
          <w:szCs w:val="22"/>
        </w:rPr>
      </w:pPr>
      <w:r>
        <w:t>Abbildung 2: Verschiedene Schriftarten</w:t>
      </w:r>
      <w:r>
        <w:tab/>
      </w:r>
      <w:r>
        <w:fldChar w:fldCharType="begin"/>
      </w:r>
      <w:r>
        <w:instrText xml:space="preserve"> PAGEREF _Toc493178516 \h </w:instrText>
      </w:r>
      <w:r>
        <w:fldChar w:fldCharType="separate"/>
      </w:r>
      <w:r>
        <w:t>24</w:t>
      </w:r>
      <w:r>
        <w:fldChar w:fldCharType="end"/>
      </w:r>
    </w:p>
    <w:p w:rsidR="00824316" w:rsidRDefault="00824316">
      <w:pPr>
        <w:pStyle w:val="Abbildungsverzeichnis"/>
        <w:rPr>
          <w:rFonts w:asciiTheme="minorHAnsi" w:eastAsiaTheme="minorEastAsia" w:hAnsiTheme="minorHAnsi" w:cstheme="minorBidi"/>
          <w:sz w:val="22"/>
          <w:szCs w:val="22"/>
        </w:rPr>
      </w:pPr>
      <w:r>
        <w:t>Abbildung 3: Einfügen von Beschriftungen</w:t>
      </w:r>
      <w:r>
        <w:tab/>
      </w:r>
      <w:r>
        <w:fldChar w:fldCharType="begin"/>
      </w:r>
      <w:r>
        <w:instrText xml:space="preserve"> PAGEREF _Toc493178517 \h </w:instrText>
      </w:r>
      <w:r>
        <w:fldChar w:fldCharType="separate"/>
      </w:r>
      <w:r>
        <w:t>26</w:t>
      </w:r>
      <w:r>
        <w:fldChar w:fldCharType="end"/>
      </w:r>
    </w:p>
    <w:p w:rsidR="00824316" w:rsidRDefault="00824316">
      <w:pPr>
        <w:pStyle w:val="Abbildungsverzeichnis"/>
        <w:rPr>
          <w:rFonts w:asciiTheme="minorHAnsi" w:eastAsiaTheme="minorEastAsia" w:hAnsiTheme="minorHAnsi" w:cstheme="minorBidi"/>
          <w:sz w:val="22"/>
          <w:szCs w:val="22"/>
        </w:rPr>
      </w:pPr>
      <w:r>
        <w:t>Abbildung 4: Einfügen eines Querverweises auf eine Abbildung</w:t>
      </w:r>
      <w:r>
        <w:tab/>
      </w:r>
      <w:r>
        <w:fldChar w:fldCharType="begin"/>
      </w:r>
      <w:r>
        <w:instrText xml:space="preserve"> PAGEREF _Toc493178518 \h </w:instrText>
      </w:r>
      <w:r>
        <w:fldChar w:fldCharType="separate"/>
      </w:r>
      <w:r>
        <w:t>27</w:t>
      </w:r>
      <w:r>
        <w:fldChar w:fldCharType="end"/>
      </w:r>
    </w:p>
    <w:p w:rsidR="00824316" w:rsidRDefault="00824316">
      <w:pPr>
        <w:pStyle w:val="Abbildungsverzeichnis"/>
        <w:rPr>
          <w:rFonts w:asciiTheme="minorHAnsi" w:eastAsiaTheme="minorEastAsia" w:hAnsiTheme="minorHAnsi" w:cstheme="minorBidi"/>
          <w:sz w:val="22"/>
          <w:szCs w:val="22"/>
        </w:rPr>
      </w:pPr>
      <w:r>
        <w:t>Abbildung 5: Formatierung von Nummerierungen, Aufzählungen und Einrückungen</w:t>
      </w:r>
      <w:r>
        <w:tab/>
      </w:r>
      <w:r>
        <w:fldChar w:fldCharType="begin"/>
      </w:r>
      <w:r>
        <w:instrText xml:space="preserve"> PAGEREF _Toc493178519 \h </w:instrText>
      </w:r>
      <w:r>
        <w:fldChar w:fldCharType="separate"/>
      </w:r>
      <w:r>
        <w:t>30</w:t>
      </w:r>
      <w:r>
        <w:fldChar w:fldCharType="end"/>
      </w:r>
    </w:p>
    <w:p w:rsidR="00284FA6" w:rsidRDefault="00284FA6">
      <w:r>
        <w:fldChar w:fldCharType="end"/>
      </w:r>
    </w:p>
    <w:p w:rsidR="00284FA6" w:rsidRDefault="00284FA6">
      <w:pPr>
        <w:pStyle w:val="berschrift1"/>
        <w:pageBreakBefore w:val="0"/>
        <w:numPr>
          <w:ilvl w:val="0"/>
          <w:numId w:val="0"/>
        </w:numPr>
      </w:pPr>
      <w:bookmarkStart w:id="7" w:name="_Toc531888903"/>
      <w:r>
        <w:t>Tabellenverzeichnis</w:t>
      </w:r>
      <w:bookmarkEnd w:id="7"/>
    </w:p>
    <w:p w:rsidR="00824316" w:rsidRDefault="00284FA6">
      <w:pPr>
        <w:pStyle w:val="Abbildungsverzeichnis"/>
        <w:rPr>
          <w:rFonts w:asciiTheme="minorHAnsi" w:eastAsiaTheme="minorEastAsia" w:hAnsiTheme="minorHAnsi" w:cstheme="minorBidi"/>
          <w:sz w:val="22"/>
          <w:szCs w:val="22"/>
        </w:rPr>
      </w:pPr>
      <w:r>
        <w:fldChar w:fldCharType="begin"/>
      </w:r>
      <w:r>
        <w:instrText xml:space="preserve"> TOC \c "Tabelle" </w:instrText>
      </w:r>
      <w:r>
        <w:fldChar w:fldCharType="separate"/>
      </w:r>
      <w:r w:rsidR="00824316">
        <w:t>Tabelle 1: Unterschiede zwischen Abbildungen und Tabellen</w:t>
      </w:r>
      <w:r w:rsidR="00824316">
        <w:tab/>
      </w:r>
      <w:r w:rsidR="00824316">
        <w:fldChar w:fldCharType="begin"/>
      </w:r>
      <w:r w:rsidR="00824316">
        <w:instrText xml:space="preserve"> PAGEREF _Toc493178520 \h </w:instrText>
      </w:r>
      <w:r w:rsidR="00824316">
        <w:fldChar w:fldCharType="separate"/>
      </w:r>
      <w:r w:rsidR="00824316">
        <w:t>27</w:t>
      </w:r>
      <w:r w:rsidR="00824316">
        <w:fldChar w:fldCharType="end"/>
      </w:r>
    </w:p>
    <w:p w:rsidR="00824316" w:rsidRDefault="00824316">
      <w:pPr>
        <w:pStyle w:val="Abbildungsverzeichnis"/>
        <w:rPr>
          <w:rFonts w:asciiTheme="minorHAnsi" w:eastAsiaTheme="minorEastAsia" w:hAnsiTheme="minorHAnsi" w:cstheme="minorBidi"/>
          <w:sz w:val="22"/>
          <w:szCs w:val="22"/>
        </w:rPr>
      </w:pPr>
      <w:r>
        <w:t>Tabelle 2: Beispiele für Überschriftebenen</w:t>
      </w:r>
      <w:r>
        <w:tab/>
      </w:r>
      <w:r>
        <w:fldChar w:fldCharType="begin"/>
      </w:r>
      <w:r>
        <w:instrText xml:space="preserve"> PAGEREF _Toc493178521 \h </w:instrText>
      </w:r>
      <w:r>
        <w:fldChar w:fldCharType="separate"/>
      </w:r>
      <w:r>
        <w:t>32</w:t>
      </w:r>
      <w:r>
        <w:fldChar w:fldCharType="end"/>
      </w:r>
    </w:p>
    <w:p w:rsidR="00824316" w:rsidRDefault="00824316">
      <w:pPr>
        <w:pStyle w:val="Abbildungsverzeichnis"/>
        <w:rPr>
          <w:rFonts w:asciiTheme="minorHAnsi" w:eastAsiaTheme="minorEastAsia" w:hAnsiTheme="minorHAnsi" w:cstheme="minorBidi"/>
          <w:sz w:val="22"/>
          <w:szCs w:val="22"/>
        </w:rPr>
      </w:pPr>
      <w:r>
        <w:t>Tabelle 3: Aufstellung der wichtigsten Formatvorlagen der Dokumentvorlage</w:t>
      </w:r>
      <w:r>
        <w:tab/>
      </w:r>
      <w:r>
        <w:fldChar w:fldCharType="begin"/>
      </w:r>
      <w:r>
        <w:instrText xml:space="preserve"> PAGEREF _Toc493178522 \h </w:instrText>
      </w:r>
      <w:r>
        <w:fldChar w:fldCharType="separate"/>
      </w:r>
      <w:r>
        <w:t>43</w:t>
      </w:r>
      <w:r>
        <w:fldChar w:fldCharType="end"/>
      </w:r>
    </w:p>
    <w:p w:rsidR="00284FA6" w:rsidRDefault="00284FA6">
      <w:pPr>
        <w:pStyle w:val="berschrift1"/>
        <w:numPr>
          <w:ilvl w:val="0"/>
          <w:numId w:val="0"/>
        </w:numPr>
      </w:pPr>
      <w:r>
        <w:lastRenderedPageBreak/>
        <w:fldChar w:fldCharType="end"/>
      </w:r>
      <w:bookmarkStart w:id="8" w:name="_Toc531888904"/>
      <w:r>
        <w:t>Abkürzungsverzeichnis</w:t>
      </w:r>
      <w:bookmarkEnd w:id="8"/>
    </w:p>
    <w:p w:rsidR="00284FA6" w:rsidRDefault="00284FA6">
      <w:pPr>
        <w:tabs>
          <w:tab w:val="left" w:pos="1440"/>
        </w:tabs>
      </w:pPr>
      <w:r>
        <w:t>HBI</w:t>
      </w:r>
      <w:r>
        <w:tab/>
        <w:t>Hochschule für Bibliotheks- und Informationswesen</w:t>
      </w:r>
    </w:p>
    <w:p w:rsidR="00284FA6" w:rsidRDefault="00284FA6">
      <w:pPr>
        <w:tabs>
          <w:tab w:val="left" w:pos="1440"/>
        </w:tabs>
      </w:pPr>
      <w:r>
        <w:t>HdM</w:t>
      </w:r>
      <w:r>
        <w:tab/>
        <w:t>Hochschule der Medien</w:t>
      </w:r>
    </w:p>
    <w:p w:rsidR="00284FA6" w:rsidRDefault="00284FA6">
      <w:pPr>
        <w:pStyle w:val="berschrift1"/>
        <w:numPr>
          <w:ilvl w:val="0"/>
          <w:numId w:val="0"/>
        </w:numPr>
      </w:pPr>
      <w:bookmarkStart w:id="9" w:name="_Toc531888905"/>
      <w:r>
        <w:lastRenderedPageBreak/>
        <w:t>Vorwort</w:t>
      </w:r>
      <w:bookmarkEnd w:id="9"/>
    </w:p>
    <w:p w:rsidR="00486AA1" w:rsidRPr="00486AA1" w:rsidRDefault="00486AA1" w:rsidP="00486AA1">
      <w:r w:rsidRPr="00486AA1">
        <w:t xml:space="preserve">Das iHomeLab der Hochschule Luzern ist Schweizer Denkfabrik und Forschungszentrum für Gebäudeintelligenz. Der Schwerpunkt der Forschung am iHomeLab liegt in den beiden Themenbereichen «Smart Energy Management» (SEM) und „Ambient Assisted Living“ (AAL). In beiden Bereichen werden mittels Netzwerken verschiedener Sensoren Daten vom Gebäude, den Bewohnern und der Umgebung gesammelt, um damit das Gebäude energieeffizienter, sicherer und komfortabler, oder anders gesagt, intelligenter zu machen. </w:t>
      </w:r>
    </w:p>
    <w:p w:rsidR="00486AA1" w:rsidRPr="00486AA1" w:rsidRDefault="00486AA1" w:rsidP="00486AA1">
      <w:r w:rsidRPr="00486AA1">
        <w:t xml:space="preserve">Eine zunehmend wichtige Herausforderung ist der Umgang mit elektrischer Energie, insbesondere aus neuen erneuerbaren Energiequellen wie PV-Anlagen oder Windgeneratoren. Die aus diesen Quellen erzeugte elektrische Energie fällt nicht gleichmässig an, sondern unterliegt grossen, wetterbedingten Schwankungen. Die Sonnenenergie verändert sich zusätzlich während des Tages- und des Jahresverlaufs. </w:t>
      </w:r>
    </w:p>
    <w:p w:rsidR="00FC4B0B" w:rsidRDefault="00486AA1" w:rsidP="00486AA1">
      <w:r w:rsidRPr="00486AA1">
        <w:t xml:space="preserve">Mit der Annahme der Energiestrategie 2050 im Mai 2017 durch das Schweizer Volk ist der Ausstieg aus der Atomenergie und die Förderung der erneuerbaren Energien beschlossen worden. Es wird künftig also einen breiteren Energiemix geben, bei dem neben den neuen Erneuerbaren auch die Wasserkraft eine grosse Rolle spielen wird. Am iHomeLab forschen wir an einem intelligenten Umgang mit der elektrischen Energie. Dabei fokussieren wir auf die Energie aus PV-Anlagen und suchen Strategien, wie der Solarstrom optimal genutzt werden kann. Dabei spielt nicht nur die Eigenverbrauchsoptimierung eines Anlagenbesitzers eine Rolle. Die Optimierung muss auch auf Ebene Quartier bis hin zum Versorgungsgebiet eines EVU betrachtet werden. </w:t>
      </w:r>
    </w:p>
    <w:p w:rsidR="00486AA1" w:rsidRPr="00486AA1" w:rsidRDefault="00486AA1" w:rsidP="00486AA1">
      <w:r w:rsidRPr="00486AA1">
        <w:t xml:space="preserve">Für die Optimierung des Verbrauchs von Solarstrom ist die Kenntnis der zukünftigen Wetterentwicklung vorteilhaft. Denn so kann ein System zur Verbrauchsoptimierung die Wetterentwicklung in die Entscheidung mit einbeziehen, ob ein Haushaltgerät ein- oder ausgeschaltet werden soll. Das ist besonders bei Haushaltgeräten wichtig, die einen Aufwärmvorgang beinhalten, z.B. Waschmaschinen. Wenn das System weiss, dass in der nächsten Zeit die Sonne scheinen wird, kann es die Waschmaschine starten. Andernfalls sollte es damit noch zuwarten, bis dann die Sonne genügend Energie liefern wird. </w:t>
      </w:r>
    </w:p>
    <w:p w:rsidR="00486AA1" w:rsidRPr="00486AA1" w:rsidRDefault="00486AA1" w:rsidP="00486AA1">
      <w:r w:rsidRPr="00486AA1">
        <w:t xml:space="preserve">Zur Vorhersage des Wetters für die nächsten Minuten und Stunden sind die verfügbaren Wetterdaten zu unpräzise. Besonders bei wechselnder Bewölkung liefern die öffentlichen Daten keine zuverlässigen Angaben, wann und wie lange die Sonne durch die Wolken drückt. Optimal wäre dazu ein Gerät, welches vor Ort die Vorhersage auf der Basis von lokalen Beobachtungen liefern könnte. Ein solches Gerät gibt es (http://www.fulcrum3d.com/index.php/cloudcam/technology/), ist aber auf den professionellen Einsatz von Wetterdiensten ausgerichtet. Dieses Produkt ist nicht geeignet für die Eigenverbrauchsoptimierung in Eigenheimen, da die Kosten zu hoch sind. </w:t>
      </w:r>
    </w:p>
    <w:p w:rsidR="00486AA1" w:rsidRPr="00486AA1" w:rsidRDefault="00486AA1" w:rsidP="00486AA1">
      <w:r w:rsidRPr="00486AA1">
        <w:t>In dieser Master Thesis soll deshalb eine kostengünstige Variante eines «Kurzzeitwettervorhersagers» entwickelt werden. Das Gerät soll über handelsübliche Komponenten verfügen (z.B. RaspberryPi mit einer Webcam), um die Kosten tief zu halten. Als Ergebnis soll die Intensität der Sonneneinstrahlung für die unmittelbare Zukunft zur Verfügung stehen. Diese Information kann anschliessend ein System zur Optimierung des Eigenverbrauchs verwenden, um darüber zu entscheiden, welche Haushaltgeräte gestartet werden sollen.</w:t>
      </w:r>
    </w:p>
    <w:p w:rsidR="00284FA6" w:rsidRDefault="00284FA6">
      <w:pPr>
        <w:pStyle w:val="berschrift1"/>
      </w:pPr>
      <w:bookmarkStart w:id="10" w:name="_Ref490562273"/>
      <w:bookmarkStart w:id="11" w:name="_Toc531888906"/>
      <w:r>
        <w:lastRenderedPageBreak/>
        <w:t>Überblick</w:t>
      </w:r>
      <w:bookmarkEnd w:id="10"/>
      <w:bookmarkEnd w:id="11"/>
    </w:p>
    <w:p w:rsidR="00284FA6" w:rsidRDefault="00284FA6">
      <w:r>
        <w:t xml:space="preserve">Wenn man den Erstellungsprozess von </w:t>
      </w:r>
      <w:r w:rsidR="00583AA1">
        <w:t>Abschlussarbeiten</w:t>
      </w:r>
      <w:r>
        <w:t xml:space="preserve"> und anderen wissenschaftlichen Arbeiten beobachtet, fallen einige Merkwürdigkeiten auf:</w:t>
      </w:r>
    </w:p>
    <w:p w:rsidR="00284FA6" w:rsidRDefault="00284FA6" w:rsidP="00284FA6">
      <w:pPr>
        <w:numPr>
          <w:ilvl w:val="0"/>
          <w:numId w:val="25"/>
        </w:numPr>
      </w:pPr>
      <w:r>
        <w:t xml:space="preserve">Prüfungsordnungen betrachten </w:t>
      </w:r>
      <w:r w:rsidR="00583AA1">
        <w:t>Abschlussarbeiten</w:t>
      </w:r>
      <w:r>
        <w:t xml:space="preserve"> in technischer Hinsicht noch weitgehend als eine gebundene Gesamtheit von Schreibmaschinenseiten. Erstellt werden </w:t>
      </w:r>
      <w:r w:rsidR="00583AA1">
        <w:t>Abschlussarbeiten</w:t>
      </w:r>
      <w:r>
        <w:t xml:space="preserve"> aber mit Textsystemen auf dem Computer.</w:t>
      </w:r>
    </w:p>
    <w:p w:rsidR="00284FA6" w:rsidRDefault="00284FA6" w:rsidP="00284FA6">
      <w:pPr>
        <w:numPr>
          <w:ilvl w:val="0"/>
          <w:numId w:val="25"/>
        </w:numPr>
      </w:pPr>
      <w:r>
        <w:t>Studierende verwenden heutzutage selbstverständlich den Computer als Schreibwerkzeug. Die Textsysteme scheinen ohne Schulung einfach benutzbar zu sein. Dennoch sind die Ergebnisse oft von dürftiger Qualität.</w:t>
      </w:r>
    </w:p>
    <w:p w:rsidR="00284FA6" w:rsidRDefault="00284FA6">
      <w:r>
        <w:t>Erforderlich sind daher zum einen Anleitungen zur Erstellung von wissenschaftlichen Arbeiten, die bereits auf das verwendete Werkzeug, das Textverarbeitungssystem, hin orientiert sind. Zum anderen werden technische Handreichungen und insbesondere auch computerunterstützte Formatvorlagen benötigt, die den technischen Prozess der Texterstellung unterstützen. Schließlich wird eine einfache Anleitung benötigt, um alle gebotenen technischen Mittel auch erfolgreich nutzen zu können.</w:t>
      </w:r>
    </w:p>
    <w:p w:rsidR="00284FA6" w:rsidRDefault="00284FA6">
      <w:r>
        <w:t>Diese Überlegungen liegen der hier vorgestellten Arbeit zugrunde. Dabei werden drei Ziele verfolgt:</w:t>
      </w:r>
    </w:p>
    <w:p w:rsidR="00284FA6" w:rsidRDefault="00284FA6" w:rsidP="00284FA6">
      <w:pPr>
        <w:numPr>
          <w:ilvl w:val="0"/>
          <w:numId w:val="26"/>
        </w:numPr>
      </w:pPr>
      <w:r>
        <w:t>Bereitstellung einer musterhaften Gliederung für wissenschaftliche Arbeiten mit beispielhaften Inhalten,</w:t>
      </w:r>
    </w:p>
    <w:p w:rsidR="00284FA6" w:rsidRDefault="00284FA6" w:rsidP="00284FA6">
      <w:pPr>
        <w:numPr>
          <w:ilvl w:val="0"/>
          <w:numId w:val="26"/>
        </w:numPr>
      </w:pPr>
      <w:r>
        <w:t>Bereitstellung von Formatvorlagen für die wichtigsten Elemente einer wissenschaftlichen Arbeit, dabei wird davon ausgegangen, dass das Textsystem Microsoft Word verwendet wird, da dies an unserer Hochschule wie auch an vielen anderen Orten einen sehr hohen Durchdringungsgrad besitzt</w:t>
      </w:r>
      <w:r w:rsidR="00583AA1">
        <w:rPr>
          <w:rStyle w:val="Funotenzeichen"/>
        </w:rPr>
        <w:footnoteReference w:id="1"/>
      </w:r>
      <w:r>
        <w:t>,</w:t>
      </w:r>
    </w:p>
    <w:p w:rsidR="00284FA6" w:rsidRDefault="00284FA6" w:rsidP="00284FA6">
      <w:pPr>
        <w:numPr>
          <w:ilvl w:val="0"/>
          <w:numId w:val="26"/>
        </w:numPr>
      </w:pPr>
      <w:r>
        <w:t>Bereitstellung einer Anleitung zur Nutzung der angebotenen technischen Möglichkeiten.</w:t>
      </w:r>
    </w:p>
    <w:p w:rsidR="00284FA6" w:rsidRDefault="00284FA6">
      <w:r>
        <w:t xml:space="preserve">Ausgehend von diesen Zielen, die im nachfolgenden Kapitel </w:t>
      </w:r>
      <w:r>
        <w:fldChar w:fldCharType="begin"/>
      </w:r>
      <w:r>
        <w:instrText xml:space="preserve"> REF _Ref491749133 \r \h </w:instrText>
      </w:r>
      <w:r>
        <w:fldChar w:fldCharType="separate"/>
      </w:r>
      <w:r w:rsidR="00824316">
        <w:t>2</w:t>
      </w:r>
      <w:r>
        <w:fldChar w:fldCharType="end"/>
      </w:r>
      <w:r>
        <w:t xml:space="preserve"> im Detail aufgeführt sind, und unter Betrachtung des aktuellen Stands der Technik in Kapitel </w:t>
      </w:r>
      <w:r>
        <w:fldChar w:fldCharType="begin"/>
      </w:r>
      <w:r>
        <w:instrText xml:space="preserve"> REF _Ref491684646 \r \h </w:instrText>
      </w:r>
      <w:r>
        <w:fldChar w:fldCharType="separate"/>
      </w:r>
      <w:r w:rsidR="00824316">
        <w:t>3</w:t>
      </w:r>
      <w:r>
        <w:fldChar w:fldCharType="end"/>
      </w:r>
      <w:r>
        <w:t xml:space="preserve"> wird der eingeschlagene Lösungsansatz in Kapitel </w:t>
      </w:r>
      <w:r>
        <w:fldChar w:fldCharType="begin"/>
      </w:r>
      <w:r>
        <w:instrText xml:space="preserve"> REF _Ref491749227 \r \h </w:instrText>
      </w:r>
      <w:r>
        <w:fldChar w:fldCharType="separate"/>
      </w:r>
      <w:r w:rsidR="00824316">
        <w:t>4</w:t>
      </w:r>
      <w:r>
        <w:fldChar w:fldCharType="end"/>
      </w:r>
      <w:r>
        <w:t xml:space="preserve"> </w:t>
      </w:r>
      <w:r w:rsidR="00583AA1">
        <w:t>beschrieben. Dieser besteht im W</w:t>
      </w:r>
      <w:r>
        <w:t>esentlichen in der Erstellung eines einzigen Textdokuments, nämlich der hier vorgelegten Arbeit. Dieses Textdokument bringt die Formatvorlagen zur Formatierung von wissenschaftlichen Arbeiten mit, enthält Anleitungen zum Schreiben von wissenschaftlichen Arbeiten mit dem Textsystem Microsoft Word und ist in formaler Hinsicht selbst aufgebaut wie eine Diplomarbeit an der Hochschule für Bibliotheks- und Informationswesen.</w:t>
      </w:r>
    </w:p>
    <w:p w:rsidR="00284FA6" w:rsidRDefault="00284FA6">
      <w:r>
        <w:t xml:space="preserve">Die Hauptteile der Arbeit sind die Beschreibung des vorgeschlagenen Musters für die Gliederung von wissenschaftlichen Arbeiten in Kapitel </w:t>
      </w:r>
      <w:r>
        <w:fldChar w:fldCharType="begin"/>
      </w:r>
      <w:r>
        <w:instrText xml:space="preserve"> REF _Ref491749304 \r \h </w:instrText>
      </w:r>
      <w:r>
        <w:fldChar w:fldCharType="separate"/>
      </w:r>
      <w:r w:rsidR="00824316">
        <w:t>5</w:t>
      </w:r>
      <w:r>
        <w:fldChar w:fldCharType="end"/>
      </w:r>
      <w:r>
        <w:t xml:space="preserve">, die Beschreibung der zur Verfügung stehenden Formatvorlagen in Kapitel </w:t>
      </w:r>
      <w:r>
        <w:fldChar w:fldCharType="begin"/>
      </w:r>
      <w:r>
        <w:instrText xml:space="preserve"> REF _Ref491350699 \r \h </w:instrText>
      </w:r>
      <w:r>
        <w:fldChar w:fldCharType="separate"/>
      </w:r>
      <w:r w:rsidR="00824316">
        <w:t>6</w:t>
      </w:r>
      <w:r>
        <w:fldChar w:fldCharType="end"/>
      </w:r>
      <w:r>
        <w:t xml:space="preserve"> sowie die Hinweise zur Nutzung von Funktionalitäten des Textsystems Microsoft Word für die Textgestaltung in Kapitel </w:t>
      </w:r>
      <w:r>
        <w:fldChar w:fldCharType="begin"/>
      </w:r>
      <w:r>
        <w:instrText xml:space="preserve"> REF _Ref492800471 \r \h </w:instrText>
      </w:r>
      <w:r>
        <w:fldChar w:fldCharType="separate"/>
      </w:r>
      <w:r w:rsidR="00824316">
        <w:t>7</w:t>
      </w:r>
      <w:r>
        <w:fldChar w:fldCharType="end"/>
      </w:r>
      <w:r>
        <w:t>. Eine Zusammenfassung, die den Nutzen der Arbeit beschreibt und einen Ausblick auf zukünftige Weiterentwicklungen gibt, schließt die Arbeit ab.</w:t>
      </w:r>
    </w:p>
    <w:p w:rsidR="00284FA6" w:rsidRDefault="00284FA6">
      <w:r>
        <w:t xml:space="preserve">Das Ergebnis ist ein Angebot, das alle Studierenden nutzen können, aber nicht zu nutzen brauchen. Die existierenden Regelungen (Studien- und Prüfungsordnung, Merkblatt) für </w:t>
      </w:r>
      <w:r w:rsidR="00583AA1">
        <w:t>Abschlussarbeiten</w:t>
      </w:r>
      <w:r>
        <w:t xml:space="preserve"> und andere wissenschaftliche Arbeiten werden durch diese Dokumentvorlage und die darin enthaltenen Anleitungen </w:t>
      </w:r>
      <w:r>
        <w:lastRenderedPageBreak/>
        <w:t>keinesfalls ersetzt. Sie gelten selbstverständlich weiterhin und stellen nach wie vor die rechtlich verbindlichen Quellen dar. Bei vernünftigem Gebrauch kann die Dokumentvorlage aber zur wirkungsvollen Unterstützung der Einhaltung dieser Regelungen genutzt werden.</w:t>
      </w:r>
      <w:r>
        <w:rPr>
          <w:rStyle w:val="Funotenzeichen"/>
        </w:rPr>
        <w:footnoteReference w:id="2"/>
      </w:r>
    </w:p>
    <w:p w:rsidR="00284FA6" w:rsidRDefault="00284FA6">
      <w:pPr>
        <w:pStyle w:val="berschrift1"/>
      </w:pPr>
      <w:bookmarkStart w:id="12" w:name="_Ref491749133"/>
      <w:bookmarkStart w:id="13" w:name="_Ref491749190"/>
      <w:bookmarkStart w:id="14" w:name="_Toc531888907"/>
      <w:r>
        <w:lastRenderedPageBreak/>
        <w:t>Ziele</w:t>
      </w:r>
      <w:bookmarkEnd w:id="12"/>
      <w:bookmarkEnd w:id="13"/>
      <w:bookmarkEnd w:id="14"/>
    </w:p>
    <w:p w:rsidR="00284FA6" w:rsidRDefault="00284FA6">
      <w:r>
        <w:t xml:space="preserve">Ziel dieser Arbeit ist es, die am Fachbereich Information und Kommunikation der Hochschule der Medien (HdM) </w:t>
      </w:r>
      <w:r w:rsidR="00583AA1">
        <w:t xml:space="preserve">Stuttgart </w:t>
      </w:r>
      <w:r>
        <w:t>gängigen formalen Standards bei der Erstellung von wissenschaftlichen Arbeiten festzuhalten, weiterzuentwickeln und in Form einer Dokumentvorlage zur Verfügung zu stellen.</w:t>
      </w:r>
    </w:p>
    <w:p w:rsidR="00284FA6" w:rsidRDefault="00284FA6">
      <w:r>
        <w:t xml:space="preserve">Darüber hinaus soll diese Arbeit Hinweise geben für die sinnvolle Verwendung des Textsystems Microsoft Word zum Zweck der Erstellung von </w:t>
      </w:r>
      <w:r w:rsidR="00583AA1">
        <w:t>Abschlussarbeiten</w:t>
      </w:r>
      <w:r>
        <w:t xml:space="preserve"> und anderen wissenschaftlichen Arbeiten.</w:t>
      </w:r>
    </w:p>
    <w:p w:rsidR="00284FA6" w:rsidRDefault="00284FA6">
      <w:r>
        <w:t>Leitideen der vorliegenden Arbeit betreffen insbesondere die Qualitätssicherung, die Arbeitserleichterung und die Angebotsorientiertheit</w:t>
      </w:r>
      <w:r>
        <w:fldChar w:fldCharType="begin"/>
      </w:r>
      <w:r>
        <w:instrText xml:space="preserve"> XE "Angebotsorientiertheit" </w:instrText>
      </w:r>
      <w:r>
        <w:fldChar w:fldCharType="end"/>
      </w:r>
      <w:r>
        <w:t>.</w:t>
      </w:r>
    </w:p>
    <w:p w:rsidR="00284FA6" w:rsidRDefault="00284FA6" w:rsidP="00284FA6">
      <w:pPr>
        <w:numPr>
          <w:ilvl w:val="0"/>
          <w:numId w:val="13"/>
        </w:numPr>
      </w:pPr>
      <w:r>
        <w:t>Ein wesentliches Ziel dieser Arbeit besteht in der Qualitätssicherung</w:t>
      </w:r>
      <w:r>
        <w:fldChar w:fldCharType="begin"/>
      </w:r>
      <w:r>
        <w:instrText xml:space="preserve"> XE "Qualitätssicherung" </w:instrText>
      </w:r>
      <w:r>
        <w:fldChar w:fldCharType="end"/>
      </w:r>
      <w:r>
        <w:t xml:space="preserve"> wissenschaftlicher Arbeiten hinsichtlich formaler Kriterien. Dokumentvorlagen erlauben es, die Einhaltung dieser formalen Kriterien durch den Computer zu unterstützen.</w:t>
      </w:r>
    </w:p>
    <w:p w:rsidR="00284FA6" w:rsidRDefault="00284FA6" w:rsidP="00284FA6">
      <w:pPr>
        <w:numPr>
          <w:ilvl w:val="0"/>
          <w:numId w:val="12"/>
        </w:numPr>
      </w:pPr>
      <w:r>
        <w:t>Ein weiteres Ziel besteht in der Arbeitserleichterung</w:t>
      </w:r>
      <w:r>
        <w:fldChar w:fldCharType="begin"/>
      </w:r>
      <w:r>
        <w:instrText xml:space="preserve"> XE "Arbeitserleichterung" </w:instrText>
      </w:r>
      <w:r>
        <w:fldChar w:fldCharType="end"/>
      </w:r>
      <w:r>
        <w:t xml:space="preserve"> bei der Erstellung wissenschaftlicher Arbeiten. Die Studierenden brauchen weniger Augenmerk auf formale Dinge aufzuwenden und haben mehr Zeit für die Erarbeitung von Inhalten. Die Dozenten haben weniger Beratungsaufwand. </w:t>
      </w:r>
    </w:p>
    <w:p w:rsidR="00284FA6" w:rsidRDefault="00284FA6" w:rsidP="00284FA6">
      <w:pPr>
        <w:numPr>
          <w:ilvl w:val="0"/>
          <w:numId w:val="12"/>
        </w:numPr>
      </w:pPr>
      <w:r>
        <w:t xml:space="preserve">Die Verwendung der Dokumentvorlage soll nicht verpflichtend für die Erstellung von </w:t>
      </w:r>
      <w:r w:rsidR="00583AA1">
        <w:t>Abschlussarbeiten</w:t>
      </w:r>
      <w:r>
        <w:t xml:space="preserve"> und anderen wissenschaftlichen Arbeiten an unserer Hochschule werden. Beabsichtigt ist ein Angebot, das alle Studierenden nutzen können, aber nicht zu nutzen brauchen.</w:t>
      </w:r>
    </w:p>
    <w:p w:rsidR="00284FA6" w:rsidRDefault="00284FA6">
      <w:r>
        <w:t xml:space="preserve">Alle diese Dokumentvorlage Nutzenden sollten sich freilich bewusst sein, dass die an der HdM (und gewiss auch die in anderen Hochschulen) geltenden Richtlinien einen großen Spielraum für die Textgestaltung eröffnen. Die hier vorgelegte Dokumentvorlage eröffnet hierfür </w:t>
      </w:r>
      <w:r>
        <w:rPr>
          <w:i/>
        </w:rPr>
        <w:t>einen</w:t>
      </w:r>
      <w:r>
        <w:t xml:space="preserve"> möglichen Lösungsansatz, der den Präferenzen des Autors dieser Arbeit entspricht. Selbstverständlich gibt es unzählige andere Ansätze, die ebenso brauchbare, wenn nicht noch ansprechendere Ergebnisse versprechen. Eine sehr empfehlenswerte Art der Verwendung dieser Dokumentvorlage ist daher auch, diese zum Ausgangspunkt für individuelle Weiterentwicklungen zu verwenden. In jedem Fall ist es auch sehr sinnvoll, die betreuenden Dozentinnen und Dozenten in die Gestaltungsentscheidungen einzubeziehen; denn deren Präferenzen müssen nicht notwendigerweise mit denen des Autors dieser Arbeit übereinstimmen.</w:t>
      </w:r>
    </w:p>
    <w:p w:rsidR="00CD6A38" w:rsidRDefault="00CD6A38"/>
    <w:p w:rsidR="00CD6A38" w:rsidRDefault="00CD6A38">
      <w:pPr>
        <w:spacing w:before="0" w:line="240" w:lineRule="auto"/>
        <w:jc w:val="left"/>
      </w:pPr>
      <w:r>
        <w:br w:type="page"/>
      </w:r>
    </w:p>
    <w:p w:rsidR="00CD6A38" w:rsidRDefault="0099695C" w:rsidP="00CD6A38">
      <w:pPr>
        <w:pStyle w:val="berschrift1"/>
      </w:pPr>
      <w:bookmarkStart w:id="15" w:name="_Toc531888908"/>
      <w:r>
        <w:lastRenderedPageBreak/>
        <w:t>Solare Strahlung</w:t>
      </w:r>
      <w:bookmarkEnd w:id="15"/>
    </w:p>
    <w:p w:rsidR="0081447D" w:rsidRDefault="00B60278" w:rsidP="0099695C">
      <w:pPr>
        <w:pStyle w:val="berschrift2"/>
      </w:pPr>
      <w:bookmarkStart w:id="16" w:name="_Toc531888909"/>
      <w:r>
        <w:t>Strahlungsangebot der</w:t>
      </w:r>
      <w:r w:rsidR="0081447D">
        <w:t xml:space="preserve"> Sonne</w:t>
      </w:r>
      <w:bookmarkEnd w:id="16"/>
    </w:p>
    <w:p w:rsidR="00B60278" w:rsidRPr="006F6078" w:rsidRDefault="009F1EE3" w:rsidP="00B60278">
      <w:pPr>
        <w:jc w:val="left"/>
        <w:rPr>
          <w:i/>
        </w:rPr>
      </w:pPr>
      <w:r w:rsidRPr="006F6078">
        <w:rPr>
          <w:i/>
        </w:rPr>
        <w:t>Buch: Solar and infrared measurements Kap. 2.2 Seite 25</w:t>
      </w:r>
      <w:r w:rsidR="00B60278">
        <w:rPr>
          <w:i/>
        </w:rPr>
        <w:br/>
      </w:r>
      <w:r w:rsidR="009F0F37">
        <w:rPr>
          <w:i/>
        </w:rPr>
        <w:t xml:space="preserve">Buch Regenerative Energietechnik Kap 3.1 </w:t>
      </w:r>
      <w:r w:rsidR="008507CF">
        <w:rPr>
          <w:i/>
        </w:rPr>
        <w:t>Strahlungsangebot der Sonne</w:t>
      </w:r>
    </w:p>
    <w:p w:rsidR="00DA2BAE" w:rsidRPr="00DA2BAE" w:rsidRDefault="00DA2BAE" w:rsidP="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r w:rsidRPr="00DA2BAE">
        <w:rPr>
          <w:lang w:eastAsia="de-CH"/>
        </w:rPr>
        <w:t>Die Sonne gilt als ein durchschnittlich-si-zed-Stern Nuclear Fusion tief im Inneren des Solar-Innenraums versorgt die Sonne als Wasserstoff kombiniert, um Helium zu bilden. Die Schwerkraft hält die Sonne davon ab, auseinander zu blasen, und der nukleare Fusionszyklus hat die Sonne strahlende Energie in den Raum gebracht ziemlich konstante Rate für Milliarden von Jahren Die effektive Temperatur von</w:t>
      </w:r>
    </w:p>
    <w:p w:rsidR="00DA2BAE" w:rsidRDefault="00DA2BAE" w:rsidP="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r w:rsidRPr="00DA2BAE">
        <w:rPr>
          <w:lang w:eastAsia="de-CH"/>
        </w:rPr>
        <w:t xml:space="preserve">die Sonne ist 5778 K (5505 ° C oder 9941 ° F) Das bedeutet, dass die Sonne ähnlich strahlt, wenn auch nicht genau wie ein schwarzer Körper auf 5778 K. Die Erde ist in einer leicht elliptischen Umlaufbahn mit einer durchschnittlichen Trennung von 149.598.106 km (92.955.888 Meilen) von der Sonne Da die Strahlungsenergieintensität proportional zur Umkehrung der von der Quelle quadrierten Distanz abnimmt, ist die Erdoberflächentemperatur viel kühler als die Sonne mit einer mittleren Temperatur von etwa 287 K </w:t>
      </w:r>
      <w:proofErr w:type="gramStart"/>
      <w:r w:rsidRPr="00DA2BAE">
        <w:rPr>
          <w:lang w:eastAsia="de-CH"/>
        </w:rPr>
        <w:t>( 14</w:t>
      </w:r>
      <w:proofErr w:type="gramEnd"/>
      <w:r w:rsidRPr="00DA2BAE">
        <w:rPr>
          <w:lang w:eastAsia="de-CH"/>
        </w:rPr>
        <w:t xml:space="preserve"> ° C oder 57 ° F) Beachten Sie, dass die Erde ohne den Treibhauseffekt der Erdatmosphäre noch kühler wäre</w:t>
      </w:r>
      <w:r>
        <w:rPr>
          <w:lang w:eastAsia="de-CH"/>
        </w:rPr>
        <w:t>.</w:t>
      </w:r>
    </w:p>
    <w:p w:rsidR="00573F73" w:rsidRDefault="00573F73" w:rsidP="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eastAsia="de-CH"/>
        </w:rPr>
      </w:pPr>
    </w:p>
    <w:p w:rsidR="00573F73" w:rsidRDefault="000D0CE1" w:rsidP="0099695C">
      <w:pPr>
        <w:pStyle w:val="berschrift2"/>
      </w:pPr>
      <w:bookmarkStart w:id="17" w:name="_Toc531888910"/>
      <w:r w:rsidRPr="000D0CE1">
        <w:t>Extraterrestrische Strahlung</w:t>
      </w:r>
      <w:bookmarkEnd w:id="17"/>
    </w:p>
    <w:p w:rsidR="002F36E1" w:rsidRDefault="002F36E1" w:rsidP="002F36E1">
      <w:pPr>
        <w:rPr>
          <w:i/>
        </w:rPr>
      </w:pPr>
      <w:r w:rsidRPr="006F6078">
        <w:rPr>
          <w:i/>
        </w:rPr>
        <w:t>Buch: Solar and infrared measurements Kap. 2.</w:t>
      </w:r>
      <w:r>
        <w:rPr>
          <w:i/>
        </w:rPr>
        <w:t>3</w:t>
      </w:r>
      <w:r w:rsidRPr="006F6078">
        <w:rPr>
          <w:i/>
        </w:rPr>
        <w:t xml:space="preserve"> Seite 25</w:t>
      </w:r>
    </w:p>
    <w:p w:rsidR="002F36E1" w:rsidRPr="002F36E1" w:rsidRDefault="002F36E1" w:rsidP="002F36E1">
      <w:pPr>
        <w:rPr>
          <w:i/>
        </w:rPr>
      </w:pPr>
      <w:r w:rsidRPr="002F36E1">
        <w:rPr>
          <w:i/>
        </w:rPr>
        <w:t>https://tu-dresden.de/bu/umwelt/geo/ipf/fern/studium/tutorial/atmosphaerische-korrekturen/folder-2008-04-07-5554546418/2008-10-28.002004101</w:t>
      </w:r>
    </w:p>
    <w:p w:rsidR="002F36E1" w:rsidRDefault="002F36E1"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
        <w:t>Extraterrestrische Strahlung oder Solarkonstante nennt man den außerhalb der Erdatmosphäre gemessenen Strahlungsstrom. Er beträgt S0 = 1370 W/m² und ist über längere Zeit betrachtet konstant.</w:t>
      </w:r>
    </w:p>
    <w:p w:rsidR="00B17F93" w:rsidRDefault="00B17F9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de-CH" w:eastAsia="de-CH"/>
        </w:rPr>
      </w:pP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Solar radiation incident just above the earth’s atmosphere is called extraterrestrial </w:t>
      </w:r>
      <w:proofErr w:type="gramStart"/>
      <w:r w:rsidRPr="00A05CF4">
        <w:rPr>
          <w:lang w:val="en-US" w:eastAsia="de-CH"/>
        </w:rPr>
        <w:t>radiation  On</w:t>
      </w:r>
      <w:proofErr w:type="gramEnd"/>
      <w:r w:rsidRPr="00A05CF4">
        <w:rPr>
          <w:lang w:val="en-US" w:eastAsia="de-CH"/>
        </w:rPr>
        <w:t xml:space="preserve"> average the accepted extraterrestrial irradiance is 1366 watts/meter2 (Wm−2)  The solar output, called the total solar irradiance (TSI), varies by about 0 1% in proportion to the changing number of sunspots over the 11-year solar cycle  The term TSI is now used to refer to the extraterrestrial radiation instead of the previ-</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ously used term solar constant (I0), an acknowledgment of the very slight variation in the sun’s </w:t>
      </w:r>
      <w:proofErr w:type="gramStart"/>
      <w:r w:rsidRPr="00A05CF4">
        <w:rPr>
          <w:lang w:val="en-US" w:eastAsia="de-CH"/>
        </w:rPr>
        <w:t>output  The</w:t>
      </w:r>
      <w:proofErr w:type="gramEnd"/>
      <w:r w:rsidRPr="00A05CF4">
        <w:rPr>
          <w:lang w:val="en-US" w:eastAsia="de-CH"/>
        </w:rPr>
        <w:t xml:space="preserve"> absolute accuracy to which the TSI can be measured is around ±0 5% (Fröhlich, 2006) </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The eccentricity of the earth’s elliptical orbit is 0 0167 and results in the earth being closest to the sun (perihelion) in early January and fa</w:t>
      </w:r>
      <w:r w:rsidR="00F65BAD" w:rsidRPr="00A05CF4">
        <w:rPr>
          <w:lang w:val="en-US" w:eastAsia="de-CH"/>
        </w:rPr>
        <w:t>rthest from the sun (aph</w:t>
      </w:r>
      <w:r w:rsidRPr="00A05CF4">
        <w:rPr>
          <w:lang w:val="en-US" w:eastAsia="de-CH"/>
        </w:rPr>
        <w:t xml:space="preserve">elion) in early </w:t>
      </w:r>
      <w:proofErr w:type="gramStart"/>
      <w:r w:rsidRPr="00A05CF4">
        <w:rPr>
          <w:lang w:val="en-US" w:eastAsia="de-CH"/>
        </w:rPr>
        <w:t>July  The</w:t>
      </w:r>
      <w:proofErr w:type="gramEnd"/>
      <w:r w:rsidRPr="00A05CF4">
        <w:rPr>
          <w:lang w:val="en-US" w:eastAsia="de-CH"/>
        </w:rPr>
        <w:t xml:space="preserve"> earth and the sun are 1 67% closer at perihelion and 1 67% farther  apart  at  aphelion  than  their  mean  separation   Since  the  solar  intensity  is inversely proportional to the square of the distance from the sun, the extraterrestrial </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irradiance impinging on the earth varies over a range of 6 7% as the earth orbits the </w:t>
      </w:r>
      <w:proofErr w:type="gramStart"/>
      <w:r w:rsidRPr="00A05CF4">
        <w:rPr>
          <w:lang w:val="en-US" w:eastAsia="de-CH"/>
        </w:rPr>
        <w:t>sun  The</w:t>
      </w:r>
      <w:proofErr w:type="gramEnd"/>
      <w:r w:rsidRPr="00A05CF4">
        <w:rPr>
          <w:lang w:val="en-US" w:eastAsia="de-CH"/>
        </w:rPr>
        <w:t xml:space="preserve"> extraterrestrial irradiance outside the earth’s atmosphere on a surface normal to the sun is  DNIo = Io </w:t>
      </w:r>
      <w:r w:rsidRPr="00A05CF4">
        <w:rPr>
          <w:rFonts w:ascii="Cambria Math" w:hAnsi="Cambria Math" w:cs="Cambria Math"/>
          <w:lang w:val="en-US" w:eastAsia="de-CH"/>
        </w:rPr>
        <w:t>⋅</w:t>
      </w:r>
      <w:r w:rsidRPr="00A05CF4">
        <w:rPr>
          <w:lang w:val="en-US" w:eastAsia="de-CH"/>
        </w:rPr>
        <w:t xml:space="preserve">(Rav /R)2[Wm−2 ]   (2 1)where Rav is the mean sun–earth distance, and R is the actual sun–earth distance </w:t>
      </w:r>
    </w:p>
    <w:p w:rsidR="00573F73" w:rsidRPr="00A05CF4" w:rsidRDefault="00573F73"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depending on the day of the year  An approximate equation for (Rav/R)2 is</w:t>
      </w:r>
      <w:r w:rsidR="00F65BAD" w:rsidRPr="00A05CF4">
        <w:rPr>
          <w:lang w:val="en-US" w:eastAsia="de-CH"/>
        </w:rPr>
        <w:t xml:space="preserve"> </w:t>
      </w:r>
      <w:r w:rsidRPr="00A05CF4">
        <w:rPr>
          <w:lang w:val="en-US" w:eastAsia="de-CH"/>
        </w:rPr>
        <w:t xml:space="preserve">where  </w:t>
      </w:r>
      <w:r w:rsidRPr="00573F73">
        <w:rPr>
          <w:lang w:val="de-CH" w:eastAsia="de-CH"/>
        </w:rPr>
        <w:t>β</w:t>
      </w:r>
      <w:r w:rsidRPr="00A05CF4">
        <w:rPr>
          <w:lang w:val="en-US" w:eastAsia="de-CH"/>
        </w:rPr>
        <w:t xml:space="preserve">  = 2</w:t>
      </w:r>
      <w:r w:rsidRPr="00573F73">
        <w:rPr>
          <w:lang w:val="de-CH" w:eastAsia="de-CH"/>
        </w:rPr>
        <w:t>π</w:t>
      </w:r>
      <w:r w:rsidRPr="00A05CF4">
        <w:rPr>
          <w:lang w:val="en-US" w:eastAsia="de-CH"/>
        </w:rPr>
        <w:t>d/365 radians, and d is the day of the</w:t>
      </w:r>
      <w:r w:rsidR="00F65BAD" w:rsidRPr="00A05CF4">
        <w:rPr>
          <w:lang w:val="en-US" w:eastAsia="de-CH"/>
        </w:rPr>
        <w:t xml:space="preserve"> year (Spencer, 1971)  For exam</w:t>
      </w:r>
      <w:r w:rsidRPr="00A05CF4">
        <w:rPr>
          <w:lang w:val="en-US" w:eastAsia="de-CH"/>
        </w:rPr>
        <w:t>ple, January 15 is the fifteenth day of the year, and February 15 is the forty-sixth day of the year  Since there are 366 days in a leap year, there is a slight difference in the calculation in leap years  To calculate the extraterrestrial global horizontal irradiance, DNIo is multiplied by the cosine of the solar zenith angle (see Figure 2 6)</w:t>
      </w:r>
    </w:p>
    <w:p w:rsidR="00924E99" w:rsidRPr="00A05CF4" w:rsidRDefault="00924E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F43932" w:rsidRPr="00A05CF4" w:rsidRDefault="00F43932" w:rsidP="00F43932">
      <w:pPr>
        <w:rPr>
          <w:lang w:val="en-US"/>
        </w:rPr>
      </w:pPr>
    </w:p>
    <w:p w:rsidR="00F43932" w:rsidRPr="00A05CF4" w:rsidRDefault="00F43932"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9363B9" w:rsidRPr="009363B9" w:rsidRDefault="009363B9" w:rsidP="0099695C">
      <w:pPr>
        <w:pStyle w:val="berschrift2"/>
      </w:pPr>
      <w:bookmarkStart w:id="18" w:name="_Toc531888911"/>
      <w:r w:rsidRPr="009363B9">
        <w:t>Spektrale Eigenschaft der Sonnenstrahlung</w:t>
      </w:r>
      <w:bookmarkEnd w:id="18"/>
    </w:p>
    <w:p w:rsidR="009363B9" w:rsidRDefault="009363B9" w:rsidP="009363B9">
      <w:pPr>
        <w:rPr>
          <w:i/>
        </w:rPr>
      </w:pPr>
      <w:r w:rsidRPr="006F6078">
        <w:rPr>
          <w:i/>
        </w:rPr>
        <w:t>Buch: Solar and infrared measurements Kap. 2.</w:t>
      </w:r>
      <w:r>
        <w:rPr>
          <w:i/>
        </w:rPr>
        <w:t>11 Seite 42</w:t>
      </w:r>
    </w:p>
    <w:p w:rsidR="00D668E0" w:rsidRPr="00A05CF4" w:rsidRDefault="00D668E0" w:rsidP="00D66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lastRenderedPageBreak/>
        <w:t xml:space="preserve">The ultimate source of the sun’s radiative energy is the fusion of hydrogen atoms in the sun’s core  This energy propagates to the surface through a series of absorption and re-emission processes finally reaching the visible part of the sun’s surface, the photosphere, after tens of thousands of years  The spectral distribution of the sun’s radiation is similar to that of a black body that is heated to the temperature of 5778 K  That is, the amount of radiation varies with the wavelength as shown in Figure 2 14  The majority of solar irradiance is between 300 nm and 3,000 nm  The absorption of some solar radiation by the ions in the chromosphere of the sun results in absorption lines in the extraterrestrial solar spectrum  The effect of these ions can be seen in the solar spectrum in Figure 2 14, especially for wavelengths  below about 700 nm The  spectral  distribution  of  incident  solar  radiation  spans  a  large  range  of wavelengths  from  the  ultraviolet  to  the  infrared  with  the  peak  around  500  nm  Approximately 47% of the incident extraterrestrial solar radiation is in the visible wavelengths from 380 nm to 780 nm  The infrared portion of the spectrum with wavelengths greater than 780 nm accounts for another 46% of the incident energy </w:t>
      </w:r>
    </w:p>
    <w:p w:rsidR="00D668E0" w:rsidRPr="00A05CF4" w:rsidRDefault="00D668E0" w:rsidP="00D668E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and the ultraviolet portion of the spectrum below 380 nm accounts for 7% of the extraterrestrial solar radiation As the sunlight passes through the atmosphere, a large portion of the ultraviolet </w:t>
      </w:r>
      <w:r w:rsidR="00A32299" w:rsidRPr="00A05CF4">
        <w:rPr>
          <w:lang w:val="en-US" w:eastAsia="de-CH"/>
        </w:rPr>
        <w:t xml:space="preserve"> </w:t>
      </w:r>
      <w:r w:rsidRPr="00A05CF4">
        <w:rPr>
          <w:lang w:val="en-US" w:eastAsia="de-CH"/>
        </w:rPr>
        <w:t>(UV) radiation is absorbed and scattered  Air molecules scatter the shorter wave-</w:t>
      </w:r>
      <w:r w:rsidR="00A32299" w:rsidRPr="00A05CF4">
        <w:rPr>
          <w:lang w:val="en-US" w:eastAsia="de-CH"/>
        </w:rPr>
        <w:t xml:space="preserve"> </w:t>
      </w:r>
      <w:r w:rsidRPr="00A05CF4">
        <w:rPr>
          <w:lang w:val="en-US" w:eastAsia="de-CH"/>
        </w:rPr>
        <w:t>lengths more strongly than the longer wavelengths  On days with few clouds, the preferential scattering of blue light by air molecules is the reason the sky appears blue  Water vapor and atmospheric aerosols further reduce the amount of direct sun-</w:t>
      </w:r>
    </w:p>
    <w:p w:rsidR="00A32299" w:rsidRPr="00A05CF4" w:rsidRDefault="00D668E0" w:rsidP="00A32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light passing through the atmosphere  The information in Table 2 1 shows that on a clear day approximately 76% of the extraterrestrial direct normal irradiance passes through the atmosphere without being scattered or absorbed  The magnitude of the scattering and absorbing are about equal under these idealized conditions Many  molecules  selectively  scatter  or  absorb  radiation  in  specific  wavelength regions, creating large variations in the solar spectrum as measured at the earth’s surface (Figure 2 15)  The abundance of the atmospheric constituents along the sun-light’s path determines the depth of these absorption regions  Therefore, the solar spectrum depends on the length of the path through the atmosphere and the density</w:t>
      </w:r>
      <w:r w:rsidR="00A32299" w:rsidRPr="00A05CF4">
        <w:rPr>
          <w:lang w:val="en-US" w:eastAsia="de-CH"/>
        </w:rPr>
        <w:t xml:space="preserve"> of the molecules along this path  Said another way, the atmosphere is a highly vari-</w:t>
      </w:r>
    </w:p>
    <w:p w:rsidR="009363B9" w:rsidRPr="00A05CF4" w:rsidRDefault="00A32299" w:rsidP="00A322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able filter affecting the amounts of solar irradiance reaching the surface at any given time and place.</w:t>
      </w:r>
    </w:p>
    <w:p w:rsidR="00924E99" w:rsidRDefault="009363B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de-CH" w:eastAsia="de-CH"/>
        </w:rPr>
      </w:pPr>
      <w:r>
        <w:rPr>
          <w:noProof/>
          <w:lang w:val="de-CH" w:eastAsia="de-CH"/>
        </w:rPr>
        <w:drawing>
          <wp:inline distT="0" distB="0" distL="0" distR="0">
            <wp:extent cx="2877835" cy="2126801"/>
            <wp:effectExtent l="0" t="0" r="0" b="698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883072" cy="2130671"/>
                    </a:xfrm>
                    <a:prstGeom prst="rect">
                      <a:avLst/>
                    </a:prstGeom>
                    <a:noFill/>
                    <a:ln>
                      <a:noFill/>
                    </a:ln>
                  </pic:spPr>
                </pic:pic>
              </a:graphicData>
            </a:graphic>
          </wp:inline>
        </w:drawing>
      </w:r>
    </w:p>
    <w:p w:rsidR="00F43932" w:rsidRDefault="00F43932" w:rsidP="00F43932">
      <w:pPr>
        <w:pStyle w:val="berschrift2"/>
      </w:pPr>
      <w:bookmarkStart w:id="19" w:name="_Toc531888912"/>
      <w:r>
        <w:t>Atmospherische Interaktion</w:t>
      </w:r>
      <w:bookmarkEnd w:id="19"/>
    </w:p>
    <w:p w:rsidR="009669DF" w:rsidRPr="00A05CF4" w:rsidRDefault="00F43932" w:rsidP="00F43932">
      <w:pPr>
        <w:rPr>
          <w:lang w:val="en-US"/>
        </w:rPr>
      </w:pPr>
      <w:r w:rsidRPr="00A05CF4">
        <w:rPr>
          <w:i/>
          <w:lang w:val="en-US"/>
        </w:rPr>
        <w:t>Buch: Solar and infrared measurements Kap. 12.3 Atmospheric Interactions Seite 229</w:t>
      </w:r>
    </w:p>
    <w:p w:rsidR="009669DF" w:rsidRPr="00A05CF4" w:rsidRDefault="009669DF" w:rsidP="00F43932">
      <w:pPr>
        <w:rPr>
          <w:lang w:val="en-US"/>
        </w:rPr>
      </w:pPr>
      <w:proofErr w:type="gramStart"/>
      <w:r w:rsidRPr="00A05CF4">
        <w:rPr>
          <w:lang w:val="en-US"/>
        </w:rPr>
        <w:t>When  solar</w:t>
      </w:r>
      <w:proofErr w:type="gramEnd"/>
      <w:r w:rsidRPr="00A05CF4">
        <w:rPr>
          <w:lang w:val="en-US"/>
        </w:rPr>
        <w:t xml:space="preserve">  radiation  passes  through  the  atmosphere,  complex  interactions  oc-cur depending on the wavelength of the radiation and the composition of the atmosphere at the time  More specifically, solar radiation either passes unscathed to the surface, or it is scattered or absorbed by molecules, aerosols, cloud</w:t>
      </w:r>
      <w:r w:rsidRPr="00A05CF4">
        <w:rPr>
          <w:i/>
          <w:lang w:val="en-US"/>
        </w:rPr>
        <w:t xml:space="preserve"> </w:t>
      </w:r>
    </w:p>
    <w:p w:rsidR="00F43932" w:rsidRPr="00A05CF4" w:rsidRDefault="009669DF" w:rsidP="00F43932">
      <w:pPr>
        <w:rPr>
          <w:i/>
          <w:lang w:val="en-US"/>
        </w:rPr>
      </w:pPr>
      <w:r w:rsidRPr="00A05CF4">
        <w:rPr>
          <w:i/>
          <w:lang w:val="en-US"/>
        </w:rPr>
        <w:t xml:space="preserve">water droplets, and ice crystals </w:t>
      </w:r>
      <w:r w:rsidR="00F43932" w:rsidRPr="00A05CF4">
        <w:rPr>
          <w:i/>
          <w:lang w:val="en-US"/>
        </w:rPr>
        <w:t>Jan Kleissel Solar Energy Forecasting S57 Kap 3.3.2 Aerosols</w:t>
      </w:r>
    </w:p>
    <w:p w:rsidR="00A32299" w:rsidRPr="00A05CF4" w:rsidRDefault="00A322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Default="00830CD9" w:rsidP="00830CD9">
      <w:pPr>
        <w:pStyle w:val="berschrift3"/>
      </w:pPr>
      <w:bookmarkStart w:id="20" w:name="_Toc531888913"/>
      <w:r>
        <w:t>Rayleigh scattering</w:t>
      </w:r>
      <w:bookmarkEnd w:id="20"/>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Molecular scattering is the elastic scattering of solar radiation by the molecules in the atmosphere first explained by Lord Rayleigh (1871)  Many papers have been written describing the scattering of solar radiation by molecules, but it is not a dead subject (Eberhard, 2010)  Bodhaine, Wood, Dutton, and Slusser (1999) thoroughly examined the problem of calculating the molecular scattering optical depth as a function of wavelength  Optical depth, in general, is a measure of the wavelength dependent extinction (by </w:t>
      </w:r>
      <w:r w:rsidRPr="00A05CF4">
        <w:rPr>
          <w:lang w:val="en-US" w:eastAsia="de-CH"/>
        </w:rPr>
        <w:lastRenderedPageBreak/>
        <w:t>scattering or absorption) that occurs as a beam of radiation propagates through a medium  It can be defined using  I(</w:t>
      </w:r>
      <w:r w:rsidRPr="00830CD9">
        <w:rPr>
          <w:lang w:val="de-CH" w:eastAsia="de-CH"/>
        </w:rPr>
        <w:t>λ</w:t>
      </w:r>
      <w:r w:rsidRPr="00A05CF4">
        <w:rPr>
          <w:lang w:val="en-US" w:eastAsia="de-CH"/>
        </w:rPr>
        <w:t>)/I0 (</w:t>
      </w:r>
      <w:r w:rsidRPr="00830CD9">
        <w:rPr>
          <w:lang w:val="de-CH" w:eastAsia="de-CH"/>
        </w:rPr>
        <w:t>λ</w:t>
      </w:r>
      <w:r w:rsidRPr="00A05CF4">
        <w:rPr>
          <w:lang w:val="en-US" w:eastAsia="de-CH"/>
        </w:rPr>
        <w:t>) =e−</w:t>
      </w:r>
      <w:r w:rsidRPr="00830CD9">
        <w:rPr>
          <w:lang w:val="de-CH" w:eastAsia="de-CH"/>
        </w:rPr>
        <w:t>τ</w:t>
      </w:r>
      <w:r w:rsidRPr="00A05CF4">
        <w:rPr>
          <w:lang w:val="en-US" w:eastAsia="de-CH"/>
        </w:rPr>
        <w:t>(</w:t>
      </w:r>
      <w:r w:rsidRPr="00830CD9">
        <w:rPr>
          <w:lang w:val="de-CH" w:eastAsia="de-CH"/>
        </w:rPr>
        <w:t>λ</w:t>
      </w:r>
      <w:r w:rsidRPr="00A05CF4">
        <w:rPr>
          <w:lang w:val="en-US" w:eastAsia="de-CH"/>
        </w:rPr>
        <w:t>)m   (12 1)</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where I0 is the strength of the source (e </w:t>
      </w:r>
      <w:proofErr w:type="gramStart"/>
      <w:r w:rsidRPr="00A05CF4">
        <w:rPr>
          <w:lang w:val="en-US" w:eastAsia="de-CH"/>
        </w:rPr>
        <w:t>g ,</w:t>
      </w:r>
      <w:proofErr w:type="gramEnd"/>
      <w:r w:rsidRPr="00A05CF4">
        <w:rPr>
          <w:lang w:val="en-US" w:eastAsia="de-CH"/>
        </w:rPr>
        <w:t xml:space="preserve"> the spectral solar irradiance) before it enters the atmosphere, I is the strength after it has passed through the atmosphere to the surface, </w:t>
      </w:r>
      <w:r w:rsidRPr="00830CD9">
        <w:rPr>
          <w:lang w:val="de-CH" w:eastAsia="de-CH"/>
        </w:rPr>
        <w:t>τ</w:t>
      </w:r>
      <w:r w:rsidRPr="00A05CF4">
        <w:rPr>
          <w:lang w:val="en-US" w:eastAsia="de-CH"/>
        </w:rPr>
        <w:t xml:space="preserve"> is the optical depth in a vertical path, m is the amount of atmosphere traversed relative to the vertical path, and </w:t>
      </w:r>
      <w:r w:rsidRPr="00830CD9">
        <w:rPr>
          <w:lang w:val="de-CH" w:eastAsia="de-CH"/>
        </w:rPr>
        <w:t>λ</w:t>
      </w:r>
      <w:r w:rsidRPr="00A05CF4">
        <w:rPr>
          <w:lang w:val="en-US" w:eastAsia="de-CH"/>
        </w:rPr>
        <w:t xml:space="preserve"> is wavelength  A good approximation to optical depth by Rayleigh scattering is given by Hansen and Travis (1974):</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P</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R P0 0 008569 (1 0 0113 0 </w:t>
      </w:r>
      <w:proofErr w:type="gramStart"/>
      <w:r w:rsidRPr="00A05CF4">
        <w:rPr>
          <w:lang w:val="en-US" w:eastAsia="de-CH"/>
        </w:rPr>
        <w:t>00013 )</w:t>
      </w:r>
      <w:proofErr w:type="gramEnd"/>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830CD9">
        <w:rPr>
          <w:lang w:val="de-CH" w:eastAsia="de-CH"/>
        </w:rPr>
        <w:t>τ</w:t>
      </w:r>
      <w:r w:rsidRPr="00A05CF4">
        <w:rPr>
          <w:lang w:val="en-US" w:eastAsia="de-CH"/>
        </w:rPr>
        <w:t xml:space="preserve"> = </w:t>
      </w:r>
      <w:r w:rsidRPr="00830CD9">
        <w:rPr>
          <w:lang w:val="de-CH" w:eastAsia="de-CH"/>
        </w:rPr>
        <w:t>λ</w:t>
      </w:r>
      <w:r w:rsidRPr="00A05CF4">
        <w:rPr>
          <w:lang w:val="en-US" w:eastAsia="de-CH"/>
        </w:rPr>
        <w:t xml:space="preserve">−4 + </w:t>
      </w:r>
      <w:r w:rsidRPr="00830CD9">
        <w:rPr>
          <w:lang w:val="de-CH" w:eastAsia="de-CH"/>
        </w:rPr>
        <w:t>λ</w:t>
      </w:r>
      <w:r w:rsidRPr="00A05CF4">
        <w:rPr>
          <w:lang w:val="en-US" w:eastAsia="de-CH"/>
        </w:rPr>
        <w:t xml:space="preserve">−2 + </w:t>
      </w:r>
      <w:r w:rsidRPr="00830CD9">
        <w:rPr>
          <w:lang w:val="de-CH" w:eastAsia="de-CH"/>
        </w:rPr>
        <w:t>λ</w:t>
      </w:r>
      <w:r w:rsidRPr="00A05CF4">
        <w:rPr>
          <w:lang w:val="en-US" w:eastAsia="de-CH"/>
        </w:rPr>
        <w:t>−4</w:t>
      </w:r>
      <w:proofErr w:type="gramStart"/>
      <w:r w:rsidRPr="00A05CF4">
        <w:rPr>
          <w:lang w:val="en-US" w:eastAsia="de-CH"/>
        </w:rPr>
        <w:t xml:space="preserve">   (</w:t>
      </w:r>
      <w:proofErr w:type="gramEnd"/>
      <w:r w:rsidRPr="00A05CF4">
        <w:rPr>
          <w:lang w:val="en-US" w:eastAsia="de-CH"/>
        </w:rPr>
        <w:t>12 2)</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where wavelength </w:t>
      </w:r>
      <w:r w:rsidRPr="00830CD9">
        <w:rPr>
          <w:lang w:val="de-CH" w:eastAsia="de-CH"/>
        </w:rPr>
        <w:t>λ</w:t>
      </w:r>
      <w:r w:rsidRPr="00A05CF4">
        <w:rPr>
          <w:lang w:val="en-US" w:eastAsia="de-CH"/>
        </w:rPr>
        <w:t xml:space="preserve"> is in </w:t>
      </w:r>
      <w:r w:rsidRPr="00830CD9">
        <w:rPr>
          <w:lang w:val="de-CH" w:eastAsia="de-CH"/>
        </w:rPr>
        <w:t>μ</w:t>
      </w:r>
      <w:r w:rsidRPr="00A05CF4">
        <w:rPr>
          <w:lang w:val="en-US" w:eastAsia="de-CH"/>
        </w:rPr>
        <w:t xml:space="preserve">m, P is the pressure at the measurement site within the earth’s atmosphere in kilopascals, and P0 is the standard pressure at sea level equal to 101 325 kilopascals (100 kilopascals = 1000 </w:t>
      </w:r>
      <w:proofErr w:type="gramStart"/>
      <w:r w:rsidRPr="00A05CF4">
        <w:rPr>
          <w:lang w:val="en-US" w:eastAsia="de-CH"/>
        </w:rPr>
        <w:t>millibars)  It</w:t>
      </w:r>
      <w:proofErr w:type="gramEnd"/>
      <w:r w:rsidRPr="00A05CF4">
        <w:rPr>
          <w:lang w:val="en-US" w:eastAsia="de-CH"/>
        </w:rPr>
        <w:t xml:space="preserve"> is evident from examining Equation 12 2 that Rayleigh scattering is most effective in the shortest wavelengths of the solar spectrum and decreases dramatically at longer wavelengths (approxi-</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 xml:space="preserve">mately as </w:t>
      </w:r>
      <w:r w:rsidRPr="00830CD9">
        <w:rPr>
          <w:lang w:val="de-CH" w:eastAsia="de-CH"/>
        </w:rPr>
        <w:t>λ</w:t>
      </w:r>
      <w:r w:rsidRPr="00A05CF4">
        <w:rPr>
          <w:lang w:val="en-US" w:eastAsia="de-CH"/>
        </w:rPr>
        <w:t>–4</w:t>
      </w:r>
      <w:proofErr w:type="gramStart"/>
      <w:r w:rsidRPr="00A05CF4">
        <w:rPr>
          <w:lang w:val="en-US" w:eastAsia="de-CH"/>
        </w:rPr>
        <w:t>)  It</w:t>
      </w:r>
      <w:proofErr w:type="gramEnd"/>
      <w:r w:rsidRPr="00A05CF4">
        <w:rPr>
          <w:lang w:val="en-US" w:eastAsia="de-CH"/>
        </w:rPr>
        <w:t xml:space="preserve"> is also evident that at higher elevations there is less Rayleigh scattering because of lower atmospheric pressure</w:t>
      </w:r>
    </w:p>
    <w:p w:rsidR="00830CD9" w:rsidRPr="00A05CF4" w:rsidRDefault="00830CD9" w:rsidP="00830CD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830CD9" w:rsidRDefault="00830CD9" w:rsidP="00830CD9">
      <w:pPr>
        <w:pStyle w:val="berschrift3"/>
      </w:pPr>
      <w:bookmarkStart w:id="21" w:name="_Toc531888914"/>
      <w:r>
        <w:t>Aerosol scattering and Absorption</w:t>
      </w:r>
      <w:bookmarkEnd w:id="21"/>
    </w:p>
    <w:p w:rsidR="00830CD9" w:rsidRPr="00A05CF4" w:rsidRDefault="00830CD9" w:rsidP="00830CD9">
      <w:pPr>
        <w:rPr>
          <w:lang w:val="en-US"/>
        </w:rPr>
      </w:pPr>
      <w:r w:rsidRPr="00A05CF4">
        <w:rPr>
          <w:i/>
          <w:lang w:val="en-US"/>
        </w:rPr>
        <w:t>Buch: Solar and infrared measurements Kap. 12.3.2 Aerosol scattering and absorpzion Seite 246</w:t>
      </w:r>
    </w:p>
    <w:p w:rsidR="00830CD9" w:rsidRPr="00A05CF4" w:rsidRDefault="0035309C" w:rsidP="00353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Aerosols  are  always  present  in  the  atmosphere   They  manifest  themselves  as  the haze often noticed when looking toward the horizon  Generally, aerosols are concentrated  near  the  surface  but  may  appear  in  layers  especially  when  transported into a region from long distances  When volcanic eruptions occur that are strong enough to inject dust and gases into the stratosphere, such as Mount Pinatubo did in 1991, a stratospheric aerosol layer may persist for years from the sulfur gases that are chemically transformed into aerosols (see Figure 4 9)  The dust particles from an eruption, however, are large and therefore are removed from the atmosphere quickly.</w:t>
      </w:r>
    </w:p>
    <w:p w:rsidR="000D1285" w:rsidRPr="00A05CF4" w:rsidRDefault="000D1285" w:rsidP="003530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0D1285" w:rsidRDefault="000D1285" w:rsidP="000D1285">
      <w:pPr>
        <w:pStyle w:val="berschrift3"/>
      </w:pPr>
      <w:bookmarkStart w:id="22" w:name="_Toc531888915"/>
      <w:r>
        <w:t>Gas and Absorption</w:t>
      </w:r>
      <w:bookmarkEnd w:id="22"/>
    </w:p>
    <w:p w:rsidR="000D1285" w:rsidRPr="00F443C0" w:rsidRDefault="000D1285" w:rsidP="000D1285">
      <w:pPr>
        <w:rPr>
          <w:i/>
        </w:rPr>
      </w:pPr>
      <w:r w:rsidRPr="006F6078">
        <w:rPr>
          <w:i/>
        </w:rPr>
        <w:t>Buch: Solar a</w:t>
      </w:r>
      <w:r>
        <w:rPr>
          <w:i/>
        </w:rPr>
        <w:t>nd infrared measurements Kap. 12.3.</w:t>
      </w:r>
      <w:r w:rsidR="00F443C0">
        <w:rPr>
          <w:i/>
        </w:rPr>
        <w:t>3</w:t>
      </w:r>
      <w:r>
        <w:rPr>
          <w:i/>
        </w:rPr>
        <w:t xml:space="preserve"> </w:t>
      </w:r>
      <w:r w:rsidR="00F443C0">
        <w:rPr>
          <w:i/>
        </w:rPr>
        <w:t xml:space="preserve">Gas Absorbtion </w:t>
      </w:r>
      <w:r>
        <w:rPr>
          <w:i/>
        </w:rPr>
        <w:t>Seite 2</w:t>
      </w:r>
      <w:r w:rsidR="00F443C0">
        <w:rPr>
          <w:i/>
        </w:rPr>
        <w:t>48</w:t>
      </w:r>
    </w:p>
    <w:p w:rsidR="000D1285" w:rsidRPr="00A05CF4" w:rsidRDefault="000D1285" w:rsidP="000D1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r w:rsidRPr="00A05CF4">
        <w:rPr>
          <w:lang w:val="en-US" w:eastAsia="de-CH"/>
        </w:rPr>
        <w:t>The dominant gas absorber affecting the spectral distribution of the incident solar irradiance in the solar spectrum is water vapor with several major absorption bands in the near-infrared  For example, Figure 2 15 indicates the strong water vapor absorption band in the global horizontal irradiance (GHI) spectrum centered near 940 nm  This is of particular importance to many solar photovoltaic (PV) collectors since the peak response of crystalline silicon PV is near the strong water vapor band around 940 nm  Ozone is another important absorber in the atmosphere  However, its strongest absorption is below 380 nm in the Hartley–Huggins bands  The Chappuis ozone band is broad but has modest absorption centered near 610 nm  The Wulf bands in the near-infrared are even less absorbing  Other gases such as O2 and CO2 are everpresent but less significant in the sense that they do not remove a large fraction of the total solar radiation  Nitrogen dioxide (NO2) is an important gas when air pollution concentrations are high  This gas produces a reddish-brown tinge to the skylight</w:t>
      </w:r>
    </w:p>
    <w:p w:rsidR="009F4848" w:rsidRDefault="001F09F3" w:rsidP="001F09F3">
      <w:pPr>
        <w:pStyle w:val="berschrift2"/>
      </w:pPr>
      <w:bookmarkStart w:id="23" w:name="_Toc531888916"/>
      <w:r>
        <w:t>Direct Normal Irradiance</w:t>
      </w:r>
      <w:bookmarkEnd w:id="23"/>
    </w:p>
    <w:p w:rsidR="001F09F3" w:rsidRPr="00A05CF4" w:rsidRDefault="001F09F3" w:rsidP="001F09F3">
      <w:pPr>
        <w:rPr>
          <w:i/>
          <w:lang w:val="en-US"/>
        </w:rPr>
      </w:pPr>
      <w:r w:rsidRPr="00A05CF4">
        <w:rPr>
          <w:i/>
          <w:lang w:val="en-US"/>
        </w:rPr>
        <w:t>Buch: Solar and infrared measurements Kap. 4.1 Overview of direct normal irradiance Seite 94</w:t>
      </w:r>
    </w:p>
    <w:p w:rsidR="00F2556B" w:rsidRPr="00A05CF4" w:rsidRDefault="00F2556B" w:rsidP="00F2556B">
      <w:pPr>
        <w:rPr>
          <w:lang w:val="en-US"/>
        </w:rPr>
      </w:pPr>
      <w:r w:rsidRPr="00A05CF4">
        <w:rPr>
          <w:lang w:val="en-US"/>
        </w:rPr>
        <w:t xml:space="preserve">Solar radiation that arrives at the earth’s surface having come directly from the sun is defined as direct normal irradiance (DNI)  Even if the sky is clear, DNI is smaller than would be measured at the top of the earth’s atmosphere because DNI has under-gone scattering (by molecules and aerosols) and absorption (by gases and aerosols) within the earth’s atmosphere  If clouds are between the sun and the observer, and they are optically thick, then no direct normal irradiance reaches the earth’s sur-face  The global horizontal irradiance (GHI) observed at the surface is a mixture of DNI that reaches the earth’s surface without being </w:t>
      </w:r>
      <w:r w:rsidRPr="00A05CF4">
        <w:rPr>
          <w:lang w:val="en-US"/>
        </w:rPr>
        <w:lastRenderedPageBreak/>
        <w:t xml:space="preserve">scattered or absorbed and diffuse horizontal irradiance (DHI), the irradiance resulting from molecules, aerosols, and clouds scattering of the DNI  This partitioning is ever changing because the atmosphere is not static  The governing equation is  GHI = DNI </w:t>
      </w:r>
      <w:r w:rsidRPr="00A05CF4">
        <w:rPr>
          <w:rFonts w:ascii="Cambria Math" w:hAnsi="Cambria Math" w:cs="Cambria Math"/>
          <w:lang w:val="en-US"/>
        </w:rPr>
        <w:t>⋅</w:t>
      </w:r>
      <w:r w:rsidRPr="00A05CF4">
        <w:rPr>
          <w:lang w:val="en-US"/>
        </w:rPr>
        <w:t xml:space="preserve"> cos(sza) + DHI   (4 1)</w:t>
      </w:r>
    </w:p>
    <w:p w:rsidR="001F09F3" w:rsidRPr="00A05CF4" w:rsidRDefault="00F2556B" w:rsidP="00F2556B">
      <w:pPr>
        <w:rPr>
          <w:lang w:val="en-US"/>
        </w:rPr>
      </w:pPr>
      <w:r w:rsidRPr="00A05CF4">
        <w:rPr>
          <w:lang w:val="en-US"/>
        </w:rPr>
        <w:t>where sza is the solar zenith angle, the angle between the zenith and solar directions  This partitioning is illustrated in Figure 4 1  It is easy to see that the solid dark line GHI is the sum of the direct normal component on the horizontal in gray (the first term in Equation 4 1) plus the dotted line DHI (the second term of the equation)  This is consistent throughout the day until the sun is completely blocked and the first term on the right-hand side in Equation 4 1 goes to zero, leaving GHI equal to DHI between 16:00 and 17:00 and after 17:30 where the solid dark line and the dotted line coincide</w:t>
      </w:r>
    </w:p>
    <w:p w:rsidR="009D2209" w:rsidRPr="00A05CF4" w:rsidRDefault="009D2209" w:rsidP="00F2556B">
      <w:pPr>
        <w:rPr>
          <w:lang w:val="en-US"/>
        </w:rPr>
      </w:pPr>
    </w:p>
    <w:p w:rsidR="009D2209" w:rsidRDefault="009D2209" w:rsidP="009D2209">
      <w:pPr>
        <w:pStyle w:val="berschrift2"/>
      </w:pPr>
      <w:bookmarkStart w:id="24" w:name="_Toc531888917"/>
      <w:r>
        <w:t>Global</w:t>
      </w:r>
      <w:r w:rsidR="007A00FC">
        <w:t xml:space="preserve"> horizontal</w:t>
      </w:r>
      <w:r>
        <w:t xml:space="preserve"> Irradiance</w:t>
      </w:r>
      <w:bookmarkEnd w:id="24"/>
    </w:p>
    <w:p w:rsidR="009D2209" w:rsidRPr="00A05CF4" w:rsidRDefault="009D2209" w:rsidP="009D2209">
      <w:pPr>
        <w:rPr>
          <w:lang w:val="en-US"/>
        </w:rPr>
      </w:pPr>
      <w:r w:rsidRPr="00A05CF4">
        <w:rPr>
          <w:i/>
          <w:lang w:val="en-US"/>
        </w:rPr>
        <w:t>Buch: Solar and infrared measurements Kap. 5.1Introduction to global horizontal irradiance Seite 120</w:t>
      </w:r>
    </w:p>
    <w:p w:rsidR="001F09F3" w:rsidRPr="00A05CF4" w:rsidRDefault="007A00FC" w:rsidP="007A00FC">
      <w:pPr>
        <w:rPr>
          <w:lang w:val="en-US"/>
        </w:rPr>
      </w:pPr>
      <w:r w:rsidRPr="00A05CF4">
        <w:rPr>
          <w:lang w:val="en-US"/>
        </w:rPr>
        <w:t>Global horizontal irradiance (GHI) is the total solar flux available from the hemispheric sky dome that is incident on a horizontal surface  By convention global irradiance implies a hemispheric, 2</w:t>
      </w:r>
      <w:r>
        <w:t>π</w:t>
      </w:r>
      <w:r w:rsidRPr="00A05CF4">
        <w:rPr>
          <w:lang w:val="en-US"/>
        </w:rPr>
        <w:t xml:space="preserve"> steradian, field of view on any surface  GHI is the sum of the solar radiation coming directly from the solar disk, also called the direct normal irradiance (DNI) or “beam irradiance,” which is normal to the rays from the sun, projected (Equation 5 1) onto a horizontal plane and the solar radiation coming from all other directions of the sky dome, or “sky irradiance” (Figure 5 1)  The solar radiation coming from all parts of the sky dome other than directly from the sun is called diffuse horizontal irradiance (DHI)  Planar surfaces of any orientation receive solar radiation directly from the sun plus diffuse radiation from the sky and reflected radiation from the ground  Historically, this has been termed total solar radiation on a tilted surface  Those involved with photovoltaic systems refer to this total irradiance as plane of array (POA) irradiance  Studies of the thermal performance of buildings rely on the amount of solar irradiance on various parts of a building envelope and refer to this total irradiance as global irradiance on tilted surfaces  Traditionally,  the  study  of  nonconcentrating  thermal  collectors has  also  relied  on global irradiance available to tilted flat plate collectors  In this book global horizontal irradiance (GHI) will refer to the total solar irradiance on a horizontal surface  When discussing irradiance on a surface oriented at any angle other than horizontal, the irradiance will be referred to as global tilted irradiance GTI Global irradiance is measured by a pyranometer  The root of the word pyrano is  derived  from  the  Greek  “pyr”  meaning  fire  or  heat  and  “ano”  meaning  sky  Therefore, a pyranometer is a meter for measuring heat from the sky  Earlier versions of the pyranometer were referred to as a 180° pyrheliometer, but the terminology was changed to pyranometer to help avoid the confusion with the term pyrheliometer that</w:t>
      </w:r>
    </w:p>
    <w:p w:rsidR="007A00FC" w:rsidRDefault="007A00FC" w:rsidP="007A00FC">
      <w:r>
        <w:rPr>
          <w:noProof/>
        </w:rPr>
        <w:lastRenderedPageBreak/>
        <w:drawing>
          <wp:inline distT="0" distB="0" distL="0" distR="0">
            <wp:extent cx="2647785" cy="2374972"/>
            <wp:effectExtent l="0" t="0" r="635" b="635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52356" cy="2379072"/>
                    </a:xfrm>
                    <a:prstGeom prst="rect">
                      <a:avLst/>
                    </a:prstGeom>
                    <a:noFill/>
                    <a:ln>
                      <a:noFill/>
                    </a:ln>
                  </pic:spPr>
                </pic:pic>
              </a:graphicData>
            </a:graphic>
          </wp:inline>
        </w:drawing>
      </w:r>
    </w:p>
    <w:p w:rsidR="001642F6" w:rsidRDefault="001642F6" w:rsidP="001642F6">
      <w:pPr>
        <w:pStyle w:val="berschrift2"/>
      </w:pPr>
      <w:bookmarkStart w:id="25" w:name="_Toc531888918"/>
      <w:r>
        <w:t>Diffuse Irradiance</w:t>
      </w:r>
      <w:bookmarkEnd w:id="25"/>
    </w:p>
    <w:p w:rsidR="001642F6" w:rsidRPr="00A05CF4" w:rsidRDefault="001642F6" w:rsidP="001642F6">
      <w:pPr>
        <w:rPr>
          <w:lang w:val="en-US"/>
        </w:rPr>
      </w:pPr>
      <w:r w:rsidRPr="00A05CF4">
        <w:rPr>
          <w:i/>
          <w:lang w:val="en-US"/>
        </w:rPr>
        <w:t xml:space="preserve">Buch: Solar and infrared measurements Kap. </w:t>
      </w:r>
      <w:r w:rsidR="00BD6EF6" w:rsidRPr="00A05CF4">
        <w:rPr>
          <w:i/>
          <w:lang w:val="en-US"/>
        </w:rPr>
        <w:t>6</w:t>
      </w:r>
      <w:r w:rsidRPr="00A05CF4">
        <w:rPr>
          <w:i/>
          <w:lang w:val="en-US"/>
        </w:rPr>
        <w:t xml:space="preserve">.1Introduction </w:t>
      </w:r>
      <w:r w:rsidR="00BD6EF6" w:rsidRPr="00A05CF4">
        <w:rPr>
          <w:i/>
          <w:lang w:val="en-US"/>
        </w:rPr>
        <w:t>178</w:t>
      </w:r>
    </w:p>
    <w:p w:rsidR="00E37B1A" w:rsidRPr="00A05CF4" w:rsidRDefault="00E37B1A" w:rsidP="00E37B1A">
      <w:pPr>
        <w:rPr>
          <w:lang w:val="en-US"/>
        </w:rPr>
      </w:pPr>
      <w:r w:rsidRPr="00A05CF4">
        <w:rPr>
          <w:lang w:val="en-US"/>
        </w:rPr>
        <w:t xml:space="preserve">Diffuse horizontal irradiance (DHI) is defined as the solar irradiance that has been scattered  by  molecules,  aerosols,  and  clouds  in  the  atmosphere  and  received  on  a horizontal surface (refer to Figure 6 1)  Another perspective on diffuse irradiance is that DHI is the skylight portion of the global horizontal irradiance (GHI) remaining after removing the direct normal irradiance (DNI)  DHI is measured by a properly shaded pyranometer, or it can be computed from measurements of DNI and GHI using Equation  4 1   Light  reflected  by  objects  above  the  surface  contributes  to  the  DHI, but light reflected from the horizontal surface is not included  However, the radiation reflected from the surface that is subsequently reflected back to the surface by the atmosphere is included; that is, multiple scattering components are included in DHI A very clear atmosphere gives the sky a deep blue color because of Rayleigh scat-tering of solar radiation by air molecules  (Scattering and absorption of solar radiation will be discussed in more detail in Chapter 12 ) This blue color is produced because air molecules scatter radiation nearly inversely with the fourth power of the wavelength, that is,  scattering </w:t>
      </w:r>
      <w:r w:rsidRPr="00A05CF4">
        <w:rPr>
          <w:rFonts w:ascii="Cambria Math" w:hAnsi="Cambria Math" w:cs="Cambria Math"/>
          <w:lang w:val="en-US"/>
        </w:rPr>
        <w:t>∝</w:t>
      </w:r>
      <w:r>
        <w:t>λ</w:t>
      </w:r>
      <w:r w:rsidRPr="00A05CF4">
        <w:rPr>
          <w:lang w:val="en-US"/>
        </w:rPr>
        <w:t xml:space="preserve">−4  The sun appears yellow or red near the horizon since Rayleigh scattering preferentially removes the bluest light from the transmitted DNI Aerosol-scattered light depends on the aerosol particle size  For “typical” continental aerosols, the scattering is approximately  </w:t>
      </w:r>
      <w:r w:rsidRPr="00A05CF4">
        <w:rPr>
          <w:rFonts w:ascii="Cambria Math" w:hAnsi="Cambria Math" w:cs="Cambria Math"/>
          <w:lang w:val="en-US"/>
        </w:rPr>
        <w:t>∝</w:t>
      </w:r>
      <w:r>
        <w:t>λ</w:t>
      </w:r>
      <w:r w:rsidRPr="00A05CF4">
        <w:rPr>
          <w:lang w:val="en-US"/>
        </w:rPr>
        <w:t xml:space="preserve">−1 3  Heavily polluted skies typically have an even larger negative exponent, and they scatter blue light preferentially, but not as strongly, as in Rayleigh scattering  This wavelength dependence for aerosols is most noticeable in extremely polluted conditions where the solar disk appears red even with the sun high in the sky, when the amount of Rayleigh scattering would ordinarily be insufficient to cause noticeable reddening  Although the sun’s disk appears red for these hazy conditions, skylight appears not blue but milky white, especially near the horizon because all photons are scattered multiple times during these heavy pollution episodes  The range of sky color from dark blue to milky blue to milky white is a rough gauge of the amount of aerosol in the atmosphere Cloud particles have large sizes relative to visible wavelengths, and their scattering wavelength dependence is nearly neutral; therefore, they appear to have the white color of the sun  The spatial distribution of skylight is complex and unpredictable for partly cloudy conditions but can be described mathematically for some conditions  Moon and </w:t>
      </w:r>
    </w:p>
    <w:p w:rsidR="00E37B1A" w:rsidRDefault="00E37B1A" w:rsidP="00E37B1A">
      <w:r>
        <w:rPr>
          <w:noProof/>
        </w:rPr>
        <w:lastRenderedPageBreak/>
        <w:drawing>
          <wp:inline distT="0" distB="0" distL="0" distR="0">
            <wp:extent cx="4524293" cy="3311431"/>
            <wp:effectExtent l="0" t="0" r="0" b="381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30644" cy="3316080"/>
                    </a:xfrm>
                    <a:prstGeom prst="rect">
                      <a:avLst/>
                    </a:prstGeom>
                    <a:noFill/>
                    <a:ln>
                      <a:noFill/>
                    </a:ln>
                  </pic:spPr>
                </pic:pic>
              </a:graphicData>
            </a:graphic>
          </wp:inline>
        </w:drawing>
      </w:r>
    </w:p>
    <w:p w:rsidR="001642F6" w:rsidRPr="00A05CF4" w:rsidRDefault="00E37B1A" w:rsidP="00E37B1A">
      <w:pPr>
        <w:rPr>
          <w:lang w:val="en-US"/>
        </w:rPr>
      </w:pPr>
      <w:r w:rsidRPr="00A05CF4">
        <w:rPr>
          <w:lang w:val="en-US"/>
        </w:rPr>
        <w:t>Spencer (1942) developed a simple and useful approximation of the spatial distribution</w:t>
      </w:r>
    </w:p>
    <w:p w:rsidR="00A32299" w:rsidRPr="00A05CF4" w:rsidRDefault="00A32299" w:rsidP="00A32299">
      <w:pPr>
        <w:spacing w:before="0" w:line="240" w:lineRule="auto"/>
        <w:jc w:val="left"/>
        <w:rPr>
          <w:lang w:val="en-US"/>
        </w:rPr>
      </w:pPr>
      <w:r w:rsidRPr="00A05CF4">
        <w:rPr>
          <w:i/>
          <w:lang w:val="en-US"/>
        </w:rPr>
        <w:t xml:space="preserve">Kap 1.3 Solar Power vs Solar Irradiance Seite </w:t>
      </w:r>
      <w:proofErr w:type="gramStart"/>
      <w:r w:rsidRPr="00A05CF4">
        <w:rPr>
          <w:i/>
          <w:lang w:val="en-US"/>
        </w:rPr>
        <w:t>8  (</w:t>
      </w:r>
      <w:proofErr w:type="gramEnd"/>
      <w:r w:rsidRPr="00A05CF4">
        <w:rPr>
          <w:i/>
          <w:lang w:val="en-US"/>
        </w:rPr>
        <w:t>Jan Kleissl Solar Energy Forecasting)</w:t>
      </w:r>
    </w:p>
    <w:p w:rsidR="00A32299" w:rsidRPr="00A05CF4" w:rsidRDefault="00A32299" w:rsidP="00A32299">
      <w:pPr>
        <w:spacing w:before="0" w:line="240" w:lineRule="auto"/>
        <w:jc w:val="left"/>
        <w:rPr>
          <w:lang w:val="en-US"/>
        </w:rPr>
      </w:pPr>
      <w:r w:rsidRPr="00A05CF4">
        <w:rPr>
          <w:i/>
          <w:lang w:val="en-US"/>
        </w:rPr>
        <w:t>Kap 1.4 Direct, Diffuse and Global solar radiation and instrumentation (Jan Kleissl Solar Forecast)</w:t>
      </w:r>
    </w:p>
    <w:p w:rsidR="00A32299" w:rsidRPr="00A05CF4" w:rsidRDefault="00A32299" w:rsidP="00A32299">
      <w:pPr>
        <w:spacing w:before="0" w:line="240" w:lineRule="auto"/>
        <w:jc w:val="left"/>
        <w:rPr>
          <w:lang w:val="en-US"/>
        </w:rPr>
      </w:pPr>
      <w:r w:rsidRPr="00A05CF4">
        <w:rPr>
          <w:i/>
          <w:lang w:val="en-US"/>
        </w:rPr>
        <w:t>Kap 1.5 Athmosperic properties affecting solar irradiance            </w:t>
      </w:r>
      <w:proofErr w:type="gramStart"/>
      <w:r w:rsidRPr="00A05CF4">
        <w:rPr>
          <w:i/>
          <w:lang w:val="en-US"/>
        </w:rPr>
        <w:t xml:space="preserve">   (</w:t>
      </w:r>
      <w:proofErr w:type="gramEnd"/>
      <w:r w:rsidRPr="00A05CF4">
        <w:rPr>
          <w:i/>
          <w:lang w:val="en-US"/>
        </w:rPr>
        <w:t>Jan Kleissl Solar Forecast)</w:t>
      </w:r>
    </w:p>
    <w:p w:rsidR="00A32299" w:rsidRPr="00A05CF4" w:rsidRDefault="00A32299" w:rsidP="00A32299">
      <w:pPr>
        <w:spacing w:before="0" w:line="240" w:lineRule="auto"/>
        <w:jc w:val="left"/>
        <w:rPr>
          <w:i/>
          <w:lang w:val="en-US"/>
        </w:rPr>
      </w:pPr>
      <w:r w:rsidRPr="00A05CF4">
        <w:rPr>
          <w:i/>
          <w:lang w:val="en-US"/>
        </w:rPr>
        <w:t>Kap 5.51 High-Quality Measurement of DNI, GHI and DHI (Jan Kleissl Solar Forecasting)</w:t>
      </w:r>
    </w:p>
    <w:p w:rsidR="00A32299" w:rsidRPr="00A05CF4" w:rsidRDefault="00A32299" w:rsidP="00573F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rPr>
          <w:lang w:val="en-US" w:eastAsia="de-CH"/>
        </w:rPr>
      </w:pPr>
    </w:p>
    <w:p w:rsidR="00A30F98" w:rsidRDefault="00B343AD" w:rsidP="0099695C">
      <w:pPr>
        <w:pStyle w:val="berschrift2"/>
      </w:pPr>
      <w:bookmarkStart w:id="26" w:name="_Toc531888919"/>
      <w:r>
        <w:t>Solarmessgeräte</w:t>
      </w:r>
      <w:bookmarkEnd w:id="26"/>
    </w:p>
    <w:p w:rsidR="002A41CA" w:rsidRPr="00717EC0" w:rsidRDefault="002A41CA" w:rsidP="00841E7B">
      <w:pPr>
        <w:rPr>
          <w:i/>
          <w:color w:val="FF0000"/>
        </w:rPr>
      </w:pPr>
      <w:r w:rsidRPr="00717EC0">
        <w:rPr>
          <w:i/>
          <w:color w:val="FF0000"/>
        </w:rPr>
        <w:t>Kurz und knackick in: Quasching_Regenerative_Energiesysteme S83 Kap 2.8 Solarstrahlungsmesstechniken und Sonnensimulatoren</w:t>
      </w:r>
    </w:p>
    <w:p w:rsidR="00A73639" w:rsidRDefault="00A05CF4" w:rsidP="00841E7B">
      <w:pPr>
        <w:rPr>
          <w:lang w:val="de-CH"/>
        </w:rPr>
      </w:pPr>
      <w:r>
        <w:t xml:space="preserve">Zur Messung der globalen Bestrahlungsstärke haben sich zwei Messprinzipien durchgesetzt. Dabei werden entweder </w:t>
      </w:r>
      <w:r w:rsidR="00EE359E">
        <w:rPr>
          <w:lang w:val="de-CH"/>
        </w:rPr>
        <w:t>Halbleiters</w:t>
      </w:r>
      <w:r>
        <w:rPr>
          <w:lang w:val="de-CH"/>
        </w:rPr>
        <w:t xml:space="preserve">ensoren oder thermische </w:t>
      </w:r>
      <w:r w:rsidR="00EE359E">
        <w:rPr>
          <w:lang w:val="de-CH"/>
        </w:rPr>
        <w:t xml:space="preserve">Sensoren eingesetzt. Messgeräte die auf einem dieser Sensortypen basieren, werden als Pyranometer bezeichnet </w:t>
      </w:r>
      <w:r w:rsidR="0079225D">
        <w:rPr>
          <w:lang w:val="de-CH"/>
        </w:rPr>
        <w:fldChar w:fldCharType="begin"/>
      </w:r>
      <w:r w:rsidR="00207425">
        <w:rPr>
          <w:lang w:val="de-CH"/>
        </w:rPr>
        <w:instrText xml:space="preserve"> ADDIN ZOTERO_ITEM CSL_CITATION {"citationID":"fsj4RQAf","properties":{"formattedCitation":"[1]","plainCitation":"[1]","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Energiesysteme","language":"ger","author":[{"family":"Quaschning","given":"Volker"}],"issued":{"date-parts":[["2015"]]}}}],"schema":"https://github.com/citation-style-language/schema/raw/master/csl-citation.json"} </w:instrText>
      </w:r>
      <w:r w:rsidR="0079225D">
        <w:rPr>
          <w:lang w:val="de-CH"/>
        </w:rPr>
        <w:fldChar w:fldCharType="separate"/>
      </w:r>
      <w:r w:rsidR="00207425" w:rsidRPr="00207425">
        <w:t>[1]</w:t>
      </w:r>
      <w:r w:rsidR="0079225D">
        <w:rPr>
          <w:lang w:val="de-CH"/>
        </w:rPr>
        <w:fldChar w:fldCharType="end"/>
      </w:r>
      <w:r w:rsidR="00EE359E">
        <w:rPr>
          <w:lang w:val="de-CH"/>
        </w:rPr>
        <w:t>.</w:t>
      </w:r>
      <w:r w:rsidRPr="00A05CF4">
        <w:rPr>
          <w:lang w:val="de-CH"/>
        </w:rPr>
        <w:t xml:space="preserve"> </w:t>
      </w:r>
    </w:p>
    <w:p w:rsidR="00717EC0" w:rsidRDefault="00717EC0" w:rsidP="00841E7B">
      <w:pPr>
        <w:rPr>
          <w:lang w:val="de-CH"/>
        </w:rPr>
      </w:pPr>
      <w:bookmarkStart w:id="27" w:name="_GoBack"/>
      <w:bookmarkEnd w:id="27"/>
    </w:p>
    <w:p w:rsidR="0019162E" w:rsidRDefault="000B0018" w:rsidP="00841E7B">
      <w:pPr>
        <w:rPr>
          <w:lang w:val="de-CH"/>
        </w:rPr>
      </w:pPr>
      <w:r>
        <w:rPr>
          <w:lang w:val="de-CH"/>
        </w:rPr>
        <w:t>Bei den Halbleitersensoren handelt es sich um photovoltaische Solarzellen aus Silizium. Der erzeugte Strom im Halbleiter steigt proportional mit der Bestrahlungs</w:t>
      </w:r>
      <w:r>
        <w:t>stärke</w:t>
      </w:r>
      <w:r>
        <w:rPr>
          <w:lang w:val="de-CH"/>
        </w:rPr>
        <w:t xml:space="preserve"> der Sonne. Über einen Messwiderstand, lässt sich der Strom in ein Spannungssignal umwandeln. </w:t>
      </w:r>
      <w:r w:rsidR="009F218F">
        <w:rPr>
          <w:lang w:val="de-CH"/>
        </w:rPr>
        <w:t>Halbleitersensoren reagieren empfindlich auf Temperaturänderungen</w:t>
      </w:r>
      <w:r w:rsidR="0049163C">
        <w:rPr>
          <w:lang w:val="de-CH"/>
        </w:rPr>
        <w:t xml:space="preserve">, deshalb sollte auch die Temperatur aufgezeichnet werden und gegebenenfalls eine Korrektur der Messwerte vorgenommen werden. Ein weiterer Nachteil von Halbleitersensoren ist, dass nicht alle Wellenlängenbereiche der Sonnenstrahlung gleichermassen erfasst werden. So ist es möglich </w:t>
      </w:r>
      <w:proofErr w:type="gramStart"/>
      <w:r w:rsidR="0049163C">
        <w:rPr>
          <w:lang w:val="de-CH"/>
        </w:rPr>
        <w:t>das</w:t>
      </w:r>
      <w:proofErr w:type="gramEnd"/>
      <w:r w:rsidR="0049163C">
        <w:rPr>
          <w:lang w:val="de-CH"/>
        </w:rPr>
        <w:t xml:space="preserve"> bei tiefen Sonnenstand, </w:t>
      </w:r>
      <w:r w:rsidR="00080A15">
        <w:rPr>
          <w:lang w:val="de-CH"/>
        </w:rPr>
        <w:t>falsche Werte gemessen werden.</w:t>
      </w:r>
    </w:p>
    <w:p w:rsidR="0019162E" w:rsidRDefault="00011508" w:rsidP="00841E7B">
      <w:pPr>
        <w:rPr>
          <w:lang w:val="de-CH"/>
        </w:rPr>
      </w:pPr>
      <w:r>
        <w:rPr>
          <w:lang w:val="de-CH"/>
        </w:rPr>
        <w:t xml:space="preserve">Ein thermischerer Sensor, siehe </w:t>
      </w:r>
      <w:r>
        <w:rPr>
          <w:lang w:val="de-CH"/>
        </w:rPr>
        <w:fldChar w:fldCharType="begin"/>
      </w:r>
      <w:r>
        <w:rPr>
          <w:lang w:val="de-CH"/>
        </w:rPr>
        <w:instrText xml:space="preserve"> REF _Ref531883177 \h </w:instrText>
      </w:r>
      <w:r>
        <w:rPr>
          <w:lang w:val="de-CH"/>
        </w:rPr>
      </w:r>
      <w:r>
        <w:rPr>
          <w:lang w:val="de-CH"/>
        </w:rPr>
        <w:fldChar w:fldCharType="separate"/>
      </w:r>
      <w:r w:rsidRPr="006A0B05">
        <w:rPr>
          <w:sz w:val="18"/>
          <w:szCs w:val="18"/>
        </w:rPr>
        <w:t xml:space="preserve">Abbildung </w:t>
      </w:r>
      <w:r w:rsidRPr="006A0B05">
        <w:rPr>
          <w:noProof/>
          <w:sz w:val="18"/>
          <w:szCs w:val="18"/>
        </w:rPr>
        <w:t>1</w:t>
      </w:r>
      <w:r>
        <w:rPr>
          <w:lang w:val="de-CH"/>
        </w:rPr>
        <w:fldChar w:fldCharType="end"/>
      </w:r>
      <w:r>
        <w:rPr>
          <w:lang w:val="de-CH"/>
        </w:rPr>
        <w:t>, besteht aus einer geschwärzter Empfängerfläche, die durch einen doppelwandigen Glasdom thermisch, von der umgebenden Luft, isoliert ist. Die Sonnenstrahlen durchdringen den Glasdom und er</w:t>
      </w:r>
      <w:r w:rsidR="00207425">
        <w:rPr>
          <w:lang w:val="de-CH"/>
        </w:rPr>
        <w:t xml:space="preserve">wärmen die Empfängerfläche. Proportional zur </w:t>
      </w:r>
      <w:r>
        <w:rPr>
          <w:lang w:val="de-CH"/>
        </w:rPr>
        <w:t xml:space="preserve">zunehmender Bestrahlungsstärke, steigt </w:t>
      </w:r>
      <w:r w:rsidR="00207425">
        <w:rPr>
          <w:lang w:val="de-CH"/>
        </w:rPr>
        <w:t xml:space="preserve">auch </w:t>
      </w:r>
      <w:r>
        <w:rPr>
          <w:lang w:val="de-CH"/>
        </w:rPr>
        <w:t xml:space="preserve">die Temperaturdifferenz zwischen </w:t>
      </w:r>
      <w:r w:rsidR="00336A89">
        <w:rPr>
          <w:lang w:val="de-CH"/>
        </w:rPr>
        <w:t>der Aussentemperatur</w:t>
      </w:r>
      <w:r>
        <w:rPr>
          <w:lang w:val="de-CH"/>
        </w:rPr>
        <w:t xml:space="preserve"> und </w:t>
      </w:r>
      <w:r w:rsidR="00336A89">
        <w:rPr>
          <w:lang w:val="de-CH"/>
        </w:rPr>
        <w:t>der Temperatur im Inneren</w:t>
      </w:r>
      <w:r>
        <w:rPr>
          <w:lang w:val="de-CH"/>
        </w:rPr>
        <w:t xml:space="preserve"> </w:t>
      </w:r>
      <w:r w:rsidR="00336A89">
        <w:rPr>
          <w:lang w:val="de-CH"/>
        </w:rPr>
        <w:t>des Glasdoms.</w:t>
      </w:r>
      <w:r>
        <w:rPr>
          <w:lang w:val="de-CH"/>
        </w:rPr>
        <w:t xml:space="preserve"> </w:t>
      </w:r>
      <w:r w:rsidR="00717EC0">
        <w:rPr>
          <w:lang w:val="de-CH"/>
        </w:rPr>
        <w:t xml:space="preserve">Im Gegensatz zum </w:t>
      </w:r>
      <w:r w:rsidR="00717EC0">
        <w:rPr>
          <w:lang w:val="de-CH"/>
        </w:rPr>
        <w:t>H</w:t>
      </w:r>
      <w:r w:rsidR="00717EC0">
        <w:rPr>
          <w:lang w:val="de-CH"/>
        </w:rPr>
        <w:t xml:space="preserve">albleitersensor zeichnet sich der thermische Sensor, durch konstante spektrale Empfindlich über grosse Teile des Spektrums aus. </w:t>
      </w:r>
    </w:p>
    <w:p w:rsidR="0019162E" w:rsidRDefault="0019162E" w:rsidP="00841E7B">
      <w:pPr>
        <w:rPr>
          <w:lang w:val="de-CH"/>
        </w:rPr>
      </w:pPr>
    </w:p>
    <w:p w:rsidR="0019162E" w:rsidRDefault="0019162E" w:rsidP="00841E7B">
      <w:pPr>
        <w:rPr>
          <w:lang w:val="de-CH"/>
        </w:rPr>
      </w:pPr>
    </w:p>
    <w:p w:rsidR="0019162E" w:rsidRDefault="0019162E" w:rsidP="00841E7B">
      <w:pPr>
        <w:rPr>
          <w:lang w:val="de-CH"/>
        </w:rPr>
      </w:pPr>
    </w:p>
    <w:p w:rsidR="0019162E" w:rsidRDefault="0019162E" w:rsidP="0019162E">
      <w:pPr>
        <w:keepNext/>
      </w:pPr>
      <w:r>
        <w:rPr>
          <w:noProof/>
          <w:lang w:val="de-CH"/>
        </w:rPr>
        <w:drawing>
          <wp:inline distT="0" distB="0" distL="0" distR="0">
            <wp:extent cx="5397500" cy="1951355"/>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7500" cy="1951355"/>
                    </a:xfrm>
                    <a:prstGeom prst="rect">
                      <a:avLst/>
                    </a:prstGeom>
                    <a:noFill/>
                    <a:ln>
                      <a:noFill/>
                    </a:ln>
                  </pic:spPr>
                </pic:pic>
              </a:graphicData>
            </a:graphic>
          </wp:inline>
        </w:drawing>
      </w:r>
    </w:p>
    <w:p w:rsidR="0019162E" w:rsidRPr="00E44392" w:rsidRDefault="0019162E" w:rsidP="006A0B05">
      <w:pPr>
        <w:pStyle w:val="Beschriftung"/>
        <w:jc w:val="left"/>
      </w:pPr>
      <w:bookmarkStart w:id="28" w:name="_Ref531883177"/>
      <w:r w:rsidRPr="00E44392">
        <w:t xml:space="preserve">Abbildung </w:t>
      </w:r>
      <w:fldSimple w:instr=" SEQ Abbildung \* ARABIC ">
        <w:r w:rsidRPr="00E44392">
          <w:rPr>
            <w:noProof/>
          </w:rPr>
          <w:t>1</w:t>
        </w:r>
      </w:fldSimple>
      <w:bookmarkEnd w:id="28"/>
      <w:r w:rsidRPr="00E44392">
        <w:rPr>
          <w:noProof/>
        </w:rPr>
        <w:t>: Links</w:t>
      </w:r>
      <w:r w:rsidR="006A0B05" w:rsidRPr="00E44392">
        <w:rPr>
          <w:noProof/>
        </w:rPr>
        <w:t>:</w:t>
      </w:r>
      <w:r w:rsidRPr="00E44392">
        <w:rPr>
          <w:noProof/>
        </w:rPr>
        <w:t xml:space="preserve"> Pyranometer mit thermischen Sensor, rechts: Pyranometer mit Silizium-Halbleitersensor</w:t>
      </w:r>
      <w:r w:rsidR="00E44392">
        <w:rPr>
          <w:noProof/>
        </w:rPr>
        <w:t xml:space="preserve"> </w:t>
      </w:r>
      <w:r w:rsidR="008B28D1">
        <w:rPr>
          <w:noProof/>
        </w:rPr>
        <w:fldChar w:fldCharType="begin"/>
      </w:r>
      <w:r w:rsidR="00207425">
        <w:rPr>
          <w:noProof/>
        </w:rPr>
        <w:instrText xml:space="preserve"> ADDIN ZOTERO_ITEM CSL_CITATION {"citationID":"ELOll8B1","properties":{"custom":"[1] V. Quaschning: Bild 2.29 [S. 84]","formattedCitation":"[1] V. Quaschning: Bild 2.29 [S. 84]","plainCitation":"[1] V. Quaschning: Bild 2.29 [S. 84]","noteIndex":0},"citationItems":[{"id":375,"uris":["http://zotero.org/users/4187467/items/TAZC2IZC"],"uri":["http://zotero.org/users/4187467/items/TAZC2IZC"],"itemData":{"id":375,"type":"book","title":"Regenerative Energiesysteme: Technologie - Berechnung - Simulation","publisher":"Hanser","publisher-place":"München","number-of-pages":"444","edition":"9., aktualisierte und erweiterte Auflage","source":"Gemeinsamer Bibliotheksverbund ISBN","event-place":"München","ISBN":"978-3-446-44267-2","note":"OCLC: 910625906","shortTitle":"Regenerative Energiesysteme","language":"ger","author":[{"family":"Quaschning","given":"Volker"}],"issued":{"date-parts":[["2015"]]}},"locator":"84","label":"page","prefix":"[1] V. Quaschning: Bild 2.29"}],"schema":"https://github.com/citation-style-language/schema/raw/master/csl-citation.json"} </w:instrText>
      </w:r>
      <w:r w:rsidR="008B28D1">
        <w:rPr>
          <w:noProof/>
        </w:rPr>
        <w:fldChar w:fldCharType="separate"/>
      </w:r>
      <w:r w:rsidR="00207425" w:rsidRPr="00207425">
        <w:t>[1] V. Quaschning: Bild 2.29 [S. 84]</w:t>
      </w:r>
      <w:r w:rsidR="008B28D1">
        <w:rPr>
          <w:noProof/>
        </w:rPr>
        <w:fldChar w:fldCharType="end"/>
      </w:r>
      <w:r w:rsidRPr="00E44392">
        <w:rPr>
          <w:noProof/>
        </w:rPr>
        <w:t>.</w:t>
      </w:r>
    </w:p>
    <w:p w:rsidR="0079225D" w:rsidRPr="00A05CF4" w:rsidRDefault="00080A15" w:rsidP="00841E7B">
      <w:pPr>
        <w:rPr>
          <w:lang w:val="de-CH"/>
        </w:rPr>
      </w:pPr>
      <w:r>
        <w:rPr>
          <w:lang w:val="de-CH"/>
        </w:rPr>
        <w:t xml:space="preserve"> </w:t>
      </w:r>
    </w:p>
    <w:p w:rsidR="00841E7B" w:rsidRPr="00A05CF4" w:rsidRDefault="00841E7B" w:rsidP="00841E7B">
      <w:pPr>
        <w:rPr>
          <w:lang w:val="en-US"/>
        </w:rPr>
      </w:pPr>
      <w:r w:rsidRPr="0019162E">
        <w:rPr>
          <w:i/>
          <w:lang w:val="de-CH"/>
        </w:rPr>
        <w:t>Book: Marius Paulescu Weather Modeling and For</w:t>
      </w:r>
      <w:r w:rsidRPr="000B0018">
        <w:rPr>
          <w:i/>
          <w:lang w:val="en-US"/>
        </w:rPr>
        <w:t>ecasting of PV Systems Operation S 34 Kap 2.2.1 Solar Radiomet</w:t>
      </w:r>
      <w:r w:rsidRPr="00A05CF4">
        <w:rPr>
          <w:i/>
          <w:lang w:val="en-US"/>
        </w:rPr>
        <w:t>ers</w:t>
      </w:r>
    </w:p>
    <w:p w:rsidR="00A9651E" w:rsidRPr="00A05CF4" w:rsidRDefault="00A9651E" w:rsidP="00A9651E">
      <w:pPr>
        <w:rPr>
          <w:i/>
          <w:lang w:val="en-US"/>
        </w:rPr>
      </w:pPr>
      <w:r w:rsidRPr="00A05CF4">
        <w:rPr>
          <w:i/>
          <w:lang w:val="en-US"/>
        </w:rPr>
        <w:t>Pyrheliometer</w:t>
      </w:r>
    </w:p>
    <w:p w:rsidR="00841E7B" w:rsidRPr="00A05CF4" w:rsidRDefault="00A9651E" w:rsidP="002D483A">
      <w:pPr>
        <w:jc w:val="left"/>
        <w:rPr>
          <w:lang w:val="en-US"/>
        </w:rPr>
      </w:pPr>
      <w:r w:rsidRPr="00A05CF4">
        <w:rPr>
          <w:lang w:val="en-US"/>
        </w:rPr>
        <w:t>The pyrheliometer is a broadband instrument that measures the direct beam</w:t>
      </w:r>
      <w:r w:rsidR="002D483A" w:rsidRPr="00A05CF4">
        <w:rPr>
          <w:lang w:val="en-US"/>
        </w:rPr>
        <w:t xml:space="preserve"> </w:t>
      </w:r>
      <w:r w:rsidRPr="00A05CF4">
        <w:rPr>
          <w:lang w:val="en-US"/>
        </w:rPr>
        <w:t>component Gn of solar radiation. Consequently,</w:t>
      </w:r>
      <w:r w:rsidR="002D483A" w:rsidRPr="00A05CF4">
        <w:rPr>
          <w:lang w:val="en-US"/>
        </w:rPr>
        <w:t xml:space="preserve"> the instrument should be perma</w:t>
      </w:r>
      <w:r w:rsidRPr="00A05CF4">
        <w:rPr>
          <w:lang w:val="en-US"/>
        </w:rPr>
        <w:t>nently pointed toward the Sun. A two-axis Sun tracking mechanism is most often</w:t>
      </w:r>
      <w:r w:rsidR="002D483A" w:rsidRPr="00A05CF4">
        <w:rPr>
          <w:lang w:val="en-US"/>
        </w:rPr>
        <w:t xml:space="preserve"> </w:t>
      </w:r>
      <w:r w:rsidRPr="00A05CF4">
        <w:rPr>
          <w:lang w:val="en-US"/>
        </w:rPr>
        <w:t>used for this purpose. The detector is a multi-junction thermopile placed at the</w:t>
      </w:r>
      <w:r w:rsidR="002D483A" w:rsidRPr="00A05CF4">
        <w:rPr>
          <w:lang w:val="en-US"/>
        </w:rPr>
        <w:t xml:space="preserve"> </w:t>
      </w:r>
      <w:r w:rsidRPr="00A05CF4">
        <w:rPr>
          <w:lang w:val="en-US"/>
        </w:rPr>
        <w:t>bottom of a collimating tube (Fig. 2.3a) provided with a quartz window to protect</w:t>
      </w:r>
      <w:r w:rsidR="002D483A" w:rsidRPr="00A05CF4">
        <w:rPr>
          <w:lang w:val="en-US"/>
        </w:rPr>
        <w:t xml:space="preserve"> </w:t>
      </w:r>
      <w:r w:rsidRPr="00A05CF4">
        <w:rPr>
          <w:lang w:val="en-US"/>
        </w:rPr>
        <w:t>the instrument. The detector is coated with optical black paint (acting as a full</w:t>
      </w:r>
      <w:r w:rsidR="002D483A" w:rsidRPr="00A05CF4">
        <w:rPr>
          <w:lang w:val="en-US"/>
        </w:rPr>
        <w:t xml:space="preserve"> </w:t>
      </w:r>
      <w:r w:rsidRPr="00A05CF4">
        <w:rPr>
          <w:lang w:val="en-US"/>
        </w:rPr>
        <w:t>absorber for solar energy in the wavelengths range 0.280–3 lm). Its temperature is</w:t>
      </w:r>
      <w:r w:rsidR="002D483A" w:rsidRPr="00A05CF4">
        <w:rPr>
          <w:lang w:val="en-US"/>
        </w:rPr>
        <w:t xml:space="preserve"> </w:t>
      </w:r>
      <w:r w:rsidRPr="00A05CF4">
        <w:rPr>
          <w:lang w:val="en-US"/>
        </w:rPr>
        <w:t xml:space="preserve">compensated to minimize sensitivity of ambient temperature </w:t>
      </w:r>
      <w:r>
        <w:t>ﬂ</w:t>
      </w:r>
      <w:r w:rsidRPr="00A05CF4">
        <w:rPr>
          <w:lang w:val="en-US"/>
        </w:rPr>
        <w:t>uctuations.</w:t>
      </w:r>
      <w:r w:rsidR="002D483A" w:rsidRPr="00A05CF4">
        <w:rPr>
          <w:lang w:val="en-US"/>
        </w:rPr>
        <w:t xml:space="preserve"> </w:t>
      </w:r>
      <w:r w:rsidRPr="00A05CF4">
        <w:rPr>
          <w:lang w:val="en-US"/>
        </w:rPr>
        <w:t>The pyrheliometer aperture angle is 5</w:t>
      </w:r>
      <w:r w:rsidR="002D483A" w:rsidRPr="00A05CF4">
        <w:rPr>
          <w:lang w:val="en-US"/>
        </w:rPr>
        <w:t>°</w:t>
      </w:r>
      <w:r w:rsidRPr="00A05CF4">
        <w:rPr>
          <w:lang w:val="en-US"/>
        </w:rPr>
        <w:t>. Consequently, radiation is received from</w:t>
      </w:r>
      <w:r w:rsidR="002D483A" w:rsidRPr="00A05CF4">
        <w:rPr>
          <w:lang w:val="en-US"/>
        </w:rPr>
        <w:t xml:space="preserve"> </w:t>
      </w:r>
      <w:r w:rsidRPr="00A05CF4">
        <w:rPr>
          <w:lang w:val="en-US"/>
        </w:rPr>
        <w:t>the Sun and a limited circumsolar region, but all diffuse radiation from the rest of</w:t>
      </w:r>
      <w:r w:rsidR="002D483A" w:rsidRPr="00A05CF4">
        <w:rPr>
          <w:lang w:val="en-US"/>
        </w:rPr>
        <w:t xml:space="preserve"> </w:t>
      </w:r>
      <w:r w:rsidRPr="00A05CF4">
        <w:rPr>
          <w:lang w:val="en-US"/>
        </w:rPr>
        <w:t>the sky is excluded. A readout device is used to give the instant value of the direct</w:t>
      </w:r>
      <w:r w:rsidR="002D483A" w:rsidRPr="00A05CF4">
        <w:rPr>
          <w:lang w:val="en-US"/>
        </w:rPr>
        <w:t xml:space="preserve"> </w:t>
      </w:r>
      <w:r w:rsidRPr="00A05CF4">
        <w:rPr>
          <w:lang w:val="en-US"/>
        </w:rPr>
        <w:t xml:space="preserve">beam irradiance. Its scale is adapted to the sensitivity of the </w:t>
      </w:r>
      <w:proofErr w:type="gramStart"/>
      <w:r w:rsidRPr="00A05CF4">
        <w:rPr>
          <w:lang w:val="en-US"/>
        </w:rPr>
        <w:t>particular instrument</w:t>
      </w:r>
      <w:proofErr w:type="gramEnd"/>
      <w:r w:rsidR="002D483A" w:rsidRPr="00A05CF4">
        <w:rPr>
          <w:lang w:val="en-US"/>
        </w:rPr>
        <w:t xml:space="preserve"> </w:t>
      </w:r>
      <w:r w:rsidRPr="00A05CF4">
        <w:rPr>
          <w:lang w:val="en-US"/>
        </w:rPr>
        <w:t>in order to display the value in SI units, Wm-2.</w:t>
      </w:r>
    </w:p>
    <w:p w:rsidR="00B4768E" w:rsidRDefault="00B4768E" w:rsidP="002D483A">
      <w:pPr>
        <w:jc w:val="left"/>
      </w:pPr>
      <w:r>
        <w:rPr>
          <w:noProof/>
        </w:rPr>
        <w:drawing>
          <wp:inline distT="0" distB="0" distL="0" distR="0" wp14:anchorId="6F971BC6" wp14:editId="54FA2436">
            <wp:extent cx="4433920" cy="2057415"/>
            <wp:effectExtent l="0" t="0" r="508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33920" cy="2057415"/>
                    </a:xfrm>
                    <a:prstGeom prst="rect">
                      <a:avLst/>
                    </a:prstGeom>
                  </pic:spPr>
                </pic:pic>
              </a:graphicData>
            </a:graphic>
          </wp:inline>
        </w:drawing>
      </w:r>
    </w:p>
    <w:p w:rsidR="00B4768E" w:rsidRPr="00A05CF4" w:rsidRDefault="00B4768E" w:rsidP="00B4768E">
      <w:pPr>
        <w:jc w:val="left"/>
        <w:rPr>
          <w:i/>
          <w:lang w:val="en-US"/>
        </w:rPr>
      </w:pPr>
      <w:r w:rsidRPr="00A05CF4">
        <w:rPr>
          <w:i/>
          <w:lang w:val="en-US"/>
        </w:rPr>
        <w:t>Pyranometer</w:t>
      </w:r>
    </w:p>
    <w:p w:rsidR="00B4768E" w:rsidRPr="00A05CF4" w:rsidRDefault="00B4768E" w:rsidP="00B4768E">
      <w:pPr>
        <w:jc w:val="left"/>
        <w:rPr>
          <w:lang w:val="en-US"/>
        </w:rPr>
      </w:pPr>
      <w:r w:rsidRPr="00A05CF4">
        <w:rPr>
          <w:lang w:val="en-US"/>
        </w:rPr>
        <w:lastRenderedPageBreak/>
        <w:t xml:space="preserve">Pyranometers are broadband instruments that measure global solar irradiance incoming from a 2p solid angle on a planar surface. A typical pyranometer is schematically represented in Fig. 2.4a. It consists of a white disk for limiting the acceptance angle to 180° and two concentric hemispherical transparent covers </w:t>
      </w:r>
    </w:p>
    <w:p w:rsidR="00B4768E" w:rsidRPr="00A05CF4" w:rsidRDefault="00B4768E" w:rsidP="00B4768E">
      <w:pPr>
        <w:jc w:val="left"/>
        <w:rPr>
          <w:lang w:val="en-US"/>
        </w:rPr>
      </w:pPr>
      <w:r w:rsidRPr="00A05CF4">
        <w:rPr>
          <w:lang w:val="en-US"/>
        </w:rPr>
        <w:t xml:space="preserve">made of glass. The two domes shield the sensor from thermal convection, protect it against weather threat (rain, wind, and dust) and limit the spectral sensitivity of the instrument in the wavelength range 0.29–2.8 lm. A cartridge of silica gel inside the dome absorbs water vapor. A pyranometer can be also used to measure the diffuse solar irradiance </w:t>
      </w:r>
      <w:proofErr w:type="gramStart"/>
      <w:r w:rsidRPr="00A05CF4">
        <w:rPr>
          <w:lang w:val="en-US"/>
        </w:rPr>
        <w:t>Gd,  provided</w:t>
      </w:r>
      <w:proofErr w:type="gramEnd"/>
      <w:r w:rsidRPr="00A05CF4">
        <w:rPr>
          <w:lang w:val="en-US"/>
        </w:rPr>
        <w:t xml:space="preserve"> that the contribution of the direct beam component is eliminated. For this, a small shading disk can be mounted on an automated solar tracker to ensure that the pyranometer is continuously shaded. Alternatively, a shadow ring may prevent the direct component Gb from reaching the sensor whole day long (see Fig. 2.4b). Because the daily maximum Sun elevation angle changes day by day, it is necessary to change periodically (days lag) the height of the shadow ring.</w:t>
      </w:r>
    </w:p>
    <w:p w:rsidR="00B4768E" w:rsidRDefault="00B4768E" w:rsidP="002D483A">
      <w:pPr>
        <w:jc w:val="left"/>
      </w:pPr>
      <w:r>
        <w:rPr>
          <w:noProof/>
        </w:rPr>
        <w:drawing>
          <wp:inline distT="0" distB="0" distL="0" distR="0" wp14:anchorId="0F3BA9A9" wp14:editId="2D93908D">
            <wp:extent cx="4448208" cy="1957402"/>
            <wp:effectExtent l="0" t="0" r="0" b="508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48208" cy="1957402"/>
                    </a:xfrm>
                    <a:prstGeom prst="rect">
                      <a:avLst/>
                    </a:prstGeom>
                  </pic:spPr>
                </pic:pic>
              </a:graphicData>
            </a:graphic>
          </wp:inline>
        </w:drawing>
      </w:r>
    </w:p>
    <w:p w:rsidR="00216360" w:rsidRPr="00A05CF4" w:rsidRDefault="00216360" w:rsidP="00216360">
      <w:pPr>
        <w:jc w:val="left"/>
        <w:rPr>
          <w:i/>
          <w:lang w:val="en-US"/>
        </w:rPr>
      </w:pPr>
      <w:r w:rsidRPr="00A05CF4">
        <w:rPr>
          <w:i/>
          <w:lang w:val="en-US"/>
        </w:rPr>
        <w:t>Sunshine duration measurement</w:t>
      </w:r>
    </w:p>
    <w:p w:rsidR="00216360" w:rsidRPr="00A05CF4" w:rsidRDefault="00216360" w:rsidP="00216360">
      <w:pPr>
        <w:jc w:val="left"/>
        <w:rPr>
          <w:lang w:val="en-US"/>
        </w:rPr>
      </w:pPr>
      <w:r w:rsidRPr="00A05CF4">
        <w:rPr>
          <w:lang w:val="en-US"/>
        </w:rPr>
        <w:t xml:space="preserve">According to (WMO 2008), sunshine duration </w:t>
      </w:r>
      <w:proofErr w:type="gramStart"/>
      <w:r w:rsidRPr="00A05CF4">
        <w:rPr>
          <w:lang w:val="en-US"/>
        </w:rPr>
        <w:t>in a given</w:t>
      </w:r>
      <w:proofErr w:type="gramEnd"/>
      <w:r w:rsidRPr="00A05CF4">
        <w:rPr>
          <w:lang w:val="en-US"/>
        </w:rPr>
        <w:t xml:space="preserve"> period is de</w:t>
      </w:r>
      <w:r>
        <w:t>ﬁ</w:t>
      </w:r>
      <w:r w:rsidRPr="00A05CF4">
        <w:rPr>
          <w:lang w:val="en-US"/>
        </w:rPr>
        <w:t>ned as the sum of the time intervals for which the direct solar irradiance exceeds the threshold of 120 Wm-2. In practice, two methods are widely used for measuring sunshine duration—burning card method and pyranometric method—which will be brie</w:t>
      </w:r>
      <w:r>
        <w:t>ﬂ</w:t>
      </w:r>
      <w:r w:rsidRPr="00A05CF4">
        <w:rPr>
          <w:lang w:val="en-US"/>
        </w:rPr>
        <w:t>y presented next.</w:t>
      </w:r>
    </w:p>
    <w:p w:rsidR="00216360" w:rsidRPr="00A05CF4" w:rsidRDefault="00216360" w:rsidP="00216360">
      <w:pPr>
        <w:jc w:val="left"/>
        <w:rPr>
          <w:lang w:val="en-US"/>
        </w:rPr>
      </w:pPr>
      <w:r w:rsidRPr="00A05CF4">
        <w:rPr>
          <w:lang w:val="en-US"/>
        </w:rPr>
        <w:t>Burning card method is based on the Campbell–Stokes sunshine recorder, which basic setup consists of a glass sphere mounted concentrically in a segment of a spherical bowl (Fig. 2.5). The support is adjustable so that the axis of the sphere may be inclined to the angle of the local latitude. The spherical bowl segment holds the recording card. The glass sphere focuses the direct beam solar radiation on to the card, burning a trace whenever the Sun is shining. The position and length of the trace indicate the starting time and duration of the sunshine interval. The errors of this recorder are mainly due to the dependence of burning initiation on card’s temperature and humidity as well as to the overburning effect, especially in case of broken clouds (Kerr and Tabony 2004).</w:t>
      </w:r>
    </w:p>
    <w:p w:rsidR="0048501D" w:rsidRDefault="0048501D" w:rsidP="00F933A1">
      <w:pPr>
        <w:jc w:val="left"/>
      </w:pPr>
      <w:r>
        <w:rPr>
          <w:noProof/>
        </w:rPr>
        <w:lastRenderedPageBreak/>
        <w:drawing>
          <wp:inline distT="0" distB="0" distL="0" distR="0" wp14:anchorId="67CB1C1B" wp14:editId="2BE60FC0">
            <wp:extent cx="4300569" cy="2133616"/>
            <wp:effectExtent l="0" t="0" r="508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00569" cy="2133616"/>
                    </a:xfrm>
                    <a:prstGeom prst="rect">
                      <a:avLst/>
                    </a:prstGeom>
                  </pic:spPr>
                </pic:pic>
              </a:graphicData>
            </a:graphic>
          </wp:inline>
        </w:drawing>
      </w:r>
    </w:p>
    <w:p w:rsidR="00546F09" w:rsidRDefault="00546F09" w:rsidP="00F933A1">
      <w:pPr>
        <w:jc w:val="left"/>
      </w:pPr>
      <w:r w:rsidRPr="009B2F6E">
        <w:rPr>
          <w:i/>
        </w:rPr>
        <w:t xml:space="preserve">Strahlungsart Beschreibung Messinstrument -&gt; Tabellarische Zusammenstellung </w:t>
      </w:r>
      <w:r w:rsidR="00F933A1" w:rsidRPr="009B2F6E">
        <w:rPr>
          <w:i/>
        </w:rPr>
        <w:t>gut!</w:t>
      </w:r>
      <w:r w:rsidR="00F933A1">
        <w:br/>
        <w:t>Die folgende Tabelle gibt einen Überblick über Strahlungsarten und mit welchen Instrumenten diese gemessen werden können:</w:t>
      </w:r>
    </w:p>
    <w:p w:rsidR="00546F09" w:rsidRPr="00841E7B" w:rsidRDefault="002A41CA" w:rsidP="00841E7B">
      <w:hyperlink r:id="rId15" w:history="1">
        <w:r w:rsidR="00B84496" w:rsidRPr="006A3CA1">
          <w:rPr>
            <w:rStyle w:val="Hyperlink"/>
          </w:rPr>
          <w:t>http://www.ammonit.com/de/wind-solar-wissen/solarmessung/473-messung-der-sonnenstrahlung</w:t>
        </w:r>
      </w:hyperlink>
      <w:r w:rsidR="00B84496">
        <w:br/>
      </w:r>
      <w:r w:rsidR="00B84496">
        <w:rPr>
          <w:noProof/>
        </w:rPr>
        <w:drawing>
          <wp:inline distT="0" distB="0" distL="0" distR="0">
            <wp:extent cx="3030279" cy="4008478"/>
            <wp:effectExtent l="0" t="0" r="0"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036105" cy="4016185"/>
                    </a:xfrm>
                    <a:prstGeom prst="rect">
                      <a:avLst/>
                    </a:prstGeom>
                    <a:noFill/>
                    <a:ln>
                      <a:noFill/>
                    </a:ln>
                  </pic:spPr>
                </pic:pic>
              </a:graphicData>
            </a:graphic>
          </wp:inline>
        </w:drawing>
      </w:r>
    </w:p>
    <w:p w:rsidR="00FB0693" w:rsidRDefault="004F10C3" w:rsidP="00CD51BF">
      <w:pPr>
        <w:pStyle w:val="berschrift2"/>
      </w:pPr>
      <w:bookmarkStart w:id="29" w:name="_Toc531888920"/>
      <w:r>
        <w:t>Wolken</w:t>
      </w:r>
      <w:bookmarkEnd w:id="29"/>
    </w:p>
    <w:p w:rsidR="004F10C3" w:rsidRPr="00A05CF4" w:rsidRDefault="004F10C3" w:rsidP="004F10C3">
      <w:pPr>
        <w:rPr>
          <w:lang w:val="en-US"/>
        </w:rPr>
      </w:pPr>
      <w:r w:rsidRPr="00A05CF4">
        <w:rPr>
          <w:i/>
          <w:lang w:val="en-US"/>
        </w:rPr>
        <w:t>Jan Kleissel Solar Energy Forecasting S57 Kap 3.3.1 Clouds</w:t>
      </w:r>
    </w:p>
    <w:p w:rsidR="004F10C3" w:rsidRDefault="00864856" w:rsidP="00864856">
      <w:pPr>
        <w:pStyle w:val="berschrift2"/>
      </w:pPr>
      <w:bookmarkStart w:id="30" w:name="_Toc531888921"/>
      <w:r>
        <w:t>Dreidimensionale Effekte in der Kurzeit Vorhersage</w:t>
      </w:r>
      <w:bookmarkEnd w:id="30"/>
    </w:p>
    <w:p w:rsidR="00864856" w:rsidRPr="00A05CF4" w:rsidRDefault="00864856" w:rsidP="00864856">
      <w:pPr>
        <w:rPr>
          <w:i/>
          <w:lang w:val="en-US"/>
        </w:rPr>
      </w:pPr>
      <w:r w:rsidRPr="00A05CF4">
        <w:rPr>
          <w:i/>
          <w:lang w:val="en-US"/>
        </w:rPr>
        <w:t>Jan Kleissel Sola</w:t>
      </w:r>
      <w:r w:rsidR="00C769D0" w:rsidRPr="00A05CF4">
        <w:rPr>
          <w:i/>
          <w:lang w:val="en-US"/>
        </w:rPr>
        <w:t>r Energy Forecasting S70 Kap 3.7</w:t>
      </w:r>
      <w:r w:rsidRPr="00A05CF4">
        <w:rPr>
          <w:i/>
          <w:lang w:val="en-US"/>
        </w:rPr>
        <w:t>.</w:t>
      </w:r>
      <w:r w:rsidR="00C769D0" w:rsidRPr="00A05CF4">
        <w:rPr>
          <w:i/>
          <w:lang w:val="en-US"/>
        </w:rPr>
        <w:t xml:space="preserve">1 Three-Dimesional Effekts in short-Term Forecasting </w:t>
      </w:r>
    </w:p>
    <w:p w:rsidR="00864856" w:rsidRDefault="00586F60" w:rsidP="00E1167A">
      <w:pPr>
        <w:pStyle w:val="berschrift2"/>
      </w:pPr>
      <w:bookmarkStart w:id="31" w:name="_Toc531888922"/>
      <w:r>
        <w:lastRenderedPageBreak/>
        <w:t>Ursache und Wirkung der PV-Variabilität</w:t>
      </w:r>
      <w:bookmarkEnd w:id="31"/>
    </w:p>
    <w:p w:rsidR="00E1167A" w:rsidRPr="00A05CF4" w:rsidRDefault="00E1167A" w:rsidP="00E1167A">
      <w:pPr>
        <w:rPr>
          <w:i/>
          <w:lang w:val="en-US"/>
        </w:rPr>
      </w:pPr>
      <w:r w:rsidRPr="00A05CF4">
        <w:rPr>
          <w:i/>
          <w:lang w:val="en-US"/>
        </w:rPr>
        <w:t xml:space="preserve">Jan Kleissel Solar Energy Forecasting S129 Kap </w:t>
      </w:r>
      <w:proofErr w:type="gramStart"/>
      <w:r w:rsidRPr="00A05CF4">
        <w:rPr>
          <w:i/>
          <w:lang w:val="en-US"/>
        </w:rPr>
        <w:t>6.1  Solar</w:t>
      </w:r>
      <w:proofErr w:type="gramEnd"/>
      <w:r w:rsidRPr="00A05CF4">
        <w:rPr>
          <w:i/>
          <w:lang w:val="en-US"/>
        </w:rPr>
        <w:t xml:space="preserve"> Resource Variability </w:t>
      </w:r>
    </w:p>
    <w:p w:rsidR="00E1167A" w:rsidRPr="00A05CF4" w:rsidRDefault="009767C9" w:rsidP="00411744">
      <w:pPr>
        <w:jc w:val="left"/>
        <w:rPr>
          <w:lang w:val="en-US"/>
        </w:rPr>
      </w:pPr>
      <w:r w:rsidRPr="00A05CF4">
        <w:rPr>
          <w:lang w:val="en-US"/>
        </w:rPr>
        <w:t xml:space="preserve">In this chapter, we focus on the short-term temporal variability of the solar resource caused by weather and passing clouds, corresponding to timescales of seconds to tens of minutes. </w:t>
      </w:r>
    </w:p>
    <w:p w:rsidR="00411744" w:rsidRPr="00A05CF4" w:rsidRDefault="00411744" w:rsidP="00411744">
      <w:pPr>
        <w:jc w:val="left"/>
        <w:rPr>
          <w:lang w:val="en-US"/>
        </w:rPr>
      </w:pPr>
      <w:r w:rsidRPr="00A05CF4">
        <w:rPr>
          <w:lang w:val="en-US"/>
        </w:rPr>
        <w:t>A smal cloud passing in front of the Sun can cause a small PV installation to go from full production to almost none and then back to full production in a matter of secondsdthis impact is of concern to grid operators.</w:t>
      </w:r>
    </w:p>
    <w:p w:rsidR="00FC493B" w:rsidRPr="00A05CF4" w:rsidRDefault="00FC493B" w:rsidP="00FC493B">
      <w:pPr>
        <w:jc w:val="left"/>
        <w:rPr>
          <w:lang w:val="en-US"/>
        </w:rPr>
      </w:pPr>
      <w:r w:rsidRPr="00A05CF4">
        <w:rPr>
          <w:lang w:val="en-US"/>
        </w:rPr>
        <w:t xml:space="preserve">A general measure of the solar resource for nonconcentrating </w:t>
      </w:r>
      <w:r>
        <w:t>ﬂ</w:t>
      </w:r>
      <w:r w:rsidRPr="00A05CF4">
        <w:rPr>
          <w:lang w:val="en-US"/>
        </w:rPr>
        <w:t>atplate1 solar-system con</w:t>
      </w:r>
      <w:r>
        <w:t>ﬁ</w:t>
      </w:r>
      <w:r w:rsidRPr="00A05CF4">
        <w:rPr>
          <w:lang w:val="en-US"/>
        </w:rPr>
        <w:t>gurations is global horizontal irradiance (GHI). Shortterm GHI variability includes the effect of predictable factors due to changes in Sun position and unpredictable factors due to weather/clouds.</w:t>
      </w:r>
    </w:p>
    <w:p w:rsidR="00FC493B" w:rsidRPr="00A05CF4" w:rsidRDefault="00FC493B" w:rsidP="00FC493B">
      <w:pPr>
        <w:jc w:val="left"/>
        <w:rPr>
          <w:lang w:val="en-US"/>
        </w:rPr>
      </w:pPr>
      <w:r w:rsidRPr="00A05CF4">
        <w:rPr>
          <w:lang w:val="en-US"/>
        </w:rPr>
        <w:t xml:space="preserve">Short-term </w:t>
      </w:r>
      <w:r>
        <w:t>ﬂ</w:t>
      </w:r>
      <w:r w:rsidRPr="00A05CF4">
        <w:rPr>
          <w:lang w:val="en-US"/>
        </w:rPr>
        <w:t xml:space="preserve">uctuations and ramp rates of less than 20 s will affect small individual systems, but should be minimized when a </w:t>
      </w:r>
      <w:r>
        <w:t>ﬂ</w:t>
      </w:r>
      <w:r w:rsidRPr="00A05CF4">
        <w:rPr>
          <w:lang w:val="en-US"/>
        </w:rPr>
        <w:t xml:space="preserve">eet of such systems covers an area of a few square kilometers. At the system level, these </w:t>
      </w:r>
      <w:r>
        <w:t>ﬂ</w:t>
      </w:r>
      <w:r w:rsidRPr="00A05CF4">
        <w:rPr>
          <w:lang w:val="en-US"/>
        </w:rPr>
        <w:t>uctuations can (rarely) cause localized voltage disturbances and can cause systems to trip of</w:t>
      </w:r>
      <w:r>
        <w:t>ﬂ</w:t>
      </w:r>
      <w:r w:rsidRPr="00A05CF4">
        <w:rPr>
          <w:lang w:val="en-US"/>
        </w:rPr>
        <w:t>ine. The best way to address them is at the interconnection-hardware level, which can include appropriate “shock absorbers” to increase their electrical inertia and eliminate such risks.</w:t>
      </w:r>
    </w:p>
    <w:p w:rsidR="00D1524E" w:rsidRPr="00A05CF4" w:rsidRDefault="00D1524E" w:rsidP="00FC493B">
      <w:pPr>
        <w:jc w:val="left"/>
        <w:rPr>
          <w:lang w:val="en-US"/>
        </w:rPr>
      </w:pPr>
    </w:p>
    <w:p w:rsidR="00D1524E" w:rsidRPr="00A05CF4" w:rsidRDefault="00D1524E" w:rsidP="00D1524E">
      <w:pPr>
        <w:rPr>
          <w:i/>
          <w:lang w:val="en-US"/>
        </w:rPr>
      </w:pPr>
      <w:r w:rsidRPr="00A05CF4">
        <w:rPr>
          <w:i/>
          <w:lang w:val="en-US"/>
        </w:rPr>
        <w:t xml:space="preserve">Jan Kleissel Solar Energy Forecasting S129 Kap </w:t>
      </w:r>
      <w:proofErr w:type="gramStart"/>
      <w:r w:rsidRPr="00A05CF4">
        <w:rPr>
          <w:i/>
          <w:lang w:val="en-US"/>
        </w:rPr>
        <w:t>7.1  Quantifying</w:t>
      </w:r>
      <w:proofErr w:type="gramEnd"/>
      <w:r w:rsidRPr="00A05CF4">
        <w:rPr>
          <w:i/>
          <w:lang w:val="en-US"/>
        </w:rPr>
        <w:t xml:space="preserve"> and Simulating Solar-Plant Variability Using Irradiance Data</w:t>
      </w:r>
    </w:p>
    <w:p w:rsidR="00D1524E" w:rsidRPr="00A05CF4" w:rsidRDefault="00D1524E" w:rsidP="00D1524E">
      <w:pPr>
        <w:jc w:val="left"/>
        <w:rPr>
          <w:lang w:val="en-US"/>
        </w:rPr>
      </w:pPr>
      <w:r w:rsidRPr="00A05CF4">
        <w:rPr>
          <w:lang w:val="en-US"/>
        </w:rPr>
        <w:t>As opposed to conventional power sources such as coal or nuclear power plants, the power output from PV plants is variable. This variability is a concern to grid operators, as unanticipated changes in PV output can strain the grid. At short timescales (seconds), sharp changes in power output can cause local voltage</w:t>
      </w:r>
      <w:r>
        <w:t>ﬂ</w:t>
      </w:r>
      <w:r w:rsidRPr="00A05CF4">
        <w:rPr>
          <w:lang w:val="en-US"/>
        </w:rPr>
        <w:t>icker issues. At longer timescales (minutes), producing less PV power than expected can cause balancing and, as a result, frequency issues, where load can exceed generation. PV power variability can be counteracted by other, fastramping generation sources (e.g., gas turbines) and by storage systems (e.g.,</w:t>
      </w:r>
    </w:p>
    <w:p w:rsidR="00D1524E" w:rsidRPr="00A05CF4" w:rsidRDefault="00D1524E" w:rsidP="00D1524E">
      <w:pPr>
        <w:jc w:val="left"/>
        <w:rPr>
          <w:lang w:val="en-US"/>
        </w:rPr>
      </w:pPr>
      <w:r w:rsidRPr="00A05CF4">
        <w:rPr>
          <w:lang w:val="en-US"/>
        </w:rPr>
        <w:t>batteries), but both are quite expensive and substantially increase plant cost.</w:t>
      </w:r>
      <w:r w:rsidRPr="00A05CF4">
        <w:rPr>
          <w:lang w:val="en-US"/>
        </w:rPr>
        <w:br/>
        <w:t xml:space="preserve">The main causes of solar variability are the movement of the Sun through the sky (i.e., power output drops to zero at night) and clouds passing over a PV module, temporarily reducing power output. </w:t>
      </w:r>
      <w:proofErr w:type="gramStart"/>
      <w:r w:rsidRPr="00A05CF4">
        <w:rPr>
          <w:lang w:val="en-US"/>
        </w:rPr>
        <w:t>Both of these</w:t>
      </w:r>
      <w:proofErr w:type="gramEnd"/>
      <w:r w:rsidRPr="00A05CF4">
        <w:rPr>
          <w:lang w:val="en-US"/>
        </w:rPr>
        <w:t xml:space="preserve"> effects can be seen in Figure 7.1, where in a coarse sense the output follows the height of the Sun in</w:t>
      </w:r>
    </w:p>
    <w:p w:rsidR="00D1524E" w:rsidRPr="00A05CF4" w:rsidRDefault="00D1524E" w:rsidP="00D1524E">
      <w:pPr>
        <w:jc w:val="left"/>
        <w:rPr>
          <w:lang w:val="en-US"/>
        </w:rPr>
      </w:pPr>
      <w:r w:rsidRPr="00A05CF4">
        <w:rPr>
          <w:lang w:val="en-US"/>
        </w:rPr>
        <w:t xml:space="preserve">the sky, with maximum at solar noon and minimum at sunrise and sunset. In a </w:t>
      </w:r>
      <w:r>
        <w:t>ﬁ</w:t>
      </w:r>
      <w:r w:rsidRPr="00A05CF4">
        <w:rPr>
          <w:lang w:val="en-US"/>
        </w:rPr>
        <w:t xml:space="preserve">ner view, however, there are many short </w:t>
      </w:r>
      <w:r>
        <w:t>ﬂ</w:t>
      </w:r>
      <w:r w:rsidRPr="00A05CF4">
        <w:rPr>
          <w:lang w:val="en-US"/>
        </w:rPr>
        <w:t>uctuations due to passing clouds or cloud fronts. Other factors, such as atmospheric content, module temperature, and system-speci</w:t>
      </w:r>
      <w:r>
        <w:t>ﬁ</w:t>
      </w:r>
      <w:r w:rsidRPr="00A05CF4">
        <w:rPr>
          <w:lang w:val="en-US"/>
        </w:rPr>
        <w:t>c conditions can also cause variability in plant output, but</w:t>
      </w:r>
    </w:p>
    <w:p w:rsidR="00D1524E" w:rsidRPr="00A05CF4" w:rsidRDefault="00D1524E" w:rsidP="00D1524E">
      <w:pPr>
        <w:jc w:val="left"/>
        <w:rPr>
          <w:lang w:val="en-US"/>
        </w:rPr>
      </w:pPr>
      <w:r w:rsidRPr="00A05CF4">
        <w:rPr>
          <w:lang w:val="en-US"/>
        </w:rPr>
        <w:t>their effects are typically small. While the variability due to Sun movement can be precisely predicted and</w:t>
      </w:r>
    </w:p>
    <w:p w:rsidR="00D1524E" w:rsidRPr="00A05CF4" w:rsidRDefault="00D1524E" w:rsidP="00D1524E">
      <w:pPr>
        <w:jc w:val="left"/>
        <w:rPr>
          <w:lang w:val="en-US"/>
        </w:rPr>
      </w:pPr>
      <w:r w:rsidRPr="00A05CF4">
        <w:rPr>
          <w:lang w:val="en-US"/>
        </w:rPr>
        <w:t>causes noticeable changes only over timescales of many minutes to hours, cloud-caused variability is dif</w:t>
      </w:r>
      <w:r>
        <w:t>ﬁ</w:t>
      </w:r>
      <w:r w:rsidRPr="00A05CF4">
        <w:rPr>
          <w:lang w:val="en-US"/>
        </w:rPr>
        <w:t>cult to predict and can cause signi</w:t>
      </w:r>
      <w:r>
        <w:t>ﬁ</w:t>
      </w:r>
      <w:r w:rsidRPr="00A05CF4">
        <w:rPr>
          <w:lang w:val="en-US"/>
        </w:rPr>
        <w:t xml:space="preserve">cant changes in output in seconds. Fortunately, though, geographic diversity within a PV plant leads to a reduction in cloud-caused variability, as some modules may be covered by cloud while others see clear sky. This is seen visually in Figure 7.1, as the envelope of </w:t>
      </w:r>
      <w:r>
        <w:t>ﬂ</w:t>
      </w:r>
      <w:r w:rsidRPr="00A05CF4">
        <w:rPr>
          <w:lang w:val="en-US"/>
        </w:rPr>
        <w:t>uctuations is smaller for the PV plant than for the single point sensor, showing that relative variability is reduced for the PV plant. The amount of this reduction in variability changes from plant to plant and day to</w:t>
      </w:r>
    </w:p>
    <w:p w:rsidR="00D1524E" w:rsidRPr="00A05CF4" w:rsidRDefault="00D1524E" w:rsidP="00D1524E">
      <w:pPr>
        <w:jc w:val="left"/>
        <w:rPr>
          <w:lang w:val="en-US"/>
        </w:rPr>
      </w:pPr>
      <w:r w:rsidRPr="00A05CF4">
        <w:rPr>
          <w:lang w:val="en-US"/>
        </w:rPr>
        <w:t>day, as smoothing depends on plant layout, the timescale of interest, and daily meteorological conditions.</w:t>
      </w:r>
    </w:p>
    <w:p w:rsidR="00CD51BF" w:rsidRDefault="003C521D" w:rsidP="00CD51BF">
      <w:pPr>
        <w:pStyle w:val="berschrift2"/>
      </w:pPr>
      <w:bookmarkStart w:id="32" w:name="_Toc531888923"/>
      <w:r>
        <w:lastRenderedPageBreak/>
        <w:t xml:space="preserve">Optik und </w:t>
      </w:r>
      <w:r w:rsidR="00A9619F">
        <w:t>b</w:t>
      </w:r>
      <w:r>
        <w:t>ildge</w:t>
      </w:r>
      <w:r w:rsidR="00A9619F">
        <w:t>bende Techniken</w:t>
      </w:r>
      <w:bookmarkEnd w:id="32"/>
      <w:r w:rsidR="00222670">
        <w:t xml:space="preserve"> </w:t>
      </w:r>
    </w:p>
    <w:p w:rsidR="00222670" w:rsidRPr="00222670" w:rsidRDefault="003978A4" w:rsidP="00222670">
      <w:r>
        <w:t xml:space="preserve">Diverse Arbeiten: </w:t>
      </w:r>
      <w:r w:rsidR="00222670">
        <w:t>All Sky Kam Astro</w:t>
      </w:r>
      <w:r>
        <w:t xml:space="preserve"> </w:t>
      </w:r>
      <w:r w:rsidR="00222670">
        <w:t>MANGO Report</w:t>
      </w:r>
      <w:r>
        <w:t xml:space="preserve"> </w:t>
      </w:r>
    </w:p>
    <w:p w:rsidR="003C521D" w:rsidRDefault="003C521D" w:rsidP="00A9619F">
      <w:pPr>
        <w:pStyle w:val="berschrift3"/>
        <w:tabs>
          <w:tab w:val="clear" w:pos="680"/>
        </w:tabs>
        <w:ind w:left="720" w:hanging="720"/>
      </w:pPr>
      <w:bookmarkStart w:id="33" w:name="_Toc531888924"/>
      <w:r>
        <w:t>Für die Auswahl der Optik bestimmende Faktoren</w:t>
      </w:r>
      <w:bookmarkEnd w:id="33"/>
    </w:p>
    <w:p w:rsidR="00237C16" w:rsidRDefault="00237C16" w:rsidP="00237C16">
      <w:pPr>
        <w:pStyle w:val="berschrift3"/>
        <w:tabs>
          <w:tab w:val="clear" w:pos="680"/>
        </w:tabs>
        <w:ind w:left="720" w:hanging="720"/>
      </w:pPr>
      <w:bookmarkStart w:id="34" w:name="_Toc531888925"/>
      <w:r>
        <w:t>Bildwinkel</w:t>
      </w:r>
      <w:bookmarkEnd w:id="34"/>
    </w:p>
    <w:p w:rsidR="003978A4" w:rsidRPr="003978A4" w:rsidRDefault="003978A4" w:rsidP="003978A4">
      <w:pPr>
        <w:rPr>
          <w:i/>
        </w:rPr>
      </w:pPr>
      <w:r w:rsidRPr="003978A4">
        <w:rPr>
          <w:i/>
        </w:rPr>
        <w:t xml:space="preserve">Diverse Arbeiten: All Sky Kam Astro MANGO Report </w:t>
      </w:r>
      <w:r>
        <w:rPr>
          <w:i/>
        </w:rPr>
        <w:t>S27</w:t>
      </w:r>
    </w:p>
    <w:p w:rsidR="003978A4" w:rsidRPr="003978A4" w:rsidRDefault="003978A4" w:rsidP="003978A4"/>
    <w:p w:rsidR="003978A4" w:rsidRDefault="003978A4" w:rsidP="003978A4">
      <w:r w:rsidRPr="00A05CF4">
        <w:rPr>
          <w:lang w:val="en-US"/>
        </w:rPr>
        <w:t xml:space="preserve">In the fields of imaging and photography, angle of view describes the angular extent of a given scene that is imaged by a camera. The wider the angle, more angle of the scene is captured and the opposite the holds true. The angle of view of a lens is a function of the focal length of the lens and is inversely proportional to its tangent in normal lenses. Thus, longer the focal length, narrower will be the angle of view. </w:t>
      </w:r>
      <w:r>
        <w:t xml:space="preserve">This can be seen in Figure 2.9.  </w:t>
      </w:r>
    </w:p>
    <w:p w:rsidR="0077331A" w:rsidRDefault="0077331A" w:rsidP="003978A4">
      <w:r>
        <w:rPr>
          <w:noProof/>
        </w:rPr>
        <w:drawing>
          <wp:inline distT="0" distB="0" distL="0" distR="0">
            <wp:extent cx="987327" cy="886579"/>
            <wp:effectExtent l="0" t="0" r="3810" b="8890"/>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995414" cy="893841"/>
                    </a:xfrm>
                    <a:prstGeom prst="rect">
                      <a:avLst/>
                    </a:prstGeom>
                    <a:noFill/>
                    <a:ln>
                      <a:noFill/>
                    </a:ln>
                  </pic:spPr>
                </pic:pic>
              </a:graphicData>
            </a:graphic>
          </wp:inline>
        </w:drawing>
      </w:r>
    </w:p>
    <w:p w:rsidR="0077331A" w:rsidRPr="003978A4" w:rsidRDefault="0077331A" w:rsidP="0077331A">
      <w:r w:rsidRPr="00A05CF4">
        <w:rPr>
          <w:lang w:val="en-US"/>
        </w:rPr>
        <w:t xml:space="preserve">To this point, it might seem that lenses with wider-angle views are better since they capture more information. While this is true, there are consequences of using wide-angle lenses. </w:t>
      </w:r>
      <w:r>
        <w:t>Wide-angle lenses are prone to optical distortion.</w:t>
      </w:r>
    </w:p>
    <w:p w:rsidR="00222670" w:rsidRDefault="00222670" w:rsidP="00222670">
      <w:pPr>
        <w:pStyle w:val="berschrift3"/>
        <w:tabs>
          <w:tab w:val="clear" w:pos="680"/>
        </w:tabs>
        <w:ind w:left="720" w:hanging="720"/>
      </w:pPr>
      <w:bookmarkStart w:id="35" w:name="_Toc531888926"/>
      <w:r>
        <w:t>Optische Verzerrung</w:t>
      </w:r>
      <w:bookmarkEnd w:id="35"/>
    </w:p>
    <w:p w:rsidR="00E97CE1" w:rsidRPr="003978A4" w:rsidRDefault="00E97CE1" w:rsidP="00E97CE1">
      <w:pPr>
        <w:rPr>
          <w:i/>
        </w:rPr>
      </w:pPr>
      <w:r w:rsidRPr="003978A4">
        <w:rPr>
          <w:i/>
        </w:rPr>
        <w:t xml:space="preserve">Diverse Arbeiten: All Sky Kam Astro MANGO Report </w:t>
      </w:r>
      <w:r>
        <w:rPr>
          <w:i/>
        </w:rPr>
        <w:t>S27</w:t>
      </w:r>
    </w:p>
    <w:p w:rsidR="00E97CE1" w:rsidRPr="00A05CF4" w:rsidRDefault="00E97CE1" w:rsidP="00E97CE1">
      <w:pPr>
        <w:rPr>
          <w:lang w:val="en-US"/>
        </w:rPr>
      </w:pPr>
      <w:r w:rsidRPr="00A05CF4">
        <w:rPr>
          <w:lang w:val="en-US"/>
        </w:rPr>
        <w:t xml:space="preserve">In the field of Optics, distortion is an optical aberration where straight lines in a scene do not appear as straight lines in the image. Majority of camera lenses produce images in line with the law of central perspective. This means that relative to the observer, all the converging lines lead towards a single vanishing point at the center of the image. This kind of projection of three-dimensional space onto a two-dimensional image surface is called rectilinear projection or gnomonic projection. The reason this rule is not obeyed, especially in wide-angle optics, is that the image scale is not constant throughout the entire image field. This means that the focal length of a lens showing distortion changes with the distance of an image point from the optical axis [21]. The effect of distortion when using wide-angle optics can be seen in Figure 2.10.  </w:t>
      </w:r>
    </w:p>
    <w:p w:rsidR="00CD6A38" w:rsidRPr="00A05CF4" w:rsidRDefault="002A41CA">
      <w:pPr>
        <w:rPr>
          <w:lang w:val="en-US"/>
        </w:rPr>
      </w:pPr>
      <w:hyperlink r:id="rId18" w:history="1">
        <w:r w:rsidR="0041674D" w:rsidRPr="00A05CF4">
          <w:rPr>
            <w:rStyle w:val="Hyperlink"/>
            <w:lang w:val="en-US"/>
          </w:rPr>
          <w:t>https://de.wikipedia.org/wiki/Bildwinkel</w:t>
        </w:r>
      </w:hyperlink>
    </w:p>
    <w:p w:rsidR="0041674D" w:rsidRDefault="00E07EEF" w:rsidP="00E07EEF">
      <w:pPr>
        <w:pStyle w:val="berschrift3"/>
        <w:tabs>
          <w:tab w:val="clear" w:pos="680"/>
        </w:tabs>
        <w:ind w:left="720" w:hanging="720"/>
      </w:pPr>
      <w:bookmarkStart w:id="36" w:name="_Toc531888927"/>
      <w:r>
        <w:t>Die Verwendung eines Fischaugenobjektivs</w:t>
      </w:r>
      <w:bookmarkEnd w:id="36"/>
    </w:p>
    <w:p w:rsidR="00E97CE1" w:rsidRPr="003978A4" w:rsidRDefault="00E97CE1" w:rsidP="00E97CE1">
      <w:pPr>
        <w:rPr>
          <w:i/>
        </w:rPr>
      </w:pPr>
      <w:r w:rsidRPr="003978A4">
        <w:rPr>
          <w:i/>
        </w:rPr>
        <w:t xml:space="preserve">Diverse Arbeiten: All Sky Kam Astro MANGO Report </w:t>
      </w:r>
      <w:r>
        <w:rPr>
          <w:i/>
        </w:rPr>
        <w:t>S28</w:t>
      </w:r>
    </w:p>
    <w:p w:rsidR="00E97CE1" w:rsidRPr="00A05CF4" w:rsidRDefault="00E97CE1" w:rsidP="00E97CE1">
      <w:pPr>
        <w:rPr>
          <w:lang w:val="en-US"/>
        </w:rPr>
      </w:pPr>
      <w:r w:rsidRPr="00A05CF4">
        <w:rPr>
          <w:lang w:val="en-US"/>
        </w:rPr>
        <w:t xml:space="preserve">As solid-state (CCD) imagers improved with technology, new systems have started employing wide-angle optics which can view emissions over large geographic areas. Fisheye lenses are ultra-wide-angle lenses that achieve extremely wide angles of view by losing the straight lines of perspective as seen in rectilinear </w:t>
      </w:r>
    </w:p>
    <w:p w:rsidR="00E97CE1" w:rsidRPr="00A05CF4" w:rsidRDefault="00E97CE1" w:rsidP="004132D2">
      <w:pPr>
        <w:rPr>
          <w:lang w:val="en-US"/>
        </w:rPr>
      </w:pPr>
      <w:r w:rsidRPr="00A05CF4">
        <w:rPr>
          <w:lang w:val="en-US"/>
        </w:rPr>
        <w:t xml:space="preserve">images. Figure 2.11 shows a picture take using a fisheye lens. It is worth noting how the image is different from the conventional rectangular image taken from a rectilinear lens, which appears more natural to a </w:t>
      </w:r>
      <w:r w:rsidRPr="00A05CF4">
        <w:rPr>
          <w:lang w:val="en-US"/>
        </w:rPr>
        <w:lastRenderedPageBreak/>
        <w:t>human observer.</w:t>
      </w:r>
      <w:r w:rsidR="004132D2" w:rsidRPr="00A05CF4">
        <w:rPr>
          <w:lang w:val="en-US"/>
        </w:rPr>
        <w:t xml:space="preserve"> Due to the optical distortion because of fisheye lenses and the effect of undesirable characteristics of all-sky images, post-processing of these images is required. The need for this and the generally applied techniques are discussed in more detail in the following section.</w:t>
      </w:r>
    </w:p>
    <w:p w:rsidR="00937328" w:rsidRPr="00A05CF4" w:rsidRDefault="002A41CA" w:rsidP="00937328">
      <w:pPr>
        <w:rPr>
          <w:lang w:val="en-US"/>
        </w:rPr>
      </w:pPr>
      <w:hyperlink r:id="rId19" w:history="1">
        <w:r w:rsidR="00B50971" w:rsidRPr="00A05CF4">
          <w:rPr>
            <w:rStyle w:val="Hyperlink"/>
            <w:lang w:val="en-US"/>
          </w:rPr>
          <w:t>https://de.wikipedia.org/wiki/Weitwinkelobjektiv</w:t>
        </w:r>
      </w:hyperlink>
    </w:p>
    <w:p w:rsidR="00B50971" w:rsidRPr="00A05CF4" w:rsidRDefault="00B50971" w:rsidP="00937328">
      <w:pPr>
        <w:rPr>
          <w:lang w:val="en-US"/>
        </w:rPr>
      </w:pPr>
    </w:p>
    <w:p w:rsidR="00B50971" w:rsidRDefault="00B50971" w:rsidP="00B50971">
      <w:pPr>
        <w:pStyle w:val="berschrift2"/>
        <w:tabs>
          <w:tab w:val="clear" w:pos="680"/>
        </w:tabs>
        <w:ind w:left="720" w:hanging="720"/>
      </w:pPr>
      <w:bookmarkStart w:id="37" w:name="_Toc531888928"/>
      <w:r>
        <w:t>Bildverarbeitung</w:t>
      </w:r>
      <w:bookmarkEnd w:id="37"/>
    </w:p>
    <w:p w:rsidR="00B50971" w:rsidRDefault="00B50971" w:rsidP="00B50971">
      <w:pPr>
        <w:pStyle w:val="berschrift3"/>
        <w:tabs>
          <w:tab w:val="clear" w:pos="680"/>
        </w:tabs>
        <w:ind w:left="720" w:hanging="720"/>
      </w:pPr>
      <w:bookmarkStart w:id="38" w:name="_Toc531888929"/>
      <w:r>
        <w:t xml:space="preserve">Eigenschaften einer </w:t>
      </w:r>
      <w:r w:rsidR="007D61D0">
        <w:t>Weitwinkelaufnahme</w:t>
      </w:r>
      <w:bookmarkEnd w:id="38"/>
    </w:p>
    <w:p w:rsidR="0011619B" w:rsidRPr="003978A4" w:rsidRDefault="0011619B" w:rsidP="0011619B">
      <w:pPr>
        <w:rPr>
          <w:i/>
        </w:rPr>
      </w:pPr>
      <w:r w:rsidRPr="003978A4">
        <w:rPr>
          <w:i/>
        </w:rPr>
        <w:t xml:space="preserve">Diverse Arbeiten: All Sky Kam Astro MANGO Report </w:t>
      </w:r>
      <w:r>
        <w:rPr>
          <w:i/>
        </w:rPr>
        <w:t>S29</w:t>
      </w:r>
    </w:p>
    <w:p w:rsidR="00E13A68" w:rsidRPr="00A05CF4" w:rsidRDefault="00E13A68" w:rsidP="0011619B">
      <w:pPr>
        <w:jc w:val="left"/>
        <w:rPr>
          <w:lang w:val="en-US"/>
        </w:rPr>
      </w:pPr>
      <w:r w:rsidRPr="00A05CF4">
        <w:rPr>
          <w:lang w:val="en-US"/>
        </w:rPr>
        <w:t>Cameras used for all-sky imaging record rasterized images with a finite number of pixels (picture elements). This means that an image acquired using these cameras have a finite number of dots defined in the horizontal as well as the vertical axis. Since the images</w:t>
      </w:r>
      <w:r w:rsidR="0011619B" w:rsidRPr="00A05CF4">
        <w:rPr>
          <w:lang w:val="en-US"/>
        </w:rPr>
        <w:t xml:space="preserve"> are stored as files with pixel</w:t>
      </w:r>
      <w:r w:rsidRPr="00A05CF4">
        <w:rPr>
          <w:lang w:val="en-US"/>
        </w:rPr>
        <w:t xml:space="preserve">wise information, no information about the geographical coordinates is present in the image. </w:t>
      </w:r>
    </w:p>
    <w:p w:rsidR="007D61D0" w:rsidRPr="007D61D0" w:rsidRDefault="00E13A68" w:rsidP="0011619B">
      <w:pPr>
        <w:jc w:val="left"/>
      </w:pPr>
      <w:r w:rsidRPr="00A05CF4">
        <w:rPr>
          <w:lang w:val="en-US"/>
        </w:rPr>
        <w:t xml:space="preserve">Furthermore, since the images are taken using a fisheye lens, they are not rectilinear. The </w:t>
      </w:r>
      <w:proofErr w:type="gramStart"/>
      <w:r w:rsidRPr="00A05CF4">
        <w:rPr>
          <w:lang w:val="en-US"/>
        </w:rPr>
        <w:t>aforementioned characteristics</w:t>
      </w:r>
      <w:proofErr w:type="gramEnd"/>
      <w:r w:rsidRPr="00A05CF4">
        <w:rPr>
          <w:lang w:val="en-US"/>
        </w:rPr>
        <w:t xml:space="preserve"> of the images are a consequence of the imaging technique employed. Apart from these, other effects may be noticeable because of the content of the actual scene. Other systematic errors may also exist in the image which would then need correction. For instance, CCDs are prone to having read-out noise especially when they have faint background levels, which is the noise associated with reading each on-chip amplifier [25]. </w:t>
      </w:r>
      <w:r>
        <w:t>Figure 2.12 shows how a preprocessed image may appear.</w:t>
      </w:r>
    </w:p>
    <w:p w:rsidR="0077210A" w:rsidRDefault="0077210A" w:rsidP="008E57C0"/>
    <w:p w:rsidR="009E49D5" w:rsidRDefault="009E49D5" w:rsidP="003978A4">
      <w:pPr>
        <w:pStyle w:val="berschrift3"/>
        <w:tabs>
          <w:tab w:val="clear" w:pos="680"/>
        </w:tabs>
        <w:ind w:left="720" w:hanging="720"/>
      </w:pPr>
      <w:bookmarkStart w:id="39" w:name="_Toc531888930"/>
      <w:r>
        <w:t>CCD</w:t>
      </w:r>
      <w:bookmarkEnd w:id="39"/>
    </w:p>
    <w:p w:rsidR="003978A4" w:rsidRPr="00A05CF4" w:rsidRDefault="003978A4" w:rsidP="003978A4">
      <w:pPr>
        <w:jc w:val="left"/>
        <w:rPr>
          <w:lang w:val="en-US"/>
        </w:rPr>
      </w:pPr>
      <w:r w:rsidRPr="00A05CF4">
        <w:rPr>
          <w:i/>
          <w:lang w:val="en-US"/>
        </w:rPr>
        <w:t>Booklet: Photovoltaic and solar Forecasting: state oft the Art; Reports IEA PVPS T14-01:2013 S13</w:t>
      </w:r>
    </w:p>
    <w:p w:rsidR="009E49D5" w:rsidRPr="00A05CF4" w:rsidRDefault="009E49D5" w:rsidP="009E49D5">
      <w:pPr>
        <w:rPr>
          <w:lang w:val="en-US"/>
        </w:rPr>
      </w:pPr>
      <w:r w:rsidRPr="00A05CF4">
        <w:rPr>
          <w:lang w:val="en-US"/>
        </w:rPr>
        <w:t>At the University of California San Diego, sky imagers (USIs) have recently been specifically developed for solar forecasting applications and feature high resolution, high dynamic range, high stability imaging chips that enable cloud shadow mapping and solar forecasting at unprecedented spatial detail (Figure 3a).</w:t>
      </w:r>
    </w:p>
    <w:p w:rsidR="0039354D" w:rsidRDefault="005C5914" w:rsidP="0039354D">
      <w:pPr>
        <w:pStyle w:val="berschrift1"/>
        <w:tabs>
          <w:tab w:val="clear" w:pos="680"/>
          <w:tab w:val="num" w:pos="720"/>
        </w:tabs>
        <w:ind w:left="720" w:hanging="720"/>
      </w:pPr>
      <w:bookmarkStart w:id="40" w:name="_Toc531888931"/>
      <w:r>
        <w:lastRenderedPageBreak/>
        <w:t xml:space="preserve">Übersicht solarer Vorhersage </w:t>
      </w:r>
      <w:r w:rsidR="0039354D">
        <w:t>Methoden</w:t>
      </w:r>
      <w:bookmarkEnd w:id="40"/>
    </w:p>
    <w:p w:rsidR="00827F54" w:rsidRPr="00827F54" w:rsidRDefault="00827F54" w:rsidP="00827F54">
      <w:pPr>
        <w:pStyle w:val="berschrift3"/>
        <w:tabs>
          <w:tab w:val="clear" w:pos="680"/>
        </w:tabs>
        <w:ind w:left="720" w:hanging="720"/>
      </w:pPr>
      <w:bookmarkStart w:id="41" w:name="_Toc531888932"/>
      <w:r>
        <w:t xml:space="preserve">Klassifikation </w:t>
      </w:r>
      <w:r w:rsidRPr="00827F54">
        <w:t>solare</w:t>
      </w:r>
      <w:r>
        <w:t>r</w:t>
      </w:r>
      <w:r w:rsidRPr="00827F54">
        <w:t xml:space="preserve"> Vorhersage Methoden</w:t>
      </w:r>
      <w:bookmarkEnd w:id="41"/>
    </w:p>
    <w:p w:rsidR="00F108A1" w:rsidRPr="00A05CF4" w:rsidRDefault="00F108A1" w:rsidP="00F108A1">
      <w:pPr>
        <w:rPr>
          <w:i/>
          <w:lang w:val="en-US"/>
        </w:rPr>
      </w:pPr>
      <w:r w:rsidRPr="00A05CF4">
        <w:rPr>
          <w:i/>
          <w:lang w:val="en-US"/>
        </w:rPr>
        <w:t xml:space="preserve">Jan Kleissel Solar Energy Forecasting </w:t>
      </w:r>
      <w:r w:rsidR="00972342" w:rsidRPr="00A05CF4">
        <w:rPr>
          <w:i/>
          <w:lang w:val="en-US"/>
        </w:rPr>
        <w:t>S166</w:t>
      </w:r>
      <w:r w:rsidRPr="00A05CF4">
        <w:rPr>
          <w:i/>
          <w:lang w:val="en-US"/>
        </w:rPr>
        <w:t xml:space="preserve"> Kap 8 Overview of solar-Forecasting Methods and a Metric for Accuracy Evaluation</w:t>
      </w:r>
    </w:p>
    <w:p w:rsidR="00F108A1" w:rsidRPr="00A05CF4" w:rsidRDefault="00F108A1" w:rsidP="00F108A1">
      <w:pPr>
        <w:rPr>
          <w:lang w:val="en-US"/>
        </w:rPr>
      </w:pPr>
      <w:r w:rsidRPr="00A05CF4">
        <w:rPr>
          <w:lang w:val="en-US"/>
        </w:rPr>
        <w:t xml:space="preserve">The choice of solar-forecasting method depends strongly on the timescales involved, which can vary from horizons of a few seconds or minutes (intra-hour), a few hours (intraday), or a few days ahead (intraweek). Different time horizons are relevant according to the forecast application. </w:t>
      </w:r>
    </w:p>
    <w:p w:rsidR="00C80E81" w:rsidRDefault="00931AC1" w:rsidP="00F108A1">
      <w:r>
        <w:rPr>
          <w:noProof/>
        </w:rPr>
        <w:drawing>
          <wp:inline distT="0" distB="0" distL="0" distR="0">
            <wp:extent cx="5391150" cy="1528445"/>
            <wp:effectExtent l="0" t="0" r="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391150" cy="1528445"/>
                    </a:xfrm>
                    <a:prstGeom prst="rect">
                      <a:avLst/>
                    </a:prstGeom>
                    <a:noFill/>
                    <a:ln>
                      <a:noFill/>
                    </a:ln>
                  </pic:spPr>
                </pic:pic>
              </a:graphicData>
            </a:graphic>
          </wp:inline>
        </w:drawing>
      </w:r>
    </w:p>
    <w:p w:rsidR="00C80E81" w:rsidRPr="00A05CF4" w:rsidRDefault="00C80E81" w:rsidP="00F108A1">
      <w:pPr>
        <w:rPr>
          <w:i/>
          <w:lang w:val="en-US"/>
        </w:rPr>
      </w:pPr>
      <w:r w:rsidRPr="00A05CF4">
        <w:rPr>
          <w:i/>
          <w:lang w:val="en-US"/>
        </w:rPr>
        <w:t>Short-term irradiance forecasting using skycams: Motivation and developement (Samuel R. West) S 5</w:t>
      </w:r>
    </w:p>
    <w:p w:rsidR="00D5488E" w:rsidRPr="00A05CF4" w:rsidRDefault="00D5488E" w:rsidP="00697181">
      <w:pPr>
        <w:jc w:val="left"/>
        <w:rPr>
          <w:lang w:val="en-US"/>
        </w:rPr>
      </w:pPr>
      <w:r w:rsidRPr="00A05CF4">
        <w:rPr>
          <w:lang w:val="en-US"/>
        </w:rPr>
        <w:t>The time horizon over which this information can be</w:t>
      </w:r>
      <w:r w:rsidR="00C80E81" w:rsidRPr="00A05CF4">
        <w:rPr>
          <w:lang w:val="en-US"/>
        </w:rPr>
        <w:t xml:space="preserve"> </w:t>
      </w:r>
      <w:r w:rsidRPr="00A05CF4">
        <w:rPr>
          <w:lang w:val="en-US"/>
        </w:rPr>
        <w:t xml:space="preserve">provided depends on </w:t>
      </w:r>
      <w:proofErr w:type="gramStart"/>
      <w:r w:rsidRPr="00A05CF4">
        <w:rPr>
          <w:lang w:val="en-US"/>
        </w:rPr>
        <w:t>a number of</w:t>
      </w:r>
      <w:proofErr w:type="gramEnd"/>
      <w:r w:rsidRPr="00A05CF4">
        <w:rPr>
          <w:lang w:val="en-US"/>
        </w:rPr>
        <w:t xml:space="preserve"> factors including the</w:t>
      </w:r>
      <w:r w:rsidR="00C80E81" w:rsidRPr="00A05CF4">
        <w:rPr>
          <w:lang w:val="en-US"/>
        </w:rPr>
        <w:t xml:space="preserve"> </w:t>
      </w:r>
      <w:r w:rsidRPr="00A05CF4">
        <w:rPr>
          <w:lang w:val="en-US"/>
        </w:rPr>
        <w:t xml:space="preserve">imager </w:t>
      </w:r>
      <w:r>
        <w:t>ﬁ</w:t>
      </w:r>
      <w:r w:rsidRPr="00A05CF4">
        <w:rPr>
          <w:lang w:val="en-US"/>
        </w:rPr>
        <w:t>eld of view, wind speed and computation time.</w:t>
      </w:r>
      <w:r w:rsidR="00C80E81" w:rsidRPr="00A05CF4">
        <w:rPr>
          <w:lang w:val="en-US"/>
        </w:rPr>
        <w:t xml:space="preserve"> </w:t>
      </w:r>
      <w:r w:rsidRPr="00A05CF4">
        <w:rPr>
          <w:lang w:val="en-US"/>
        </w:rPr>
        <w:t>A typical maximum horizon for sky imager forecasts is</w:t>
      </w:r>
      <w:r w:rsidR="00C80E81" w:rsidRPr="00A05CF4">
        <w:rPr>
          <w:lang w:val="en-US"/>
        </w:rPr>
        <w:t xml:space="preserve"> </w:t>
      </w:r>
      <w:r w:rsidRPr="00A05CF4">
        <w:rPr>
          <w:lang w:val="en-US"/>
        </w:rPr>
        <w:t>on the order of 20 min, with update frequencies of between</w:t>
      </w:r>
      <w:r w:rsidR="00C80E81" w:rsidRPr="00A05CF4">
        <w:rPr>
          <w:lang w:val="en-US"/>
        </w:rPr>
        <w:t xml:space="preserve"> </w:t>
      </w:r>
      <w:r w:rsidRPr="00A05CF4">
        <w:rPr>
          <w:lang w:val="en-US"/>
        </w:rPr>
        <w:t>10 and 30 s. The upper forecast horizon limit is mainly</w:t>
      </w:r>
      <w:r w:rsidR="00C80E81" w:rsidRPr="00A05CF4">
        <w:rPr>
          <w:lang w:val="en-US"/>
        </w:rPr>
        <w:t xml:space="preserve"> </w:t>
      </w:r>
      <w:r w:rsidRPr="00A05CF4">
        <w:rPr>
          <w:lang w:val="en-US"/>
        </w:rPr>
        <w:t>dependent on the amount of time taken for a cloud to</w:t>
      </w:r>
      <w:r w:rsidR="00C80E81" w:rsidRPr="00A05CF4">
        <w:rPr>
          <w:lang w:val="en-US"/>
        </w:rPr>
        <w:t xml:space="preserve"> </w:t>
      </w:r>
      <w:r w:rsidRPr="00A05CF4">
        <w:rPr>
          <w:lang w:val="en-US"/>
        </w:rPr>
        <w:t xml:space="preserve">move from the edge of the camera’s </w:t>
      </w:r>
      <w:r>
        <w:t>ﬁ</w:t>
      </w:r>
      <w:r w:rsidRPr="00A05CF4">
        <w:rPr>
          <w:lang w:val="en-US"/>
        </w:rPr>
        <w:t>eld of view to the</w:t>
      </w:r>
      <w:r w:rsidR="00C80E81" w:rsidRPr="00A05CF4">
        <w:rPr>
          <w:lang w:val="en-US"/>
        </w:rPr>
        <w:t xml:space="preserve"> </w:t>
      </w:r>
      <w:r w:rsidRPr="00A05CF4">
        <w:rPr>
          <w:lang w:val="en-US"/>
        </w:rPr>
        <w:t>‘danger zone’. This zone describes the region in which a</w:t>
      </w:r>
      <w:r w:rsidR="00C80E81" w:rsidRPr="00A05CF4">
        <w:rPr>
          <w:lang w:val="en-US"/>
        </w:rPr>
        <w:t xml:space="preserve"> </w:t>
      </w:r>
      <w:r w:rsidRPr="00A05CF4">
        <w:rPr>
          <w:lang w:val="en-US"/>
        </w:rPr>
        <w:t>cloud may intercept the sun and shade the target area. It</w:t>
      </w:r>
      <w:r w:rsidR="00C80E81" w:rsidRPr="00A05CF4">
        <w:rPr>
          <w:lang w:val="en-US"/>
        </w:rPr>
        <w:t xml:space="preserve"> </w:t>
      </w:r>
      <w:r w:rsidRPr="00A05CF4">
        <w:rPr>
          <w:lang w:val="en-US"/>
        </w:rPr>
        <w:t>is desirable for the camera to have a wide and unobstructed</w:t>
      </w:r>
      <w:r w:rsidR="00AC3989" w:rsidRPr="00A05CF4">
        <w:rPr>
          <w:lang w:val="en-US"/>
        </w:rPr>
        <w:t xml:space="preserve"> </w:t>
      </w:r>
      <w:r>
        <w:t>ﬁ</w:t>
      </w:r>
      <w:r w:rsidRPr="00A05CF4">
        <w:rPr>
          <w:lang w:val="en-US"/>
        </w:rPr>
        <w:t>eld of view, however it is possible to use multiple cameras</w:t>
      </w:r>
      <w:r w:rsidR="00C80E81" w:rsidRPr="00A05CF4">
        <w:rPr>
          <w:lang w:val="en-US"/>
        </w:rPr>
        <w:t xml:space="preserve"> </w:t>
      </w:r>
      <w:r w:rsidRPr="00A05CF4">
        <w:rPr>
          <w:lang w:val="en-US"/>
        </w:rPr>
        <w:t xml:space="preserve">and for their images to be ‘stitched’ together </w:t>
      </w:r>
      <w:proofErr w:type="gramStart"/>
      <w:r w:rsidRPr="00A05CF4">
        <w:rPr>
          <w:lang w:val="en-US"/>
        </w:rPr>
        <w:t>in order to</w:t>
      </w:r>
      <w:proofErr w:type="gramEnd"/>
      <w:r w:rsidR="00C80E81" w:rsidRPr="00A05CF4">
        <w:rPr>
          <w:lang w:val="en-US"/>
        </w:rPr>
        <w:t xml:space="preserve"> </w:t>
      </w:r>
      <w:r w:rsidRPr="00A05CF4">
        <w:rPr>
          <w:lang w:val="en-US"/>
        </w:rPr>
        <w:t>extend the forecast horizon.</w:t>
      </w:r>
      <w:r w:rsidR="00C80E81" w:rsidRPr="00A05CF4">
        <w:rPr>
          <w:lang w:val="en-US"/>
        </w:rPr>
        <w:t xml:space="preserve"> </w:t>
      </w:r>
    </w:p>
    <w:p w:rsidR="00931AC1" w:rsidRPr="00A05CF4" w:rsidRDefault="00931AC1" w:rsidP="00697181">
      <w:pPr>
        <w:jc w:val="left"/>
        <w:rPr>
          <w:lang w:val="en-US"/>
        </w:rPr>
      </w:pPr>
      <w:r w:rsidRPr="00A05CF4">
        <w:rPr>
          <w:i/>
          <w:lang w:val="en-US"/>
        </w:rPr>
        <w:t xml:space="preserve">Booklet: Photovoltaic and solar Forecasting: state oft the Art; Reports IEA PVPS T14-01:2013 </w:t>
      </w:r>
      <w:r w:rsidR="00697181" w:rsidRPr="00A05CF4">
        <w:rPr>
          <w:i/>
          <w:lang w:val="en-US"/>
        </w:rPr>
        <w:t>S13</w:t>
      </w:r>
    </w:p>
    <w:p w:rsidR="00C81472" w:rsidRPr="00A05CF4" w:rsidRDefault="00C81472" w:rsidP="00C81472">
      <w:pPr>
        <w:jc w:val="left"/>
        <w:rPr>
          <w:lang w:val="en-US"/>
        </w:rPr>
      </w:pPr>
      <w:r w:rsidRPr="00A05CF4">
        <w:rPr>
          <w:lang w:val="en-US"/>
        </w:rPr>
        <w:t>The actual look</w:t>
      </w:r>
      <w:r w:rsidRPr="00A05CF4">
        <w:rPr>
          <w:rFonts w:ascii="Cambria Math" w:hAnsi="Cambria Math" w:cs="Cambria Math"/>
          <w:lang w:val="en-US"/>
        </w:rPr>
        <w:t>‐</w:t>
      </w:r>
      <w:r w:rsidRPr="00A05CF4">
        <w:rPr>
          <w:lang w:val="en-US"/>
        </w:rPr>
        <w:t>ahead time for which this method has significant skill will depend, among other things, upon the cloud velocity and the height of the clouds (the ratio of the cloud velocity to the cloud height defines an angular velocity about the WSI which determines the time duration of the cloud being in the field</w:t>
      </w:r>
      <w:r w:rsidRPr="00A05CF4">
        <w:rPr>
          <w:rFonts w:ascii="Cambria Math" w:hAnsi="Cambria Math" w:cs="Cambria Math"/>
          <w:lang w:val="en-US"/>
        </w:rPr>
        <w:t>‐</w:t>
      </w:r>
      <w:r w:rsidRPr="00A05CF4">
        <w:rPr>
          <w:lang w:val="en-US"/>
        </w:rPr>
        <w:t>of</w:t>
      </w:r>
      <w:r w:rsidRPr="00A05CF4">
        <w:rPr>
          <w:rFonts w:ascii="Cambria Math" w:hAnsi="Cambria Math" w:cs="Cambria Math"/>
          <w:lang w:val="en-US"/>
        </w:rPr>
        <w:t>‐</w:t>
      </w:r>
      <w:r w:rsidRPr="00A05CF4">
        <w:rPr>
          <w:lang w:val="en-US"/>
        </w:rPr>
        <w:t xml:space="preserve">view). For low and fast </w:t>
      </w:r>
      <w:proofErr w:type="gramStart"/>
      <w:r w:rsidRPr="00A05CF4">
        <w:rPr>
          <w:lang w:val="en-US"/>
        </w:rPr>
        <w:t>clouds</w:t>
      </w:r>
      <w:proofErr w:type="gramEnd"/>
      <w:r w:rsidRPr="00A05CF4">
        <w:rPr>
          <w:lang w:val="en-US"/>
        </w:rPr>
        <w:t xml:space="preserve"> the forecast horizon may only be 3 minuets while for high and slow clouds it may be over 30 minutes, but generally horizons between 5 to 20 minutes are typical. Even if cloud size and velocity could be determined accurately, the forecast accuracy depends on the rate at which the cloud field is departing from the evolution defined by the cloud motion vectors (i.e. development, dissipation, etc.).</w:t>
      </w:r>
    </w:p>
    <w:p w:rsidR="0077210A" w:rsidRDefault="0077210A" w:rsidP="0077210A">
      <w:pPr>
        <w:pStyle w:val="berschrift1"/>
      </w:pPr>
      <w:bookmarkStart w:id="42" w:name="_Toc531888933"/>
      <w:r>
        <w:lastRenderedPageBreak/>
        <w:t>Ris</w:t>
      </w:r>
      <w:r w:rsidR="009A5D84">
        <w:t>i</w:t>
      </w:r>
      <w:r>
        <w:t>koanalyse</w:t>
      </w:r>
      <w:bookmarkEnd w:id="42"/>
    </w:p>
    <w:p w:rsidR="009A5D84" w:rsidRPr="00A05CF4" w:rsidRDefault="009A5D84" w:rsidP="009A5D84">
      <w:pPr>
        <w:rPr>
          <w:lang w:val="en-US"/>
        </w:rPr>
      </w:pPr>
      <w:r w:rsidRPr="00A05CF4">
        <w:rPr>
          <w:lang w:val="en-US"/>
        </w:rPr>
        <w:t>Jan Kleissel Solar Energy Forecasting S79 Kap 4 Eval of Risk in solar-project financing</w:t>
      </w:r>
    </w:p>
    <w:p w:rsidR="00A609DA" w:rsidRPr="00A05CF4" w:rsidRDefault="00A609DA" w:rsidP="00A609DA">
      <w:pPr>
        <w:rPr>
          <w:lang w:val="en-US"/>
        </w:rPr>
      </w:pPr>
      <w:r w:rsidRPr="00A05CF4">
        <w:rPr>
          <w:lang w:val="en-US"/>
        </w:rPr>
        <w:t>Jan Kleissel Solar Energy Forecasting S79 Kap 4.5 Techniques for quantifying and managing resource risks</w:t>
      </w:r>
    </w:p>
    <w:p w:rsidR="00A609DA" w:rsidRPr="00A05CF4" w:rsidRDefault="00A609DA" w:rsidP="009A5D84">
      <w:pPr>
        <w:rPr>
          <w:lang w:val="en-US"/>
        </w:rPr>
      </w:pPr>
    </w:p>
    <w:p w:rsidR="00A609DA" w:rsidRPr="00A05CF4" w:rsidRDefault="00A609DA" w:rsidP="009A5D84">
      <w:pPr>
        <w:rPr>
          <w:lang w:val="en-US"/>
        </w:rPr>
      </w:pPr>
    </w:p>
    <w:p w:rsidR="0077210A" w:rsidRPr="00A05CF4" w:rsidRDefault="0077210A">
      <w:pPr>
        <w:spacing w:before="0" w:line="240" w:lineRule="auto"/>
        <w:jc w:val="left"/>
        <w:rPr>
          <w:lang w:val="en-US"/>
        </w:rPr>
      </w:pPr>
      <w:r w:rsidRPr="00A05CF4">
        <w:rPr>
          <w:lang w:val="en-US"/>
        </w:rPr>
        <w:br w:type="page"/>
      </w:r>
    </w:p>
    <w:p w:rsidR="008E57C0" w:rsidRPr="00A05CF4" w:rsidRDefault="008E57C0" w:rsidP="008E57C0">
      <w:pPr>
        <w:rPr>
          <w:lang w:val="en-US"/>
        </w:rPr>
      </w:pPr>
    </w:p>
    <w:p w:rsidR="00284FA6" w:rsidRDefault="00284FA6">
      <w:pPr>
        <w:pStyle w:val="berschrift1"/>
      </w:pPr>
      <w:bookmarkStart w:id="43" w:name="_Ref491684646"/>
      <w:bookmarkStart w:id="44" w:name="_Toc531888934"/>
      <w:r>
        <w:lastRenderedPageBreak/>
        <w:t>Stand der Technik</w:t>
      </w:r>
      <w:bookmarkEnd w:id="43"/>
      <w:bookmarkEnd w:id="44"/>
    </w:p>
    <w:p w:rsidR="008B28D1" w:rsidRDefault="00284FA6" w:rsidP="008B28D1">
      <w:r>
        <w:t xml:space="preserve">Die Idee, eine spezielle Word-Dokumentvorlage zum Schreiben von </w:t>
      </w:r>
      <w:r w:rsidR="00583AA1">
        <w:t>Abschlussarbeiten</w:t>
      </w:r>
      <w:r>
        <w:t xml:space="preserve"> und anderen wissenschaftlichen Arbeiten zu entwickeln, ist zwar naheliegend, doch ist eine Internet-Recherche nach einschlägigen Lösungen wenig ergiebig</w:t>
      </w:r>
    </w:p>
    <w:p w:rsidR="00284FA6" w:rsidRDefault="00284FA6">
      <w:pPr>
        <w:pStyle w:val="berschrift1"/>
        <w:numPr>
          <w:ilvl w:val="0"/>
          <w:numId w:val="0"/>
        </w:numPr>
      </w:pPr>
      <w:bookmarkStart w:id="45" w:name="_Ref491742270"/>
      <w:bookmarkStart w:id="46" w:name="_Ref491742277"/>
      <w:bookmarkStart w:id="47" w:name="_Toc531888935"/>
      <w:r>
        <w:lastRenderedPageBreak/>
        <w:t xml:space="preserve">Anhang A: Beispiele für die Gliederung von </w:t>
      </w:r>
      <w:r w:rsidR="00583AA1">
        <w:t>Abschlussarbeiten</w:t>
      </w:r>
      <w:bookmarkEnd w:id="45"/>
      <w:bookmarkEnd w:id="46"/>
      <w:bookmarkEnd w:id="47"/>
    </w:p>
    <w:p w:rsidR="00284FA6" w:rsidRDefault="00284FA6">
      <w:r>
        <w:t>Die nachfolgenden Gliederungen stellen lediglich Vorschläge dar, die stets am konkreten Fall überprüft und in der Regel angepasst werden müssen.</w:t>
      </w:r>
    </w:p>
    <w:p w:rsidR="00284FA6" w:rsidRDefault="00284FA6">
      <w:pPr>
        <w:pStyle w:val="berschrift2"/>
        <w:numPr>
          <w:ilvl w:val="0"/>
          <w:numId w:val="0"/>
        </w:numPr>
      </w:pPr>
      <w:bookmarkStart w:id="48" w:name="_Toc531888936"/>
      <w:r>
        <w:t>A.1 Literaturarbeiten</w:t>
      </w:r>
      <w:bookmarkEnd w:id="48"/>
    </w:p>
    <w:p w:rsidR="00284FA6" w:rsidRDefault="00284FA6" w:rsidP="00284FA6">
      <w:pPr>
        <w:numPr>
          <w:ilvl w:val="0"/>
          <w:numId w:val="23"/>
        </w:numPr>
      </w:pPr>
      <w:r>
        <w:t>Überblick (oder: Zusammenfassung, „Executive Summary“, alles Wichtige für den „Manager“ oder Schnellleser)</w:t>
      </w:r>
    </w:p>
    <w:p w:rsidR="00284FA6" w:rsidRDefault="00284FA6" w:rsidP="00284FA6">
      <w:pPr>
        <w:numPr>
          <w:ilvl w:val="0"/>
          <w:numId w:val="23"/>
        </w:numPr>
      </w:pPr>
      <w:r>
        <w:t>Fragestellung (oder: Ziele, Ausgangspunkt, Motivation)</w:t>
      </w:r>
    </w:p>
    <w:p w:rsidR="00284FA6" w:rsidRDefault="00284FA6" w:rsidP="00284FA6">
      <w:pPr>
        <w:numPr>
          <w:ilvl w:val="0"/>
          <w:numId w:val="23"/>
        </w:numPr>
      </w:pPr>
      <w:r>
        <w:t>Übersicht über den Stand der Wissenschaft und Technik (Beschreibung der Lösungsansätze, Beispiele etc. in einzelnen Abschnitten)</w:t>
      </w:r>
    </w:p>
    <w:p w:rsidR="00284FA6" w:rsidRDefault="00284FA6" w:rsidP="00284FA6">
      <w:pPr>
        <w:numPr>
          <w:ilvl w:val="0"/>
          <w:numId w:val="23"/>
        </w:numPr>
      </w:pPr>
      <w:r>
        <w:t>Bewertung der einzelnen untersuchten Ansätze, Beispiele etc., Identifikation von Defiziten</w:t>
      </w:r>
    </w:p>
    <w:p w:rsidR="00284FA6" w:rsidRDefault="00284FA6" w:rsidP="00284FA6">
      <w:pPr>
        <w:numPr>
          <w:ilvl w:val="0"/>
          <w:numId w:val="23"/>
        </w:numPr>
      </w:pPr>
      <w:r>
        <w:t>Synthese: Erstellung einer Gesamtschau, allgemeine Prinzipien, Beschreibung einer eigenen Sicht auf das Problem, evtl. auch eigene Vorschläge</w:t>
      </w:r>
    </w:p>
    <w:p w:rsidR="00284FA6" w:rsidRDefault="00284FA6" w:rsidP="00284FA6">
      <w:pPr>
        <w:numPr>
          <w:ilvl w:val="0"/>
          <w:numId w:val="23"/>
        </w:numPr>
      </w:pPr>
      <w:r>
        <w:t>Zusammenfassung (Erklärung des Nutzens), Ausblick</w:t>
      </w:r>
    </w:p>
    <w:p w:rsidR="00284FA6" w:rsidRDefault="00284FA6">
      <w:r>
        <w:t>Anhang: eventuell recherchierte Texte, Produktbeschreibungen, etc.</w:t>
      </w:r>
    </w:p>
    <w:p w:rsidR="00284FA6" w:rsidRDefault="00284FA6">
      <w:pPr>
        <w:pStyle w:val="berschrift2"/>
        <w:numPr>
          <w:ilvl w:val="0"/>
          <w:numId w:val="0"/>
        </w:numPr>
      </w:pPr>
      <w:bookmarkStart w:id="49" w:name="_Toc531888937"/>
      <w:r>
        <w:t>A.2 Systementwicklungen</w:t>
      </w:r>
      <w:bookmarkEnd w:id="49"/>
    </w:p>
    <w:p w:rsidR="00284FA6" w:rsidRDefault="00284FA6" w:rsidP="00284FA6">
      <w:pPr>
        <w:numPr>
          <w:ilvl w:val="0"/>
          <w:numId w:val="24"/>
        </w:numPr>
      </w:pPr>
      <w:r>
        <w:t>Überblick (oder: Zusammenfassung, „Executive Summary“, alles Wichtige für den „Manager“ oder Schnellleser)</w:t>
      </w:r>
    </w:p>
    <w:p w:rsidR="00284FA6" w:rsidRDefault="00284FA6" w:rsidP="00284FA6">
      <w:pPr>
        <w:numPr>
          <w:ilvl w:val="0"/>
          <w:numId w:val="24"/>
        </w:numPr>
      </w:pPr>
      <w:r>
        <w:t>Problemstellung (oder: Ziele, Ausgangspunkt), Vorgesehener Benutzerkreis, Bedürfnisse der Benutzer</w:t>
      </w:r>
    </w:p>
    <w:p w:rsidR="00284FA6" w:rsidRDefault="00284FA6" w:rsidP="00284FA6">
      <w:pPr>
        <w:numPr>
          <w:ilvl w:val="0"/>
          <w:numId w:val="24"/>
        </w:numPr>
      </w:pPr>
      <w:r>
        <w:t>Stand der Technik (Wie wird das Problem bisher gelöst, wo sind die Defizite)</w:t>
      </w:r>
    </w:p>
    <w:p w:rsidR="00284FA6" w:rsidRDefault="00284FA6" w:rsidP="00284FA6">
      <w:pPr>
        <w:numPr>
          <w:ilvl w:val="0"/>
          <w:numId w:val="24"/>
        </w:numPr>
      </w:pPr>
      <w:r>
        <w:t>Gewählter Lösungsansatz (allgemeines Prinzip, welche Werkzeuge, z.B. Programmiersprachen werden verwendet)</w:t>
      </w:r>
    </w:p>
    <w:p w:rsidR="00284FA6" w:rsidRDefault="00284FA6" w:rsidP="00284FA6">
      <w:pPr>
        <w:numPr>
          <w:ilvl w:val="0"/>
          <w:numId w:val="24"/>
        </w:numPr>
      </w:pPr>
      <w:r>
        <w:t>Beschreibung der durchgeführten Arbeiten</w:t>
      </w:r>
    </w:p>
    <w:p w:rsidR="00284FA6" w:rsidRDefault="00284FA6" w:rsidP="00284FA6">
      <w:pPr>
        <w:numPr>
          <w:ilvl w:val="0"/>
          <w:numId w:val="24"/>
        </w:numPr>
      </w:pPr>
      <w:r>
        <w:t>Ergebnis (z.B. Screenshots mit Erläuterungen)</w:t>
      </w:r>
    </w:p>
    <w:p w:rsidR="00284FA6" w:rsidRDefault="00284FA6" w:rsidP="00284FA6">
      <w:pPr>
        <w:numPr>
          <w:ilvl w:val="0"/>
          <w:numId w:val="24"/>
        </w:numPr>
      </w:pPr>
      <w:r>
        <w:t>Zusammenfassung (Erklärung des Nutzens), Ausblick</w:t>
      </w:r>
    </w:p>
    <w:p w:rsidR="00284FA6" w:rsidRDefault="00284FA6">
      <w:r>
        <w:t>Anhang: evtl. (ausgewählte) Programmbeispiele</w:t>
      </w:r>
    </w:p>
    <w:p w:rsidR="00284FA6" w:rsidRDefault="00284FA6">
      <w:r>
        <w:t>Evtl. CD-ROM als Beilage</w:t>
      </w:r>
    </w:p>
    <w:p w:rsidR="00284FA6" w:rsidRDefault="00284FA6">
      <w:pPr>
        <w:pStyle w:val="berschrift1"/>
        <w:numPr>
          <w:ilvl w:val="0"/>
          <w:numId w:val="0"/>
        </w:numPr>
      </w:pPr>
      <w:bookmarkStart w:id="50" w:name="_Toc531888938"/>
      <w:r>
        <w:lastRenderedPageBreak/>
        <w:t>Anhang B: Formatvorlagen</w:t>
      </w:r>
      <w:bookmarkEnd w:id="50"/>
    </w:p>
    <w:p w:rsidR="00284FA6" w:rsidRDefault="00284FA6">
      <w:r>
        <w:t>Nachfolgend sind die für die Benutzer der Dokumentvorlage wichtigsten Formatvorlagen aufgelistet. Vermerkt ist jeweils auch der Zweck der Formatvorlage und ob es sich um eine neue oder eine modifizierte Formatvorlage handelt.</w:t>
      </w:r>
    </w:p>
    <w:p w:rsidR="00284FA6" w:rsidRDefault="00284FA6">
      <w:pPr>
        <w:pStyle w:val="Tabellenberschrift"/>
      </w:pPr>
      <w:bookmarkStart w:id="51" w:name="_Toc493178522"/>
      <w:r>
        <w:t xml:space="preserve">Tabelle </w:t>
      </w:r>
      <w:fldSimple w:instr=" SEQ Tabelle \* ARABIC ">
        <w:r w:rsidR="00824316">
          <w:rPr>
            <w:noProof/>
          </w:rPr>
          <w:t>3</w:t>
        </w:r>
      </w:fldSimple>
      <w:r>
        <w:t>: Aufstellung der wichtigsten Formatvorlagen der Dokumentvorlage</w:t>
      </w:r>
      <w:bookmarkEnd w:id="51"/>
    </w:p>
    <w:tbl>
      <w:tblPr>
        <w:tblW w:w="0" w:type="auto"/>
        <w:tblInd w:w="30" w:type="dxa"/>
        <w:tblBorders>
          <w:top w:val="single" w:sz="4" w:space="0" w:color="auto"/>
          <w:bottom w:val="single" w:sz="4" w:space="0" w:color="auto"/>
          <w:insideH w:val="single" w:sz="4" w:space="0" w:color="auto"/>
        </w:tblBorders>
        <w:tblLayout w:type="fixed"/>
        <w:tblCellMar>
          <w:left w:w="30" w:type="dxa"/>
          <w:right w:w="30" w:type="dxa"/>
        </w:tblCellMar>
        <w:tblLook w:val="0000" w:firstRow="0" w:lastRow="0" w:firstColumn="0" w:lastColumn="0" w:noHBand="0" w:noVBand="0"/>
      </w:tblPr>
      <w:tblGrid>
        <w:gridCol w:w="2127"/>
        <w:gridCol w:w="4110"/>
        <w:gridCol w:w="1701"/>
      </w:tblGrid>
      <w:tr w:rsidR="00284FA6">
        <w:trPr>
          <w:trHeight w:val="247"/>
        </w:trPr>
        <w:tc>
          <w:tcPr>
            <w:tcW w:w="2127" w:type="dxa"/>
            <w:tcBorders>
              <w:left w:val="single" w:sz="4" w:space="0" w:color="auto"/>
            </w:tcBorders>
          </w:tcPr>
          <w:p w:rsidR="00284FA6" w:rsidRDefault="00284FA6">
            <w:pPr>
              <w:rPr>
                <w:b/>
                <w:snapToGrid w:val="0"/>
                <w:color w:val="000000"/>
              </w:rPr>
            </w:pPr>
            <w:r>
              <w:rPr>
                <w:b/>
                <w:snapToGrid w:val="0"/>
                <w:color w:val="000000"/>
              </w:rPr>
              <w:t>Formatvorlage</w:t>
            </w:r>
          </w:p>
        </w:tc>
        <w:tc>
          <w:tcPr>
            <w:tcW w:w="4110" w:type="dxa"/>
          </w:tcPr>
          <w:p w:rsidR="00284FA6" w:rsidRDefault="00284FA6">
            <w:pPr>
              <w:jc w:val="left"/>
              <w:rPr>
                <w:b/>
                <w:snapToGrid w:val="0"/>
                <w:color w:val="000000"/>
              </w:rPr>
            </w:pPr>
            <w:r>
              <w:rPr>
                <w:b/>
                <w:snapToGrid w:val="0"/>
                <w:color w:val="000000"/>
              </w:rPr>
              <w:t>Zweck</w:t>
            </w:r>
          </w:p>
        </w:tc>
        <w:tc>
          <w:tcPr>
            <w:tcW w:w="1701" w:type="dxa"/>
            <w:tcBorders>
              <w:right w:val="single" w:sz="4" w:space="0" w:color="auto"/>
            </w:tcBorders>
          </w:tcPr>
          <w:p w:rsidR="00284FA6" w:rsidRDefault="00284FA6">
            <w:pPr>
              <w:jc w:val="left"/>
              <w:rPr>
                <w:b/>
                <w:snapToGrid w:val="0"/>
                <w:color w:val="000000"/>
              </w:rPr>
            </w:pPr>
            <w:r>
              <w:rPr>
                <w:b/>
                <w:snapToGrid w:val="0"/>
                <w:color w:val="000000"/>
              </w:rPr>
              <w:t>neu oder</w:t>
            </w:r>
            <w:r>
              <w:rPr>
                <w:b/>
                <w:snapToGrid w:val="0"/>
                <w:color w:val="000000"/>
              </w:rPr>
              <w:b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Abbildung</w:t>
            </w:r>
          </w:p>
        </w:tc>
        <w:tc>
          <w:tcPr>
            <w:tcW w:w="4110" w:type="dxa"/>
          </w:tcPr>
          <w:p w:rsidR="00284FA6" w:rsidRDefault="00284FA6">
            <w:pPr>
              <w:jc w:val="left"/>
              <w:rPr>
                <w:snapToGrid w:val="0"/>
                <w:color w:val="000000"/>
              </w:rPr>
            </w:pPr>
            <w:r>
              <w:rPr>
                <w:snapToGrid w:val="0"/>
                <w:color w:val="000000"/>
              </w:rPr>
              <w:t>Abbildungen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Beschriftung</w:t>
            </w:r>
          </w:p>
        </w:tc>
        <w:tc>
          <w:tcPr>
            <w:tcW w:w="4110" w:type="dxa"/>
          </w:tcPr>
          <w:p w:rsidR="00284FA6" w:rsidRDefault="00284FA6">
            <w:pPr>
              <w:jc w:val="left"/>
              <w:rPr>
                <w:snapToGrid w:val="0"/>
                <w:color w:val="000000"/>
              </w:rPr>
            </w:pPr>
            <w:r>
              <w:rPr>
                <w:snapToGrid w:val="0"/>
                <w:color w:val="000000"/>
              </w:rPr>
              <w:t>Beschriftung von Abbildungen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Computerprogramm</w:t>
            </w:r>
          </w:p>
        </w:tc>
        <w:tc>
          <w:tcPr>
            <w:tcW w:w="4110" w:type="dxa"/>
          </w:tcPr>
          <w:p w:rsidR="00284FA6" w:rsidRDefault="00284FA6">
            <w:pPr>
              <w:jc w:val="left"/>
              <w:rPr>
                <w:snapToGrid w:val="0"/>
                <w:color w:val="000000"/>
              </w:rPr>
            </w:pPr>
            <w:r>
              <w:rPr>
                <w:snapToGrid w:val="0"/>
                <w:color w:val="000000"/>
              </w:rPr>
              <w:t>Texte von Computerprogrammen u.ä.</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Fußnotentext</w:t>
            </w:r>
          </w:p>
        </w:tc>
        <w:tc>
          <w:tcPr>
            <w:tcW w:w="4110" w:type="dxa"/>
          </w:tcPr>
          <w:p w:rsidR="00284FA6" w:rsidRDefault="00284FA6">
            <w:pPr>
              <w:jc w:val="left"/>
              <w:rPr>
                <w:snapToGrid w:val="0"/>
                <w:color w:val="000000"/>
              </w:rPr>
            </w:pPr>
            <w:r>
              <w:rPr>
                <w:snapToGrid w:val="0"/>
                <w:color w:val="000000"/>
              </w:rPr>
              <w:t>Fußnoten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Fußnotenzeichen</w:t>
            </w:r>
          </w:p>
        </w:tc>
        <w:tc>
          <w:tcPr>
            <w:tcW w:w="4110" w:type="dxa"/>
          </w:tcPr>
          <w:p w:rsidR="00284FA6" w:rsidRDefault="00284FA6">
            <w:pPr>
              <w:jc w:val="left"/>
              <w:rPr>
                <w:snapToGrid w:val="0"/>
                <w:color w:val="000000"/>
              </w:rPr>
            </w:pPr>
            <w:r>
              <w:rPr>
                <w:snapToGrid w:val="0"/>
                <w:color w:val="000000"/>
              </w:rPr>
              <w:t>Fußnotenzeichen</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Fußzeile</w:t>
            </w:r>
          </w:p>
        </w:tc>
        <w:tc>
          <w:tcPr>
            <w:tcW w:w="4110" w:type="dxa"/>
          </w:tcPr>
          <w:p w:rsidR="00284FA6" w:rsidRDefault="00284FA6">
            <w:pPr>
              <w:jc w:val="left"/>
              <w:rPr>
                <w:snapToGrid w:val="0"/>
                <w:color w:val="000000"/>
              </w:rPr>
            </w:pPr>
            <w:r>
              <w:rPr>
                <w:snapToGrid w:val="0"/>
                <w:color w:val="000000"/>
              </w:rPr>
              <w:t>Fußzeile (normalerweise ausgeschaltet)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Kopfzeile</w:t>
            </w:r>
          </w:p>
        </w:tc>
        <w:tc>
          <w:tcPr>
            <w:tcW w:w="4110" w:type="dxa"/>
          </w:tcPr>
          <w:p w:rsidR="00284FA6" w:rsidRDefault="00284FA6">
            <w:pPr>
              <w:jc w:val="left"/>
              <w:rPr>
                <w:snapToGrid w:val="0"/>
                <w:color w:val="000000"/>
              </w:rPr>
            </w:pPr>
            <w:r>
              <w:rPr>
                <w:snapToGrid w:val="0"/>
                <w:color w:val="000000"/>
              </w:rPr>
              <w:t>Kopfzeile (wird automatisch erstellt)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Literaturverzeichnis</w:t>
            </w:r>
          </w:p>
        </w:tc>
        <w:tc>
          <w:tcPr>
            <w:tcW w:w="4110" w:type="dxa"/>
          </w:tcPr>
          <w:p w:rsidR="00284FA6" w:rsidRDefault="00284FA6">
            <w:pPr>
              <w:jc w:val="left"/>
              <w:rPr>
                <w:snapToGrid w:val="0"/>
                <w:color w:val="000000"/>
              </w:rPr>
            </w:pPr>
            <w:r>
              <w:rPr>
                <w:snapToGrid w:val="0"/>
                <w:color w:val="000000"/>
              </w:rPr>
              <w:t>Literaturangaben im Literaturverzeichnis</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Standard</w:t>
            </w:r>
          </w:p>
        </w:tc>
        <w:tc>
          <w:tcPr>
            <w:tcW w:w="4110" w:type="dxa"/>
          </w:tcPr>
          <w:p w:rsidR="00284FA6" w:rsidRDefault="00284FA6">
            <w:pPr>
              <w:jc w:val="left"/>
              <w:rPr>
                <w:snapToGrid w:val="0"/>
                <w:color w:val="000000"/>
              </w:rPr>
            </w:pPr>
            <w:r>
              <w:rPr>
                <w:snapToGrid w:val="0"/>
                <w:color w:val="000000"/>
              </w:rPr>
              <w:t>normaler Fließtext</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Tabellenüberschrift</w:t>
            </w:r>
          </w:p>
        </w:tc>
        <w:tc>
          <w:tcPr>
            <w:tcW w:w="4110" w:type="dxa"/>
          </w:tcPr>
          <w:p w:rsidR="00284FA6" w:rsidRDefault="00284FA6">
            <w:pPr>
              <w:jc w:val="left"/>
              <w:rPr>
                <w:snapToGrid w:val="0"/>
                <w:color w:val="000000"/>
              </w:rPr>
            </w:pPr>
            <w:r>
              <w:rPr>
                <w:snapToGrid w:val="0"/>
                <w:color w:val="000000"/>
              </w:rPr>
              <w:t>Beschriftung von Tabellen</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Titel</w:t>
            </w:r>
          </w:p>
        </w:tc>
        <w:tc>
          <w:tcPr>
            <w:tcW w:w="4110" w:type="dxa"/>
          </w:tcPr>
          <w:p w:rsidR="00284FA6" w:rsidRDefault="00284FA6">
            <w:pPr>
              <w:jc w:val="left"/>
              <w:rPr>
                <w:snapToGrid w:val="0"/>
                <w:color w:val="000000"/>
              </w:rPr>
            </w:pPr>
            <w:r>
              <w:rPr>
                <w:snapToGrid w:val="0"/>
                <w:color w:val="000000"/>
              </w:rPr>
              <w:t>Titel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bottom w:val="nil"/>
            </w:tcBorders>
          </w:tcPr>
          <w:p w:rsidR="00284FA6" w:rsidRDefault="00284FA6">
            <w:pPr>
              <w:rPr>
                <w:snapToGrid w:val="0"/>
                <w:color w:val="000000"/>
              </w:rPr>
            </w:pPr>
            <w:r>
              <w:rPr>
                <w:snapToGrid w:val="0"/>
                <w:color w:val="000000"/>
              </w:rPr>
              <w:t>Überschrift 1</w:t>
            </w:r>
          </w:p>
        </w:tc>
        <w:tc>
          <w:tcPr>
            <w:tcW w:w="4110" w:type="dxa"/>
            <w:tcBorders>
              <w:bottom w:val="nil"/>
            </w:tcBorders>
          </w:tcPr>
          <w:p w:rsidR="00284FA6" w:rsidRDefault="00284FA6">
            <w:pPr>
              <w:jc w:val="left"/>
              <w:rPr>
                <w:snapToGrid w:val="0"/>
                <w:color w:val="000000"/>
              </w:rPr>
            </w:pPr>
            <w:r>
              <w:rPr>
                <w:snapToGrid w:val="0"/>
                <w:color w:val="000000"/>
              </w:rPr>
              <w:t>Überschrift der Ebene 1</w:t>
            </w:r>
          </w:p>
        </w:tc>
        <w:tc>
          <w:tcPr>
            <w:tcW w:w="1701" w:type="dxa"/>
            <w:tcBorders>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bottom w:val="nil"/>
            </w:tcBorders>
          </w:tcPr>
          <w:p w:rsidR="00284FA6" w:rsidRDefault="00284FA6">
            <w:pPr>
              <w:jc w:val="left"/>
              <w:rPr>
                <w:snapToGrid w:val="0"/>
                <w:color w:val="000000"/>
              </w:rPr>
            </w:pPr>
            <w:r>
              <w:rPr>
                <w:snapToGrid w:val="0"/>
                <w:color w:val="000000"/>
              </w:rPr>
              <w:t>Überschrift 2</w:t>
            </w:r>
            <w:r>
              <w:rPr>
                <w:snapToGrid w:val="0"/>
                <w:color w:val="000000"/>
              </w:rPr>
              <w:br/>
              <w:t>usw. bis ...</w:t>
            </w:r>
          </w:p>
        </w:tc>
        <w:tc>
          <w:tcPr>
            <w:tcW w:w="4110" w:type="dxa"/>
            <w:tcBorders>
              <w:top w:val="nil"/>
              <w:bottom w:val="nil"/>
            </w:tcBorders>
          </w:tcPr>
          <w:p w:rsidR="00284FA6" w:rsidRDefault="00284FA6">
            <w:pPr>
              <w:jc w:val="left"/>
              <w:rPr>
                <w:snapToGrid w:val="0"/>
                <w:color w:val="000000"/>
              </w:rPr>
            </w:pPr>
            <w:r>
              <w:rPr>
                <w:snapToGrid w:val="0"/>
                <w:color w:val="000000"/>
              </w:rPr>
              <w:t>Überschrift der Ebene 2</w:t>
            </w:r>
          </w:p>
        </w:tc>
        <w:tc>
          <w:tcPr>
            <w:tcW w:w="1701" w:type="dxa"/>
            <w:tcBorders>
              <w:top w:val="nil"/>
              <w:bottom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top w:val="nil"/>
              <w:left w:val="single" w:sz="4" w:space="0" w:color="auto"/>
            </w:tcBorders>
          </w:tcPr>
          <w:p w:rsidR="00284FA6" w:rsidRDefault="00284FA6">
            <w:pPr>
              <w:jc w:val="left"/>
              <w:rPr>
                <w:snapToGrid w:val="0"/>
                <w:color w:val="000000"/>
              </w:rPr>
            </w:pPr>
            <w:r>
              <w:rPr>
                <w:snapToGrid w:val="0"/>
                <w:color w:val="000000"/>
              </w:rPr>
              <w:t>Überschrift 9</w:t>
            </w:r>
          </w:p>
        </w:tc>
        <w:tc>
          <w:tcPr>
            <w:tcW w:w="4110" w:type="dxa"/>
            <w:tcBorders>
              <w:top w:val="nil"/>
            </w:tcBorders>
          </w:tcPr>
          <w:p w:rsidR="00284FA6" w:rsidRDefault="00284FA6">
            <w:pPr>
              <w:jc w:val="left"/>
              <w:rPr>
                <w:snapToGrid w:val="0"/>
                <w:color w:val="000000"/>
              </w:rPr>
            </w:pPr>
            <w:r>
              <w:rPr>
                <w:snapToGrid w:val="0"/>
                <w:color w:val="000000"/>
              </w:rPr>
              <w:t>Überschrift der Ebene 9</w:t>
            </w:r>
          </w:p>
        </w:tc>
        <w:tc>
          <w:tcPr>
            <w:tcW w:w="1701" w:type="dxa"/>
            <w:tcBorders>
              <w:top w:val="nil"/>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Untertitel</w:t>
            </w:r>
          </w:p>
        </w:tc>
        <w:tc>
          <w:tcPr>
            <w:tcW w:w="4110" w:type="dxa"/>
          </w:tcPr>
          <w:p w:rsidR="00284FA6" w:rsidRDefault="00284FA6">
            <w:pPr>
              <w:jc w:val="left"/>
              <w:rPr>
                <w:snapToGrid w:val="0"/>
                <w:color w:val="000000"/>
              </w:rPr>
            </w:pPr>
            <w:r>
              <w:rPr>
                <w:snapToGrid w:val="0"/>
                <w:color w:val="000000"/>
              </w:rPr>
              <w:t>Text auf der Titelseite</w:t>
            </w:r>
          </w:p>
        </w:tc>
        <w:tc>
          <w:tcPr>
            <w:tcW w:w="1701" w:type="dxa"/>
            <w:tcBorders>
              <w:right w:val="single" w:sz="4" w:space="0" w:color="auto"/>
            </w:tcBorders>
          </w:tcPr>
          <w:p w:rsidR="00284FA6" w:rsidRDefault="00284FA6">
            <w:pPr>
              <w:rPr>
                <w:snapToGrid w:val="0"/>
                <w:color w:val="000000"/>
              </w:rPr>
            </w:pPr>
            <w:r>
              <w:rPr>
                <w:snapToGrid w:val="0"/>
                <w:color w:val="000000"/>
              </w:rPr>
              <w:t>modifiziert</w:t>
            </w:r>
          </w:p>
        </w:tc>
      </w:tr>
      <w:tr w:rsidR="00284FA6">
        <w:trPr>
          <w:trHeight w:val="247"/>
        </w:trPr>
        <w:tc>
          <w:tcPr>
            <w:tcW w:w="2127" w:type="dxa"/>
            <w:tcBorders>
              <w:left w:val="single" w:sz="4" w:space="0" w:color="auto"/>
            </w:tcBorders>
          </w:tcPr>
          <w:p w:rsidR="00284FA6" w:rsidRDefault="00284FA6">
            <w:pPr>
              <w:rPr>
                <w:snapToGrid w:val="0"/>
                <w:color w:val="000000"/>
              </w:rPr>
            </w:pPr>
            <w:r>
              <w:rPr>
                <w:snapToGrid w:val="0"/>
                <w:color w:val="000000"/>
              </w:rPr>
              <w:t>Zitat</w:t>
            </w:r>
          </w:p>
        </w:tc>
        <w:tc>
          <w:tcPr>
            <w:tcW w:w="4110" w:type="dxa"/>
          </w:tcPr>
          <w:p w:rsidR="00284FA6" w:rsidRDefault="00284FA6">
            <w:pPr>
              <w:jc w:val="left"/>
              <w:rPr>
                <w:snapToGrid w:val="0"/>
                <w:color w:val="000000"/>
              </w:rPr>
            </w:pPr>
            <w:r>
              <w:rPr>
                <w:snapToGrid w:val="0"/>
                <w:color w:val="000000"/>
              </w:rPr>
              <w:t>Hervorgehobenes Zitat</w:t>
            </w:r>
          </w:p>
        </w:tc>
        <w:tc>
          <w:tcPr>
            <w:tcW w:w="1701" w:type="dxa"/>
            <w:tcBorders>
              <w:right w:val="single" w:sz="4" w:space="0" w:color="auto"/>
            </w:tcBorders>
          </w:tcPr>
          <w:p w:rsidR="00284FA6" w:rsidRDefault="00284FA6">
            <w:pPr>
              <w:rPr>
                <w:snapToGrid w:val="0"/>
                <w:color w:val="000000"/>
              </w:rPr>
            </w:pPr>
            <w:r>
              <w:rPr>
                <w:snapToGrid w:val="0"/>
                <w:color w:val="000000"/>
              </w:rPr>
              <w:t>neu definiert</w:t>
            </w:r>
          </w:p>
        </w:tc>
      </w:tr>
    </w:tbl>
    <w:p w:rsidR="00284FA6" w:rsidRDefault="00284FA6">
      <w:pPr>
        <w:pStyle w:val="berschrift1"/>
        <w:numPr>
          <w:ilvl w:val="0"/>
          <w:numId w:val="0"/>
        </w:numPr>
      </w:pPr>
      <w:bookmarkStart w:id="52" w:name="_Ref492657968"/>
      <w:bookmarkStart w:id="53" w:name="_Toc531888939"/>
      <w:r>
        <w:lastRenderedPageBreak/>
        <w:t>Glossar</w:t>
      </w:r>
      <w:bookmarkEnd w:id="52"/>
      <w:bookmarkEnd w:id="53"/>
    </w:p>
    <w:p w:rsidR="00284FA6" w:rsidRDefault="00284FA6">
      <w:r>
        <w:rPr>
          <w:b/>
        </w:rPr>
        <w:t>Absatz</w:t>
      </w:r>
      <w:r>
        <w:rPr>
          <w:b/>
        </w:rPr>
        <w:fldChar w:fldCharType="begin"/>
      </w:r>
      <w:r>
        <w:instrText xml:space="preserve"> XE "Absatz" </w:instrText>
      </w:r>
      <w:r>
        <w:rPr>
          <w:b/>
        </w:rPr>
        <w:fldChar w:fldCharType="end"/>
      </w:r>
      <w:r>
        <w:rPr>
          <w:b/>
        </w:rPr>
        <w:t xml:space="preserve"> (engl. paragraph): </w:t>
      </w:r>
      <w:r>
        <w:t>Absätze gliedern den Fließtext. In dieser Formatvorlage sind Absätze untereinander stets durch einen zusätzlichen Zeilenabstand voneinander getrennt, möglich wären aber auch andere Absatztrennmarkierungen wie z.B. Einrückungen. In Word werden Absatzgrenzen durch sogenannte Absatzmarken festgelegt, die durch einmaliges Betätigen der Enter-Taste eingegeben werden. Mit der Menüfunktion Extras – Optionen – Ansicht können Absatzmarken sichtbar gemacht werden.</w:t>
      </w:r>
    </w:p>
    <w:p w:rsidR="00284FA6" w:rsidRDefault="00284FA6">
      <w:r>
        <w:rPr>
          <w:b/>
        </w:rPr>
        <w:t>Formatvorlage</w:t>
      </w:r>
      <w:r>
        <w:rPr>
          <w:b/>
        </w:rPr>
        <w:fldChar w:fldCharType="begin"/>
      </w:r>
      <w:r>
        <w:instrText xml:space="preserve"> XE "Formatvorlage" </w:instrText>
      </w:r>
      <w:r>
        <w:rPr>
          <w:b/>
        </w:rPr>
        <w:fldChar w:fldCharType="end"/>
      </w:r>
      <w:r>
        <w:rPr>
          <w:b/>
        </w:rPr>
        <w:t xml:space="preserve"> (engl. style):</w:t>
      </w:r>
      <w:r>
        <w:t xml:space="preserve"> Formatvorlagen dienen zur Formatierung eines Textstückes, meist eines Absatzes. In Formatvorlagen können Texteigenschaften wie Zeicheneigenschaften, Absatzeigenschaften, Tabulatoren, Rahmen, Sprache und Nummerierungen festgelegt werden und in dieser Kombination einem Textstück zugewiesen werden</w:t>
      </w:r>
    </w:p>
    <w:p w:rsidR="00284FA6" w:rsidRDefault="00284FA6">
      <w:r>
        <w:rPr>
          <w:b/>
        </w:rPr>
        <w:t>Dokumentvorlage</w:t>
      </w:r>
      <w:r>
        <w:rPr>
          <w:b/>
        </w:rPr>
        <w:fldChar w:fldCharType="begin"/>
      </w:r>
      <w:r>
        <w:instrText xml:space="preserve"> XE "Dokumentvorlage" </w:instrText>
      </w:r>
      <w:r>
        <w:rPr>
          <w:b/>
        </w:rPr>
        <w:fldChar w:fldCharType="end"/>
      </w:r>
      <w:r>
        <w:rPr>
          <w:b/>
        </w:rPr>
        <w:t xml:space="preserve"> (engl. style sheet): </w:t>
      </w:r>
      <w:r>
        <w:t xml:space="preserve">Dokumentvorlagen sind Gesamtheiten von Formatvorlagen, die erforderlich sind, um einen bestimmten Dokumenttyp (z.B. Diplomarbeit) zu formatieren. Im Textsystem Microsoft Word stellen Dokumentvorlagen einen eigenen Dateityp mit der Dateiendung </w:t>
      </w:r>
      <w:r w:rsidR="00583AA1">
        <w:rPr>
          <w:rFonts w:ascii="Courier New" w:hAnsi="Courier New"/>
        </w:rPr>
        <w:t>.dotx</w:t>
      </w:r>
      <w:r>
        <w:t xml:space="preserve"> dar. Im Kontext dieser Arbeit wird der Be</w:t>
      </w:r>
      <w:r>
        <w:softHyphen/>
        <w:t>griff Dokumentvorlage etwas weiter gefasst und umfasst auch ein Word-Dokument, das neben einer Definition von Formatvorlagen auch musterhafte Textteile enthält.</w:t>
      </w:r>
    </w:p>
    <w:p w:rsidR="00284FA6" w:rsidRDefault="006B77EF">
      <w:pPr>
        <w:pStyle w:val="berschrift1"/>
        <w:numPr>
          <w:ilvl w:val="0"/>
          <w:numId w:val="0"/>
        </w:numPr>
      </w:pPr>
      <w:bookmarkStart w:id="54" w:name="_Toc531888940"/>
      <w:r>
        <w:lastRenderedPageBreak/>
        <w:t>Quellen</w:t>
      </w:r>
      <w:r w:rsidR="00284FA6">
        <w:t>verzeichnis</w:t>
      </w:r>
      <w:bookmarkEnd w:id="54"/>
    </w:p>
    <w:p w:rsidR="00284FA6" w:rsidRDefault="00284FA6">
      <w:pPr>
        <w:pStyle w:val="Literaturverzeichnis"/>
      </w:pPr>
      <w:r>
        <w:rPr>
          <w:b/>
        </w:rPr>
        <w:t>HBI</w:t>
      </w:r>
      <w:r>
        <w:t xml:space="preserve"> (2001): Merkblatt zur Diplomarbeit</w:t>
      </w:r>
      <w:r>
        <w:rPr>
          <w:b/>
        </w:rPr>
        <w:t xml:space="preserve">. </w:t>
      </w:r>
      <w:r>
        <w:t>Hochschule für Bibliotheks- und Informationswesen Stuttgart.</w:t>
      </w:r>
    </w:p>
    <w:p w:rsidR="00284FA6" w:rsidRDefault="00284FA6"/>
    <w:p w:rsidR="00207425" w:rsidRPr="00207425" w:rsidRDefault="0079225D" w:rsidP="00207425">
      <w:pPr>
        <w:pStyle w:val="Literaturverzeichnis"/>
      </w:pPr>
      <w:r>
        <w:fldChar w:fldCharType="begin"/>
      </w:r>
      <w:r w:rsidR="00207425">
        <w:instrText xml:space="preserve"> ADDIN ZOTERO_BIBL {"uncited":[],"omitted":[],"custom":[]} CSL_BIBLIOGRAPHY </w:instrText>
      </w:r>
      <w:r>
        <w:fldChar w:fldCharType="separate"/>
      </w:r>
      <w:r w:rsidR="00207425" w:rsidRPr="00207425">
        <w:t>[1]</w:t>
      </w:r>
      <w:r w:rsidR="00207425" w:rsidRPr="00207425">
        <w:tab/>
        <w:t xml:space="preserve">V. Quaschning, </w:t>
      </w:r>
      <w:r w:rsidR="00207425" w:rsidRPr="00207425">
        <w:rPr>
          <w:i/>
          <w:iCs/>
        </w:rPr>
        <w:t>Regenerative Energiesysteme: Technologie - Berechnung - Simulation</w:t>
      </w:r>
      <w:r w:rsidR="00207425" w:rsidRPr="00207425">
        <w:t>, 9., aktualisierte und erweiterte Auflage. München: Hanser, 2015.</w:t>
      </w:r>
    </w:p>
    <w:p w:rsidR="0079225D" w:rsidRDefault="0079225D">
      <w:pPr>
        <w:sectPr w:rsidR="0079225D">
          <w:headerReference w:type="even" r:id="rId21"/>
          <w:headerReference w:type="default" r:id="rId22"/>
          <w:footerReference w:type="even" r:id="rId23"/>
          <w:footerReference w:type="default" r:id="rId24"/>
          <w:headerReference w:type="first" r:id="rId25"/>
          <w:footerReference w:type="first" r:id="rId26"/>
          <w:type w:val="continuous"/>
          <w:pgSz w:w="11906" w:h="16838" w:code="9"/>
          <w:pgMar w:top="1418" w:right="1416" w:bottom="1134" w:left="1985" w:header="720" w:footer="720" w:gutter="0"/>
          <w:cols w:space="720"/>
          <w:titlePg/>
        </w:sectPr>
      </w:pPr>
      <w:r>
        <w:fldChar w:fldCharType="end"/>
      </w:r>
    </w:p>
    <w:p w:rsidR="00284FA6" w:rsidRDefault="00284FA6">
      <w:pPr>
        <w:pStyle w:val="berschrift1"/>
        <w:numPr>
          <w:ilvl w:val="0"/>
          <w:numId w:val="0"/>
        </w:numPr>
      </w:pPr>
      <w:bookmarkStart w:id="55" w:name="_Toc531888941"/>
      <w:r>
        <w:lastRenderedPageBreak/>
        <w:t>Stichwortverzeichnis</w:t>
      </w:r>
      <w:bookmarkEnd w:id="55"/>
    </w:p>
    <w:p w:rsidR="00824316" w:rsidRDefault="00284FA6">
      <w:pPr>
        <w:rPr>
          <w:noProof/>
        </w:rPr>
        <w:sectPr w:rsidR="00824316" w:rsidSect="00824316">
          <w:headerReference w:type="first" r:id="rId27"/>
          <w:type w:val="continuous"/>
          <w:pgSz w:w="11906" w:h="16838" w:code="9"/>
          <w:pgMar w:top="1418" w:right="1418" w:bottom="1134" w:left="1985" w:header="720" w:footer="720" w:gutter="0"/>
          <w:cols w:space="720"/>
        </w:sectPr>
      </w:pPr>
      <w:r>
        <w:fldChar w:fldCharType="begin"/>
      </w:r>
      <w:r>
        <w:instrText xml:space="preserve"> INDEX \c "2" </w:instrText>
      </w:r>
      <w:r>
        <w:fldChar w:fldCharType="separate"/>
      </w:r>
    </w:p>
    <w:p w:rsidR="00824316" w:rsidRDefault="00824316">
      <w:pPr>
        <w:pStyle w:val="Index1"/>
        <w:tabs>
          <w:tab w:val="right" w:leader="dot" w:pos="3881"/>
        </w:tabs>
      </w:pPr>
      <w:r>
        <w:t>Abbildung  25</w:t>
      </w:r>
    </w:p>
    <w:p w:rsidR="00824316" w:rsidRDefault="00824316">
      <w:pPr>
        <w:pStyle w:val="Index1"/>
        <w:tabs>
          <w:tab w:val="right" w:leader="dot" w:pos="3881"/>
        </w:tabs>
      </w:pPr>
      <w:r>
        <w:t>Abbildungsverzeichnis  18</w:t>
      </w:r>
    </w:p>
    <w:p w:rsidR="00824316" w:rsidRDefault="00824316">
      <w:pPr>
        <w:pStyle w:val="Index1"/>
        <w:tabs>
          <w:tab w:val="right" w:leader="dot" w:pos="3881"/>
        </w:tabs>
      </w:pPr>
      <w:r>
        <w:t>Abkürzungsverzeichnis  18</w:t>
      </w:r>
    </w:p>
    <w:p w:rsidR="00824316" w:rsidRDefault="00824316">
      <w:pPr>
        <w:pStyle w:val="Index1"/>
        <w:tabs>
          <w:tab w:val="right" w:leader="dot" w:pos="3881"/>
        </w:tabs>
      </w:pPr>
      <w:r>
        <w:t>Absatz  35, 44</w:t>
      </w:r>
    </w:p>
    <w:p w:rsidR="00824316" w:rsidRDefault="00824316">
      <w:pPr>
        <w:pStyle w:val="Index1"/>
        <w:tabs>
          <w:tab w:val="right" w:leader="dot" w:pos="3881"/>
        </w:tabs>
      </w:pPr>
      <w:r>
        <w:t>Absatzmarken  39</w:t>
      </w:r>
    </w:p>
    <w:p w:rsidR="00824316" w:rsidRDefault="00824316">
      <w:pPr>
        <w:pStyle w:val="Index1"/>
        <w:tabs>
          <w:tab w:val="right" w:leader="dot" w:pos="3881"/>
        </w:tabs>
      </w:pPr>
      <w:r>
        <w:t>Abstand zwischen Absätzen  35</w:t>
      </w:r>
    </w:p>
    <w:p w:rsidR="00824316" w:rsidRDefault="00824316">
      <w:pPr>
        <w:pStyle w:val="Index1"/>
        <w:tabs>
          <w:tab w:val="right" w:leader="dot" w:pos="3881"/>
        </w:tabs>
      </w:pPr>
      <w:r>
        <w:t>Abstract  18</w:t>
      </w:r>
    </w:p>
    <w:p w:rsidR="00824316" w:rsidRDefault="00824316">
      <w:pPr>
        <w:pStyle w:val="Index1"/>
        <w:tabs>
          <w:tab w:val="right" w:leader="dot" w:pos="3881"/>
        </w:tabs>
      </w:pPr>
      <w:r>
        <w:t>Angebotsorientiertheit  12</w:t>
      </w:r>
    </w:p>
    <w:p w:rsidR="00824316" w:rsidRDefault="00824316">
      <w:pPr>
        <w:pStyle w:val="Index1"/>
        <w:tabs>
          <w:tab w:val="right" w:leader="dot" w:pos="3881"/>
        </w:tabs>
      </w:pPr>
      <w:r>
        <w:t>Anhänge  19</w:t>
      </w:r>
    </w:p>
    <w:p w:rsidR="00824316" w:rsidRDefault="00824316">
      <w:pPr>
        <w:pStyle w:val="Index1"/>
        <w:tabs>
          <w:tab w:val="right" w:leader="dot" w:pos="3881"/>
        </w:tabs>
      </w:pPr>
      <w:r>
        <w:t>Anleitungen  13</w:t>
      </w:r>
    </w:p>
    <w:p w:rsidR="00824316" w:rsidRDefault="00824316">
      <w:pPr>
        <w:pStyle w:val="Index1"/>
        <w:tabs>
          <w:tab w:val="right" w:leader="dot" w:pos="3881"/>
        </w:tabs>
      </w:pPr>
      <w:r>
        <w:t>Ansicht  37</w:t>
      </w:r>
    </w:p>
    <w:p w:rsidR="00824316" w:rsidRDefault="00824316">
      <w:pPr>
        <w:pStyle w:val="Index1"/>
        <w:tabs>
          <w:tab w:val="right" w:leader="dot" w:pos="3881"/>
        </w:tabs>
      </w:pPr>
      <w:r>
        <w:t>Arbeitserleichterung  12</w:t>
      </w:r>
    </w:p>
    <w:p w:rsidR="00824316" w:rsidRDefault="00824316">
      <w:pPr>
        <w:pStyle w:val="Index1"/>
        <w:tabs>
          <w:tab w:val="right" w:leader="dot" w:pos="3881"/>
        </w:tabs>
      </w:pPr>
      <w:r>
        <w:t>Aufzählungen  30</w:t>
      </w:r>
    </w:p>
    <w:p w:rsidR="00824316" w:rsidRDefault="00824316">
      <w:pPr>
        <w:pStyle w:val="Index1"/>
        <w:tabs>
          <w:tab w:val="right" w:leader="dot" w:pos="3881"/>
        </w:tabs>
      </w:pPr>
      <w:r>
        <w:t>Auto-Wiederherstellen  38</w:t>
      </w:r>
    </w:p>
    <w:p w:rsidR="00824316" w:rsidRDefault="00824316">
      <w:pPr>
        <w:pStyle w:val="Index1"/>
        <w:tabs>
          <w:tab w:val="right" w:leader="dot" w:pos="3881"/>
        </w:tabs>
      </w:pPr>
      <w:r>
        <w:t>Beschriftung  25</w:t>
      </w:r>
    </w:p>
    <w:p w:rsidR="00824316" w:rsidRDefault="00824316">
      <w:pPr>
        <w:pStyle w:val="Index1"/>
        <w:tabs>
          <w:tab w:val="right" w:leader="dot" w:pos="3881"/>
        </w:tabs>
      </w:pPr>
      <w:r>
        <w:t>Bildschirmabzüge  25</w:t>
      </w:r>
    </w:p>
    <w:p w:rsidR="00824316" w:rsidRDefault="00824316">
      <w:pPr>
        <w:pStyle w:val="Index1"/>
        <w:tabs>
          <w:tab w:val="right" w:leader="dot" w:pos="3881"/>
        </w:tabs>
      </w:pPr>
      <w:r>
        <w:t>Bindestrich  36</w:t>
      </w:r>
    </w:p>
    <w:p w:rsidR="00824316" w:rsidRDefault="00824316">
      <w:pPr>
        <w:pStyle w:val="Index1"/>
        <w:tabs>
          <w:tab w:val="right" w:leader="dot" w:pos="3881"/>
        </w:tabs>
      </w:pPr>
      <w:r>
        <w:t>Computerprogramm  29</w:t>
      </w:r>
    </w:p>
    <w:p w:rsidR="00824316" w:rsidRDefault="00824316">
      <w:pPr>
        <w:pStyle w:val="Index1"/>
        <w:tabs>
          <w:tab w:val="right" w:leader="dot" w:pos="3881"/>
        </w:tabs>
      </w:pPr>
      <w:r>
        <w:t>Datei-Info  39</w:t>
      </w:r>
    </w:p>
    <w:p w:rsidR="00824316" w:rsidRDefault="00824316">
      <w:pPr>
        <w:pStyle w:val="Index1"/>
        <w:tabs>
          <w:tab w:val="right" w:leader="dot" w:pos="3881"/>
        </w:tabs>
      </w:pPr>
      <w:r>
        <w:t>Dokumentvorlage  13, 44</w:t>
      </w:r>
    </w:p>
    <w:p w:rsidR="00824316" w:rsidRDefault="00824316">
      <w:pPr>
        <w:pStyle w:val="Index1"/>
        <w:tabs>
          <w:tab w:val="right" w:leader="dot" w:pos="3881"/>
        </w:tabs>
      </w:pPr>
      <w:r>
        <w:t>Ebenen  31</w:t>
      </w:r>
    </w:p>
    <w:p w:rsidR="00824316" w:rsidRDefault="00824316">
      <w:pPr>
        <w:pStyle w:val="Index1"/>
        <w:tabs>
          <w:tab w:val="right" w:leader="dot" w:pos="3881"/>
        </w:tabs>
      </w:pPr>
      <w:r>
        <w:t>Eidesstattliche Versicherung  18</w:t>
      </w:r>
    </w:p>
    <w:p w:rsidR="00824316" w:rsidRDefault="00824316">
      <w:pPr>
        <w:pStyle w:val="Index1"/>
        <w:tabs>
          <w:tab w:val="right" w:leader="dot" w:pos="3881"/>
        </w:tabs>
      </w:pPr>
      <w:r>
        <w:t>Einrückungen  30</w:t>
      </w:r>
    </w:p>
    <w:p w:rsidR="00824316" w:rsidRDefault="00824316">
      <w:pPr>
        <w:pStyle w:val="Index1"/>
        <w:tabs>
          <w:tab w:val="right" w:leader="dot" w:pos="3881"/>
        </w:tabs>
      </w:pPr>
      <w:r>
        <w:t>Fehler  37</w:t>
      </w:r>
    </w:p>
    <w:p w:rsidR="00824316" w:rsidRDefault="00824316">
      <w:pPr>
        <w:pStyle w:val="Index1"/>
        <w:tabs>
          <w:tab w:val="right" w:leader="dot" w:pos="3881"/>
        </w:tabs>
      </w:pPr>
      <w:r>
        <w:t>Fließtext  24</w:t>
      </w:r>
    </w:p>
    <w:p w:rsidR="00824316" w:rsidRDefault="00824316">
      <w:pPr>
        <w:pStyle w:val="Index1"/>
        <w:tabs>
          <w:tab w:val="right" w:leader="dot" w:pos="3881"/>
        </w:tabs>
      </w:pPr>
      <w:r>
        <w:t>Formatvorlage  14, 22, 44</w:t>
      </w:r>
    </w:p>
    <w:p w:rsidR="00824316" w:rsidRDefault="00824316">
      <w:pPr>
        <w:pStyle w:val="Index1"/>
        <w:tabs>
          <w:tab w:val="right" w:leader="dot" w:pos="3881"/>
        </w:tabs>
      </w:pPr>
      <w:r>
        <w:t>Formatvorlagen-Katalog  33</w:t>
      </w:r>
    </w:p>
    <w:p w:rsidR="00824316" w:rsidRDefault="00824316">
      <w:pPr>
        <w:pStyle w:val="Index1"/>
        <w:tabs>
          <w:tab w:val="right" w:leader="dot" w:pos="3881"/>
        </w:tabs>
      </w:pPr>
      <w:r>
        <w:t>Funktionalitäten  22</w:t>
      </w:r>
    </w:p>
    <w:p w:rsidR="00824316" w:rsidRDefault="00824316">
      <w:pPr>
        <w:pStyle w:val="Index1"/>
        <w:tabs>
          <w:tab w:val="right" w:leader="dot" w:pos="3881"/>
        </w:tabs>
      </w:pPr>
      <w:r>
        <w:t>Fußnoten  25</w:t>
      </w:r>
    </w:p>
    <w:p w:rsidR="00824316" w:rsidRDefault="00824316">
      <w:pPr>
        <w:pStyle w:val="Index1"/>
        <w:tabs>
          <w:tab w:val="right" w:leader="dot" w:pos="3881"/>
        </w:tabs>
      </w:pPr>
      <w:r>
        <w:t>Glossar  20</w:t>
      </w:r>
    </w:p>
    <w:p w:rsidR="00824316" w:rsidRDefault="00824316">
      <w:pPr>
        <w:pStyle w:val="Index1"/>
        <w:tabs>
          <w:tab w:val="right" w:leader="dot" w:pos="3881"/>
        </w:tabs>
      </w:pPr>
      <w:r>
        <w:t>Index  20</w:t>
      </w:r>
    </w:p>
    <w:p w:rsidR="00824316" w:rsidRDefault="00824316">
      <w:pPr>
        <w:pStyle w:val="Index1"/>
        <w:tabs>
          <w:tab w:val="right" w:leader="dot" w:pos="3881"/>
        </w:tabs>
      </w:pPr>
      <w:r>
        <w:t>Inhalt der Arbeit  19</w:t>
      </w:r>
    </w:p>
    <w:p w:rsidR="00824316" w:rsidRDefault="00824316">
      <w:pPr>
        <w:pStyle w:val="Index1"/>
        <w:tabs>
          <w:tab w:val="right" w:leader="dot" w:pos="3881"/>
        </w:tabs>
      </w:pPr>
      <w:r>
        <w:t>Inhaltsverzeichnis  18</w:t>
      </w:r>
    </w:p>
    <w:p w:rsidR="00824316" w:rsidRDefault="00824316">
      <w:pPr>
        <w:pStyle w:val="Index1"/>
        <w:tabs>
          <w:tab w:val="right" w:leader="dot" w:pos="3881"/>
        </w:tabs>
      </w:pPr>
      <w:r>
        <w:t>Keywords  18</w:t>
      </w:r>
    </w:p>
    <w:p w:rsidR="00824316" w:rsidRDefault="00824316">
      <w:pPr>
        <w:pStyle w:val="Index1"/>
        <w:tabs>
          <w:tab w:val="right" w:leader="dot" w:pos="3881"/>
        </w:tabs>
      </w:pPr>
      <w:r>
        <w:t>Kopfzeile  23</w:t>
      </w:r>
    </w:p>
    <w:p w:rsidR="00824316" w:rsidRDefault="00824316">
      <w:pPr>
        <w:pStyle w:val="Index1"/>
        <w:tabs>
          <w:tab w:val="right" w:leader="dot" w:pos="3881"/>
        </w:tabs>
      </w:pPr>
      <w:r>
        <w:t>Kurzfassung  18</w:t>
      </w:r>
    </w:p>
    <w:p w:rsidR="00824316" w:rsidRDefault="00824316">
      <w:pPr>
        <w:pStyle w:val="Index1"/>
        <w:tabs>
          <w:tab w:val="right" w:leader="dot" w:pos="3881"/>
        </w:tabs>
      </w:pPr>
      <w:r>
        <w:t>Leerzeichen  39</w:t>
      </w:r>
    </w:p>
    <w:p w:rsidR="00824316" w:rsidRDefault="00824316">
      <w:pPr>
        <w:pStyle w:val="Index1"/>
        <w:tabs>
          <w:tab w:val="right" w:leader="dot" w:pos="3881"/>
        </w:tabs>
      </w:pPr>
      <w:r>
        <w:t>Literaturverzeichnis  33</w:t>
      </w:r>
    </w:p>
    <w:p w:rsidR="00824316" w:rsidRDefault="00824316">
      <w:pPr>
        <w:pStyle w:val="Index1"/>
        <w:tabs>
          <w:tab w:val="right" w:leader="dot" w:pos="3881"/>
        </w:tabs>
      </w:pPr>
      <w:r>
        <w:t>Muster  14, 16</w:t>
      </w:r>
    </w:p>
    <w:p w:rsidR="00824316" w:rsidRDefault="00824316">
      <w:pPr>
        <w:pStyle w:val="Index1"/>
        <w:tabs>
          <w:tab w:val="right" w:leader="dot" w:pos="3881"/>
        </w:tabs>
      </w:pPr>
      <w:r>
        <w:t>nicht druckbare Zeichen  20, 36</w:t>
      </w:r>
    </w:p>
    <w:p w:rsidR="00824316" w:rsidRDefault="00824316">
      <w:pPr>
        <w:pStyle w:val="Index1"/>
        <w:tabs>
          <w:tab w:val="right" w:leader="dot" w:pos="3881"/>
        </w:tabs>
      </w:pPr>
      <w:r>
        <w:t>Nummerierungen  30</w:t>
      </w:r>
    </w:p>
    <w:p w:rsidR="00824316" w:rsidRDefault="00824316">
      <w:pPr>
        <w:pStyle w:val="Index1"/>
        <w:tabs>
          <w:tab w:val="right" w:leader="dot" w:pos="3881"/>
        </w:tabs>
      </w:pPr>
      <w:r>
        <w:t>Qualitätssicherung  12</w:t>
      </w:r>
    </w:p>
    <w:p w:rsidR="00824316" w:rsidRDefault="00824316">
      <w:pPr>
        <w:pStyle w:val="Index1"/>
        <w:tabs>
          <w:tab w:val="right" w:leader="dot" w:pos="3881"/>
        </w:tabs>
      </w:pPr>
      <w:r>
        <w:t>Quellenangabe  29</w:t>
      </w:r>
    </w:p>
    <w:p w:rsidR="00824316" w:rsidRDefault="00824316">
      <w:pPr>
        <w:pStyle w:val="Index1"/>
        <w:tabs>
          <w:tab w:val="right" w:leader="dot" w:pos="3881"/>
        </w:tabs>
      </w:pPr>
      <w:r>
        <w:t>Rechtschreibprüfung  25</w:t>
      </w:r>
    </w:p>
    <w:p w:rsidR="00824316" w:rsidRDefault="00824316">
      <w:pPr>
        <w:pStyle w:val="Index1"/>
        <w:tabs>
          <w:tab w:val="right" w:leader="dot" w:pos="3881"/>
        </w:tabs>
      </w:pPr>
      <w:r>
        <w:t>Rechtschreibung  16, 35, 39</w:t>
      </w:r>
    </w:p>
    <w:p w:rsidR="00824316" w:rsidRDefault="00824316">
      <w:pPr>
        <w:pStyle w:val="Index1"/>
        <w:tabs>
          <w:tab w:val="right" w:leader="dot" w:pos="3881"/>
        </w:tabs>
      </w:pPr>
      <w:r>
        <w:t>Schlagwörter  18</w:t>
      </w:r>
    </w:p>
    <w:p w:rsidR="00824316" w:rsidRDefault="00824316">
      <w:pPr>
        <w:pStyle w:val="Index1"/>
        <w:tabs>
          <w:tab w:val="right" w:leader="dot" w:pos="3881"/>
        </w:tabs>
      </w:pPr>
      <w:r>
        <w:t>Schnellspeicheroption  38</w:t>
      </w:r>
    </w:p>
    <w:p w:rsidR="00824316" w:rsidRDefault="00824316">
      <w:pPr>
        <w:pStyle w:val="Index1"/>
        <w:tabs>
          <w:tab w:val="right" w:leader="dot" w:pos="3881"/>
        </w:tabs>
      </w:pPr>
      <w:r>
        <w:t>Schriftart  24</w:t>
      </w:r>
    </w:p>
    <w:p w:rsidR="00824316" w:rsidRDefault="00824316">
      <w:pPr>
        <w:pStyle w:val="Index1"/>
        <w:tabs>
          <w:tab w:val="right" w:leader="dot" w:pos="3881"/>
        </w:tabs>
      </w:pPr>
      <w:r>
        <w:t>Seiteneinrichtung  23</w:t>
      </w:r>
    </w:p>
    <w:p w:rsidR="00824316" w:rsidRDefault="00824316">
      <w:pPr>
        <w:pStyle w:val="Index1"/>
        <w:tabs>
          <w:tab w:val="right" w:leader="dot" w:pos="3881"/>
        </w:tabs>
      </w:pPr>
      <w:r>
        <w:t>Serifenschrift  24</w:t>
      </w:r>
    </w:p>
    <w:p w:rsidR="00824316" w:rsidRDefault="00824316">
      <w:pPr>
        <w:pStyle w:val="Index1"/>
        <w:tabs>
          <w:tab w:val="right" w:leader="dot" w:pos="3881"/>
        </w:tabs>
      </w:pPr>
      <w:r>
        <w:t>Sicherungen  37</w:t>
      </w:r>
    </w:p>
    <w:p w:rsidR="00824316" w:rsidRDefault="00824316">
      <w:pPr>
        <w:pStyle w:val="Index1"/>
        <w:tabs>
          <w:tab w:val="right" w:leader="dot" w:pos="3881"/>
        </w:tabs>
      </w:pPr>
      <w:r>
        <w:t>Sichtbarkeit  36</w:t>
      </w:r>
    </w:p>
    <w:p w:rsidR="00824316" w:rsidRDefault="00824316">
      <w:pPr>
        <w:pStyle w:val="Index1"/>
        <w:tabs>
          <w:tab w:val="right" w:leader="dot" w:pos="3881"/>
        </w:tabs>
      </w:pPr>
      <w:r>
        <w:t>Silbentrennung  25, 36, 39</w:t>
      </w:r>
    </w:p>
    <w:p w:rsidR="00824316" w:rsidRDefault="00824316">
      <w:pPr>
        <w:pStyle w:val="Index1"/>
        <w:tabs>
          <w:tab w:val="right" w:leader="dot" w:pos="3881"/>
        </w:tabs>
      </w:pPr>
      <w:r>
        <w:t>Speichern  37</w:t>
      </w:r>
    </w:p>
    <w:p w:rsidR="00824316" w:rsidRDefault="00824316">
      <w:pPr>
        <w:pStyle w:val="Index1"/>
        <w:tabs>
          <w:tab w:val="right" w:leader="dot" w:pos="3881"/>
        </w:tabs>
      </w:pPr>
      <w:r>
        <w:t>Standard (Formatvorlage)  24</w:t>
      </w:r>
    </w:p>
    <w:p w:rsidR="00824316" w:rsidRDefault="00824316">
      <w:pPr>
        <w:pStyle w:val="Index1"/>
        <w:tabs>
          <w:tab w:val="right" w:leader="dot" w:pos="3881"/>
        </w:tabs>
      </w:pPr>
      <w:r>
        <w:t>Stichwortverzeichnis  20</w:t>
      </w:r>
    </w:p>
    <w:p w:rsidR="00824316" w:rsidRDefault="00824316">
      <w:pPr>
        <w:pStyle w:val="Index1"/>
        <w:tabs>
          <w:tab w:val="right" w:leader="dot" w:pos="3881"/>
        </w:tabs>
      </w:pPr>
      <w:r>
        <w:t>Tabellen  27</w:t>
      </w:r>
    </w:p>
    <w:p w:rsidR="00824316" w:rsidRDefault="00824316">
      <w:pPr>
        <w:pStyle w:val="Index1"/>
        <w:tabs>
          <w:tab w:val="right" w:leader="dot" w:pos="3881"/>
        </w:tabs>
      </w:pPr>
      <w:r>
        <w:t>Tabellenüberschrift  28</w:t>
      </w:r>
    </w:p>
    <w:p w:rsidR="00824316" w:rsidRDefault="00824316">
      <w:pPr>
        <w:pStyle w:val="Index1"/>
        <w:tabs>
          <w:tab w:val="right" w:leader="dot" w:pos="3881"/>
        </w:tabs>
      </w:pPr>
      <w:r>
        <w:t>Tabellenverzeichnis  18</w:t>
      </w:r>
    </w:p>
    <w:p w:rsidR="00824316" w:rsidRDefault="00824316">
      <w:pPr>
        <w:pStyle w:val="Index1"/>
        <w:tabs>
          <w:tab w:val="right" w:leader="dot" w:pos="3881"/>
        </w:tabs>
      </w:pPr>
      <w:r>
        <w:t>Titelblatt  17</w:t>
      </w:r>
    </w:p>
    <w:p w:rsidR="00824316" w:rsidRDefault="00824316">
      <w:pPr>
        <w:pStyle w:val="Index1"/>
        <w:tabs>
          <w:tab w:val="right" w:leader="dot" w:pos="3881"/>
        </w:tabs>
      </w:pPr>
      <w:r>
        <w:t>Trennstriche  36</w:t>
      </w:r>
    </w:p>
    <w:p w:rsidR="00824316" w:rsidRDefault="00824316">
      <w:pPr>
        <w:pStyle w:val="Index1"/>
        <w:tabs>
          <w:tab w:val="right" w:leader="dot" w:pos="3881"/>
        </w:tabs>
      </w:pPr>
      <w:r>
        <w:t>Überschriften  31</w:t>
      </w:r>
    </w:p>
    <w:p w:rsidR="00824316" w:rsidRDefault="00824316">
      <w:pPr>
        <w:pStyle w:val="Index1"/>
        <w:tabs>
          <w:tab w:val="right" w:leader="dot" w:pos="3881"/>
        </w:tabs>
      </w:pPr>
      <w:r>
        <w:t>Untertitel  17</w:t>
      </w:r>
    </w:p>
    <w:p w:rsidR="00824316" w:rsidRDefault="00824316">
      <w:pPr>
        <w:pStyle w:val="Index1"/>
        <w:tabs>
          <w:tab w:val="right" w:leader="dot" w:pos="3881"/>
        </w:tabs>
      </w:pPr>
      <w:r>
        <w:t>Vorgaben  13</w:t>
      </w:r>
    </w:p>
    <w:p w:rsidR="00824316" w:rsidRDefault="00824316">
      <w:pPr>
        <w:pStyle w:val="Index1"/>
        <w:tabs>
          <w:tab w:val="right" w:leader="dot" w:pos="3881"/>
        </w:tabs>
      </w:pPr>
      <w:r>
        <w:t>Vorwort  19</w:t>
      </w:r>
    </w:p>
    <w:p w:rsidR="00824316" w:rsidRDefault="00824316">
      <w:pPr>
        <w:pStyle w:val="Index1"/>
        <w:tabs>
          <w:tab w:val="right" w:leader="dot" w:pos="3881"/>
        </w:tabs>
      </w:pPr>
      <w:r>
        <w:t>Word-Dokument  14</w:t>
      </w:r>
    </w:p>
    <w:p w:rsidR="00824316" w:rsidRDefault="00824316">
      <w:pPr>
        <w:pStyle w:val="Index1"/>
        <w:tabs>
          <w:tab w:val="right" w:leader="dot" w:pos="3881"/>
        </w:tabs>
      </w:pPr>
      <w:r>
        <w:t>Word-Dokumentvorlage  14, 33</w:t>
      </w:r>
    </w:p>
    <w:p w:rsidR="00824316" w:rsidRDefault="00824316">
      <w:pPr>
        <w:pStyle w:val="Index1"/>
        <w:tabs>
          <w:tab w:val="right" w:leader="dot" w:pos="3881"/>
        </w:tabs>
      </w:pPr>
      <w:r>
        <w:t>Zitat  28</w:t>
      </w:r>
    </w:p>
    <w:p w:rsidR="00824316" w:rsidRDefault="00824316">
      <w:pPr>
        <w:rPr>
          <w:noProof/>
        </w:rPr>
        <w:sectPr w:rsidR="00824316" w:rsidSect="00824316">
          <w:type w:val="continuous"/>
          <w:pgSz w:w="11906" w:h="16838" w:code="9"/>
          <w:pgMar w:top="1418" w:right="1418" w:bottom="1134" w:left="1985" w:header="720" w:footer="720" w:gutter="0"/>
          <w:cols w:num="2" w:space="720"/>
        </w:sectPr>
      </w:pPr>
    </w:p>
    <w:p w:rsidR="00284FA6" w:rsidRDefault="00284FA6">
      <w:r>
        <w:fldChar w:fldCharType="end"/>
      </w:r>
    </w:p>
    <w:sectPr w:rsidR="00284FA6"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E7493" w:rsidRDefault="00EE7493">
      <w:pPr>
        <w:spacing w:before="0" w:line="240" w:lineRule="auto"/>
      </w:pPr>
      <w:r>
        <w:separator/>
      </w:r>
    </w:p>
  </w:endnote>
  <w:endnote w:type="continuationSeparator" w:id="0">
    <w:p w:rsidR="00EE7493" w:rsidRDefault="00EE749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E7493" w:rsidRDefault="00EE7493">
      <w:pPr>
        <w:spacing w:before="0" w:line="240" w:lineRule="auto"/>
      </w:pPr>
      <w:r>
        <w:separator/>
      </w:r>
    </w:p>
  </w:footnote>
  <w:footnote w:type="continuationSeparator" w:id="0">
    <w:p w:rsidR="00EE7493" w:rsidRDefault="00EE7493">
      <w:pPr>
        <w:spacing w:before="0" w:line="240" w:lineRule="auto"/>
      </w:pPr>
      <w:r>
        <w:continuationSeparator/>
      </w:r>
    </w:p>
  </w:footnote>
  <w:footnote w:id="1">
    <w:p w:rsidR="002A41CA" w:rsidRDefault="002A41CA">
      <w:pPr>
        <w:pStyle w:val="Funotentext"/>
      </w:pPr>
      <w:r>
        <w:rPr>
          <w:rStyle w:val="Funotenzeichen"/>
        </w:rPr>
        <w:footnoteRef/>
      </w:r>
      <w:r>
        <w:t xml:space="preserve"> </w:t>
      </w:r>
      <w:r>
        <w:tab/>
        <w:t>Die Dokumentvorlage wird zurzeit für die Verwendung in Microsoft Office 2010 umgestellt. Dieser Prozess ist noch nicht abgeschlossen, so dass sich viele Erläuterungen und Abbildungen noch auf Office 97-2003 beziehen. Diese sind nur sinngemäß auf Office 2007/2010 anwendbar.</w:t>
      </w:r>
    </w:p>
  </w:footnote>
  <w:footnote w:id="2">
    <w:p w:rsidR="002A41CA" w:rsidRDefault="002A41CA">
      <w:pPr>
        <w:pStyle w:val="Funotentext"/>
      </w:pPr>
      <w:r>
        <w:rPr>
          <w:rStyle w:val="Funotenzeichen"/>
        </w:rPr>
        <w:footnoteRef/>
      </w:r>
      <w:r>
        <w:t xml:space="preserve"> </w:t>
      </w:r>
      <w:r>
        <w:tab/>
        <w:t>Die nichtkommerzielle Nutzung dieser Dokumentvorlage ist frei. Eine kommerzielle Nutzung bedarf einer Vereinbarung mit dem Autor. Eine Gewährleistung für die fehlerfreie Funktion der Dokumentvorlage kann vom Autor nicht übernommen werden.</w:t>
      </w:r>
    </w:p>
    <w:p w:rsidR="002A41CA" w:rsidRDefault="002A41CA">
      <w:pPr>
        <w:pStyle w:val="Funotentext"/>
      </w:pPr>
      <w:r>
        <w:tab/>
        <w:t>Autor: Prof. Dr. Wolf-Fritz Riekert, Hochschule der Medien,</w:t>
      </w:r>
      <w:r>
        <w:tab/>
      </w:r>
      <w:r>
        <w:br/>
        <w:t>Email: riekert@hdm-stuttgart.de, WWW: http://www.hdm-stuttgart.de/~riekert/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Kopfzeile"/>
      <w:tabs>
        <w:tab w:val="clear" w:pos="7938"/>
        <w:tab w:val="right" w:pos="8505"/>
      </w:tabs>
    </w:pPr>
    <w:r>
      <w:fldChar w:fldCharType="begin"/>
    </w:r>
    <w:r>
      <w:instrText xml:space="preserve"> IF  </w:instrText>
    </w:r>
    <w:fldSimple w:instr=" STYLEREF &quot;Überschrift 1&quot; \n \* MERGEFORMAT ">
      <w:r w:rsidR="00E845CD">
        <w:rPr>
          <w:noProof/>
        </w:rPr>
        <w:instrText>6</w:instrText>
      </w:r>
    </w:fldSimple>
    <w:r>
      <w:instrText xml:space="preserve">&lt;&gt;"0" </w:instrText>
    </w:r>
    <w:r>
      <w:fldChar w:fldCharType="begin"/>
    </w:r>
    <w:r>
      <w:instrText xml:space="preserve"> QUOTE </w:instrText>
    </w:r>
    <w:fldSimple w:instr=" STYLEREF &quot;Überschrift 1&quot; \n \* MERGEFORMAT ">
      <w:r w:rsidR="00E845CD">
        <w:rPr>
          <w:noProof/>
        </w:rPr>
        <w:instrText>6</w:instrText>
      </w:r>
    </w:fldSimple>
    <w:r>
      <w:instrText xml:space="preserve"> " " \* MERGEFORMAT </w:instrText>
    </w:r>
    <w:r>
      <w:fldChar w:fldCharType="separate"/>
    </w:r>
    <w:r w:rsidR="00E845CD">
      <w:rPr>
        <w:noProof/>
      </w:rPr>
      <w:instrText>6</w:instrText>
    </w:r>
    <w:r w:rsidR="00E845CD">
      <w:instrText xml:space="preserve"> </w:instrText>
    </w:r>
    <w:r>
      <w:fldChar w:fldCharType="end"/>
    </w:r>
    <w:r>
      <w:instrText xml:space="preserve"> \* MERGEFORMAT </w:instrText>
    </w:r>
    <w:r w:rsidR="00E845CD">
      <w:fldChar w:fldCharType="separate"/>
    </w:r>
    <w:r w:rsidR="00E845CD">
      <w:rPr>
        <w:noProof/>
      </w:rPr>
      <w:t xml:space="preserve">6 </w:t>
    </w:r>
    <w:r>
      <w:fldChar w:fldCharType="end"/>
    </w:r>
    <w:fldSimple w:instr=" STYLEREF &quot;Überschrift 1&quot; \* MERGEFORMAT ">
      <w:r w:rsidR="00E845CD">
        <w:rPr>
          <w:noProof/>
        </w:rPr>
        <w:t>Stand der Technik</w:t>
      </w:r>
    </w:fldSimple>
    <w:r>
      <w:tab/>
    </w:r>
    <w:r>
      <w:fldChar w:fldCharType="begin"/>
    </w:r>
    <w:r>
      <w:instrText xml:space="preserve"> PAGE  \* MERGEFORMAT </w:instrText>
    </w:r>
    <w:r>
      <w:fldChar w:fldCharType="separate"/>
    </w:r>
    <w:r w:rsidR="00E845CD">
      <w:rPr>
        <w:noProof/>
      </w:rPr>
      <w:t>27</w:t>
    </w:r>
    <w:r>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Kopfzeile"/>
      <w:pBdr>
        <w:bottom w:val="none" w:sz="0" w:space="0" w:color="auto"/>
      </w:pBd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2A41CA" w:rsidRDefault="002A41CA">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2" w15:restartNumberingAfterBreak="0">
    <w:nsid w:val="16295D59"/>
    <w:multiLevelType w:val="singleLevel"/>
    <w:tmpl w:val="0407000F"/>
    <w:lvl w:ilvl="0">
      <w:start w:val="1"/>
      <w:numFmt w:val="decimal"/>
      <w:lvlText w:val="%1."/>
      <w:lvlJc w:val="left"/>
      <w:pPr>
        <w:tabs>
          <w:tab w:val="num" w:pos="360"/>
        </w:tabs>
        <w:ind w:left="360" w:hanging="360"/>
      </w:pPr>
    </w:lvl>
  </w:abstractNum>
  <w:abstractNum w:abstractNumId="13" w15:restartNumberingAfterBreak="0">
    <w:nsid w:val="19354D5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4"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5" w15:restartNumberingAfterBreak="0">
    <w:nsid w:val="304B58F6"/>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38CD4524"/>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7"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8" w15:restartNumberingAfterBreak="0">
    <w:nsid w:val="449A1693"/>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2" w15:restartNumberingAfterBreak="0">
    <w:nsid w:val="5B951FF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62AE773C"/>
    <w:multiLevelType w:val="multilevel"/>
    <w:tmpl w:val="0407001D"/>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4"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5"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6"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5411D43"/>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8"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9" w15:restartNumberingAfterBreak="0">
    <w:nsid w:val="7D8A6FE6"/>
    <w:multiLevelType w:val="multilevel"/>
    <w:tmpl w:val="163E904A"/>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abstractNumId w:val="29"/>
  </w:num>
  <w:num w:numId="2">
    <w:abstractNumId w:val="6"/>
  </w:num>
  <w:num w:numId="3">
    <w:abstractNumId w:val="9"/>
  </w:num>
  <w:num w:numId="4">
    <w:abstractNumId w:val="7"/>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2">
    <w:abstractNumId w:val="28"/>
  </w:num>
  <w:num w:numId="13">
    <w:abstractNumId w:val="27"/>
  </w:num>
  <w:num w:numId="14">
    <w:abstractNumId w:val="19"/>
  </w:num>
  <w:num w:numId="15">
    <w:abstractNumId w:val="14"/>
  </w:num>
  <w:num w:numId="16">
    <w:abstractNumId w:val="15"/>
  </w:num>
  <w:num w:numId="17">
    <w:abstractNumId w:val="12"/>
  </w:num>
  <w:num w:numId="18">
    <w:abstractNumId w:val="24"/>
  </w:num>
  <w:num w:numId="19">
    <w:abstractNumId w:val="23"/>
  </w:num>
  <w:num w:numId="20">
    <w:abstractNumId w:val="13"/>
  </w:num>
  <w:num w:numId="21">
    <w:abstractNumId w:val="11"/>
  </w:num>
  <w:num w:numId="22">
    <w:abstractNumId w:val="21"/>
  </w:num>
  <w:num w:numId="23">
    <w:abstractNumId w:val="26"/>
  </w:num>
  <w:num w:numId="24">
    <w:abstractNumId w:val="25"/>
  </w:num>
  <w:num w:numId="25">
    <w:abstractNumId w:val="16"/>
  </w:num>
  <w:num w:numId="26">
    <w:abstractNumId w:val="18"/>
  </w:num>
  <w:num w:numId="27">
    <w:abstractNumId w:val="10"/>
  </w:num>
  <w:num w:numId="28">
    <w:abstractNumId w:val="17"/>
  </w:num>
  <w:num w:numId="29">
    <w:abstractNumId w:val="22"/>
  </w:num>
  <w:num w:numId="30">
    <w:abstractNumId w:val="20"/>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grammar="clean"/>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242D"/>
    <w:rsid w:val="0000378C"/>
    <w:rsid w:val="00004C6A"/>
    <w:rsid w:val="00011508"/>
    <w:rsid w:val="0003242D"/>
    <w:rsid w:val="00080A15"/>
    <w:rsid w:val="00080B9A"/>
    <w:rsid w:val="00097B2B"/>
    <w:rsid w:val="000B0018"/>
    <w:rsid w:val="000D0CE1"/>
    <w:rsid w:val="000D1285"/>
    <w:rsid w:val="00111AC6"/>
    <w:rsid w:val="0011619B"/>
    <w:rsid w:val="00117C19"/>
    <w:rsid w:val="00135B85"/>
    <w:rsid w:val="001642F6"/>
    <w:rsid w:val="0019162E"/>
    <w:rsid w:val="0019585B"/>
    <w:rsid w:val="001F09F3"/>
    <w:rsid w:val="00207425"/>
    <w:rsid w:val="00216360"/>
    <w:rsid w:val="00222670"/>
    <w:rsid w:val="00237C16"/>
    <w:rsid w:val="00246654"/>
    <w:rsid w:val="00284FA6"/>
    <w:rsid w:val="0029592F"/>
    <w:rsid w:val="002A41CA"/>
    <w:rsid w:val="002D483A"/>
    <w:rsid w:val="002F36E1"/>
    <w:rsid w:val="00307D2A"/>
    <w:rsid w:val="00336A89"/>
    <w:rsid w:val="00340216"/>
    <w:rsid w:val="0035309C"/>
    <w:rsid w:val="00376DCD"/>
    <w:rsid w:val="0039354D"/>
    <w:rsid w:val="003978A4"/>
    <w:rsid w:val="003C521D"/>
    <w:rsid w:val="0040502E"/>
    <w:rsid w:val="00411744"/>
    <w:rsid w:val="004132D2"/>
    <w:rsid w:val="0041674D"/>
    <w:rsid w:val="00425657"/>
    <w:rsid w:val="00440D21"/>
    <w:rsid w:val="00463FC4"/>
    <w:rsid w:val="0048501D"/>
    <w:rsid w:val="00486AA1"/>
    <w:rsid w:val="0049163C"/>
    <w:rsid w:val="004C47B3"/>
    <w:rsid w:val="004F10C3"/>
    <w:rsid w:val="004F64A4"/>
    <w:rsid w:val="00546F09"/>
    <w:rsid w:val="00573F73"/>
    <w:rsid w:val="00583AA1"/>
    <w:rsid w:val="00586D3D"/>
    <w:rsid w:val="00586F60"/>
    <w:rsid w:val="005921A2"/>
    <w:rsid w:val="005A7737"/>
    <w:rsid w:val="005C5914"/>
    <w:rsid w:val="005D26BD"/>
    <w:rsid w:val="0066763B"/>
    <w:rsid w:val="00697181"/>
    <w:rsid w:val="006A0B05"/>
    <w:rsid w:val="006B4180"/>
    <w:rsid w:val="006B77EF"/>
    <w:rsid w:val="006D45A1"/>
    <w:rsid w:val="006E7126"/>
    <w:rsid w:val="006E7EF2"/>
    <w:rsid w:val="006F6078"/>
    <w:rsid w:val="007035C5"/>
    <w:rsid w:val="00717EC0"/>
    <w:rsid w:val="007648E0"/>
    <w:rsid w:val="0077210A"/>
    <w:rsid w:val="0077331A"/>
    <w:rsid w:val="0079225D"/>
    <w:rsid w:val="007A00FC"/>
    <w:rsid w:val="007A060E"/>
    <w:rsid w:val="007D3976"/>
    <w:rsid w:val="007D61D0"/>
    <w:rsid w:val="00805892"/>
    <w:rsid w:val="0081447D"/>
    <w:rsid w:val="00824316"/>
    <w:rsid w:val="00827F54"/>
    <w:rsid w:val="00830CD9"/>
    <w:rsid w:val="00841E7B"/>
    <w:rsid w:val="008507CF"/>
    <w:rsid w:val="00851986"/>
    <w:rsid w:val="00862DDF"/>
    <w:rsid w:val="00864856"/>
    <w:rsid w:val="008B28D1"/>
    <w:rsid w:val="008C44B0"/>
    <w:rsid w:val="008E57C0"/>
    <w:rsid w:val="00924E99"/>
    <w:rsid w:val="00931AC1"/>
    <w:rsid w:val="009363B9"/>
    <w:rsid w:val="00937328"/>
    <w:rsid w:val="00956100"/>
    <w:rsid w:val="009669DF"/>
    <w:rsid w:val="00967BCF"/>
    <w:rsid w:val="00972342"/>
    <w:rsid w:val="0097476B"/>
    <w:rsid w:val="009767C9"/>
    <w:rsid w:val="0099695C"/>
    <w:rsid w:val="009A5D84"/>
    <w:rsid w:val="009B2F6E"/>
    <w:rsid w:val="009D2209"/>
    <w:rsid w:val="009E49D5"/>
    <w:rsid w:val="009F0F37"/>
    <w:rsid w:val="009F1EE3"/>
    <w:rsid w:val="009F218F"/>
    <w:rsid w:val="009F4848"/>
    <w:rsid w:val="00A05CF4"/>
    <w:rsid w:val="00A30F98"/>
    <w:rsid w:val="00A32299"/>
    <w:rsid w:val="00A35092"/>
    <w:rsid w:val="00A5114A"/>
    <w:rsid w:val="00A609DA"/>
    <w:rsid w:val="00A73639"/>
    <w:rsid w:val="00A9619F"/>
    <w:rsid w:val="00A9651E"/>
    <w:rsid w:val="00AC3989"/>
    <w:rsid w:val="00AC6692"/>
    <w:rsid w:val="00B17F93"/>
    <w:rsid w:val="00B30A17"/>
    <w:rsid w:val="00B343AD"/>
    <w:rsid w:val="00B4768E"/>
    <w:rsid w:val="00B50971"/>
    <w:rsid w:val="00B60278"/>
    <w:rsid w:val="00B84496"/>
    <w:rsid w:val="00B9672F"/>
    <w:rsid w:val="00BA1564"/>
    <w:rsid w:val="00BA7590"/>
    <w:rsid w:val="00BD1D95"/>
    <w:rsid w:val="00BD6EF6"/>
    <w:rsid w:val="00BF0354"/>
    <w:rsid w:val="00BF7EB9"/>
    <w:rsid w:val="00C24E59"/>
    <w:rsid w:val="00C769D0"/>
    <w:rsid w:val="00C80E81"/>
    <w:rsid w:val="00C81472"/>
    <w:rsid w:val="00C969F6"/>
    <w:rsid w:val="00CD51BF"/>
    <w:rsid w:val="00CD6A38"/>
    <w:rsid w:val="00CE73C2"/>
    <w:rsid w:val="00D1334E"/>
    <w:rsid w:val="00D1524E"/>
    <w:rsid w:val="00D5488E"/>
    <w:rsid w:val="00D668E0"/>
    <w:rsid w:val="00DA2BAE"/>
    <w:rsid w:val="00DF0490"/>
    <w:rsid w:val="00E016C0"/>
    <w:rsid w:val="00E0568A"/>
    <w:rsid w:val="00E06F03"/>
    <w:rsid w:val="00E071C6"/>
    <w:rsid w:val="00E07EEF"/>
    <w:rsid w:val="00E1167A"/>
    <w:rsid w:val="00E13A68"/>
    <w:rsid w:val="00E37B1A"/>
    <w:rsid w:val="00E44392"/>
    <w:rsid w:val="00E845CD"/>
    <w:rsid w:val="00E97CE1"/>
    <w:rsid w:val="00EE359E"/>
    <w:rsid w:val="00EE7493"/>
    <w:rsid w:val="00F108A1"/>
    <w:rsid w:val="00F20135"/>
    <w:rsid w:val="00F2556B"/>
    <w:rsid w:val="00F30BCD"/>
    <w:rsid w:val="00F41086"/>
    <w:rsid w:val="00F43932"/>
    <w:rsid w:val="00F439FA"/>
    <w:rsid w:val="00F443C0"/>
    <w:rsid w:val="00F65BAD"/>
    <w:rsid w:val="00F71495"/>
    <w:rsid w:val="00F74B22"/>
    <w:rsid w:val="00F7576C"/>
    <w:rsid w:val="00F933A1"/>
    <w:rsid w:val="00FB0693"/>
    <w:rsid w:val="00FC493B"/>
    <w:rsid w:val="00FC4B0B"/>
    <w:rsid w:val="00FD71C8"/>
    <w:rsid w:val="00FE65A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27A68FA"/>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5">
    <w:lsdException w:name="Normal" w:uiPriority="0" w:qFormat="1"/>
    <w:lsdException w:name="heading 1" w:uiPriority="0" w:qFormat="1"/>
    <w:lsdException w:name="heading 2" w:uiPriority="0" w:qFormat="1"/>
    <w:lsdException w:name="heading 3" w:uiPriority="0" w:qFormat="1"/>
    <w:lsdException w:name="heading 4" w:uiPriority="9" w:qFormat="1"/>
    <w:lsdException w:name="heading 5" w:uiPriority="9"/>
    <w:lsdException w:name="heading 6" w:uiPriority="9"/>
    <w:lsdException w:name="heading 7" w:uiPriority="9"/>
    <w:lsdException w:name="heading 8" w:uiPriority="9"/>
    <w:lsdException w:name="heading 9" w:uiPriority="9"/>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pPr>
      <w:spacing w:before="120" w:line="312" w:lineRule="auto"/>
      <w:jc w:val="both"/>
    </w:pPr>
  </w:style>
  <w:style w:type="paragraph" w:styleId="berschrift1">
    <w:name w:val="heading 1"/>
    <w:basedOn w:val="Standard"/>
    <w:next w:val="Standard"/>
    <w:qFormat/>
    <w:pPr>
      <w:keepNext/>
      <w:pageBreakBefore/>
      <w:numPr>
        <w:numId w:val="1"/>
      </w:numPr>
      <w:suppressAutoHyphens/>
      <w:spacing w:before="720"/>
      <w:jc w:val="left"/>
      <w:outlineLvl w:val="0"/>
    </w:pPr>
    <w:rPr>
      <w:rFonts w:ascii="Arial" w:hAnsi="Arial"/>
      <w:b/>
      <w:kern w:val="28"/>
      <w:sz w:val="32"/>
    </w:rPr>
  </w:style>
  <w:style w:type="paragraph" w:styleId="berschrift2">
    <w:name w:val="heading 2"/>
    <w:basedOn w:val="berschrift1"/>
    <w:next w:val="Standard"/>
    <w:qFormat/>
    <w:pPr>
      <w:pageBreakBefore w:val="0"/>
      <w:numPr>
        <w:ilvl w:val="1"/>
      </w:numPr>
      <w:tabs>
        <w:tab w:val="left" w:pos="720"/>
      </w:tabs>
      <w:spacing w:before="480"/>
      <w:outlineLvl w:val="1"/>
    </w:pPr>
    <w:rPr>
      <w:sz w:val="28"/>
    </w:rPr>
  </w:style>
  <w:style w:type="paragraph" w:styleId="berschrift3">
    <w:name w:val="heading 3"/>
    <w:basedOn w:val="berschrift2"/>
    <w:next w:val="Standard"/>
    <w:qFormat/>
    <w:pPr>
      <w:numPr>
        <w:ilvl w:val="2"/>
      </w:numPr>
      <w:spacing w:before="360"/>
      <w:outlineLvl w:val="2"/>
    </w:pPr>
    <w:rPr>
      <w:sz w:val="24"/>
    </w:rPr>
  </w:style>
  <w:style w:type="paragraph" w:styleId="berschrift4">
    <w:name w:val="heading 4"/>
    <w:basedOn w:val="berschrift3"/>
    <w:next w:val="Standard"/>
    <w:qFormat/>
    <w:pPr>
      <w:numPr>
        <w:ilvl w:val="3"/>
      </w:numPr>
      <w:tabs>
        <w:tab w:val="clear" w:pos="864"/>
      </w:tabs>
      <w:spacing w:before="240"/>
      <w:ind w:left="720" w:hanging="720"/>
      <w:outlineLvl w:val="3"/>
    </w:pPr>
    <w:rPr>
      <w:b w:val="0"/>
    </w:rPr>
  </w:style>
  <w:style w:type="paragraph" w:styleId="berschrift5">
    <w:name w:val="heading 5"/>
    <w:basedOn w:val="berschrift4"/>
    <w:next w:val="Standard"/>
    <w:pPr>
      <w:numPr>
        <w:ilvl w:val="4"/>
      </w:numPr>
      <w:tabs>
        <w:tab w:val="clear" w:pos="1008"/>
      </w:tabs>
      <w:ind w:left="720" w:hanging="720"/>
      <w:outlineLvl w:val="4"/>
    </w:pPr>
  </w:style>
  <w:style w:type="paragraph" w:styleId="berschrift6">
    <w:name w:val="heading 6"/>
    <w:basedOn w:val="berschrift5"/>
    <w:next w:val="Standard"/>
    <w:pPr>
      <w:numPr>
        <w:ilvl w:val="5"/>
      </w:numPr>
      <w:tabs>
        <w:tab w:val="clear" w:pos="1152"/>
      </w:tabs>
      <w:ind w:left="720" w:hanging="720"/>
      <w:outlineLvl w:val="5"/>
    </w:pPr>
  </w:style>
  <w:style w:type="paragraph" w:styleId="berschrift7">
    <w:name w:val="heading 7"/>
    <w:basedOn w:val="berschrift6"/>
    <w:next w:val="Standard"/>
    <w:pPr>
      <w:numPr>
        <w:ilvl w:val="6"/>
      </w:numPr>
      <w:tabs>
        <w:tab w:val="clear" w:pos="1296"/>
      </w:tabs>
      <w:ind w:left="720" w:hanging="720"/>
      <w:outlineLvl w:val="6"/>
    </w:pPr>
  </w:style>
  <w:style w:type="paragraph" w:styleId="berschrift8">
    <w:name w:val="heading 8"/>
    <w:basedOn w:val="berschrift7"/>
    <w:next w:val="Standard"/>
    <w:pPr>
      <w:numPr>
        <w:ilvl w:val="7"/>
      </w:numPr>
      <w:tabs>
        <w:tab w:val="clear" w:pos="1440"/>
      </w:tabs>
      <w:ind w:left="720" w:hanging="720"/>
      <w:outlineLvl w:val="7"/>
    </w:pPr>
  </w:style>
  <w:style w:type="paragraph" w:styleId="berschrift9">
    <w:name w:val="heading 9"/>
    <w:basedOn w:val="berschrift8"/>
    <w:next w:val="Standard"/>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semiHidden/>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pPr>
      <w:tabs>
        <w:tab w:val="left" w:pos="680"/>
      </w:tabs>
      <w:spacing w:before="120"/>
    </w:pPr>
    <w:rPr>
      <w:b w:val="0"/>
    </w:rPr>
  </w:style>
  <w:style w:type="paragraph" w:styleId="Verzeichnis3">
    <w:name w:val="toc 3"/>
    <w:basedOn w:val="Verzeichnis2"/>
    <w:next w:val="Standard"/>
    <w:autoRedefine/>
    <w:uiPriority w:val="39"/>
    <w:pPr>
      <w:tabs>
        <w:tab w:val="left" w:pos="1004"/>
      </w:tabs>
      <w:spacing w:before="60"/>
    </w:pPr>
  </w:style>
  <w:style w:type="paragraph" w:styleId="Umschlagabsenderadresse">
    <w:name w:val="envelope return"/>
    <w:basedOn w:val="Standard"/>
    <w:semiHidden/>
  </w:style>
  <w:style w:type="paragraph" w:styleId="Beschriftung">
    <w:name w:val="caption"/>
    <w:basedOn w:val="Standard"/>
    <w:next w:val="Standard"/>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tabs>
        <w:tab w:val="left" w:pos="384"/>
      </w:tabs>
      <w:spacing w:line="240" w:lineRule="auto"/>
      <w:ind w:left="384" w:hanging="384"/>
      <w:jc w:val="left"/>
    </w:pPr>
  </w:style>
  <w:style w:type="paragraph" w:styleId="Funotentext">
    <w:name w:val="footnote text"/>
    <w:basedOn w:val="Standard"/>
    <w:semiHidden/>
    <w:pPr>
      <w:tabs>
        <w:tab w:val="left" w:pos="284"/>
      </w:tabs>
      <w:spacing w:before="60" w:line="240" w:lineRule="auto"/>
      <w:ind w:left="284" w:hanging="284"/>
    </w:pPr>
  </w:style>
  <w:style w:type="paragraph" w:styleId="Kopfzeile">
    <w:name w:val="header"/>
    <w:basedOn w:val="Standard"/>
    <w:semiHidden/>
    <w:pPr>
      <w:pBdr>
        <w:bottom w:val="single" w:sz="4" w:space="1" w:color="auto"/>
      </w:pBdr>
      <w:tabs>
        <w:tab w:val="right" w:pos="7938"/>
      </w:tabs>
      <w:spacing w:line="240" w:lineRule="auto"/>
    </w:p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semiHidden/>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rFonts w:ascii="Arial" w:hAnsi="Arial"/>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rFonts w:ascii="Arial" w:hAnsi="Arial"/>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NichtaufgelsteErwhnung">
    <w:name w:val="Unresolved Mention"/>
    <w:basedOn w:val="Absatz-Standardschriftart"/>
    <w:uiPriority w:val="99"/>
    <w:semiHidden/>
    <w:unhideWhenUsed/>
    <w:rsid w:val="0041674D"/>
    <w:rPr>
      <w:color w:val="808080"/>
      <w:shd w:val="clear" w:color="auto" w:fill="E6E6E6"/>
    </w:rPr>
  </w:style>
  <w:style w:type="paragraph" w:styleId="Listenabsatz">
    <w:name w:val="List Paragraph"/>
    <w:basedOn w:val="Standard"/>
    <w:uiPriority w:val="34"/>
    <w:rsid w:val="00864856"/>
    <w:pPr>
      <w:ind w:left="720"/>
      <w:contextualSpacing/>
    </w:pPr>
  </w:style>
  <w:style w:type="paragraph" w:styleId="HTMLVorformatiert">
    <w:name w:val="HTML Preformatted"/>
    <w:basedOn w:val="Standard"/>
    <w:link w:val="HTMLVorformatiertZchn"/>
    <w:uiPriority w:val="99"/>
    <w:semiHidden/>
    <w:unhideWhenUsed/>
    <w:rsid w:val="00DA2B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hAnsi="Courier New" w:cs="Courier New"/>
      <w:lang w:val="de-CH" w:eastAsia="de-CH"/>
    </w:rPr>
  </w:style>
  <w:style w:type="character" w:customStyle="1" w:styleId="HTMLVorformatiertZchn">
    <w:name w:val="HTML Vorformatiert Zchn"/>
    <w:basedOn w:val="Absatz-Standardschriftart"/>
    <w:link w:val="HTMLVorformatiert"/>
    <w:uiPriority w:val="99"/>
    <w:semiHidden/>
    <w:rsid w:val="00DA2BAE"/>
    <w:rPr>
      <w:rFonts w:ascii="Courier New" w:hAnsi="Courier New" w:cs="Courier New"/>
      <w:lang w:val="de-CH" w:eastAsia="de-CH"/>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99951855">
      <w:bodyDiv w:val="1"/>
      <w:marLeft w:val="0"/>
      <w:marRight w:val="0"/>
      <w:marTop w:val="0"/>
      <w:marBottom w:val="0"/>
      <w:divBdr>
        <w:top w:val="none" w:sz="0" w:space="0" w:color="auto"/>
        <w:left w:val="none" w:sz="0" w:space="0" w:color="auto"/>
        <w:bottom w:val="none" w:sz="0" w:space="0" w:color="auto"/>
        <w:right w:val="none" w:sz="0" w:space="0" w:color="auto"/>
      </w:divBdr>
      <w:divsChild>
        <w:div w:id="645084200">
          <w:marLeft w:val="0"/>
          <w:marRight w:val="0"/>
          <w:marTop w:val="0"/>
          <w:marBottom w:val="0"/>
          <w:divBdr>
            <w:top w:val="none" w:sz="0" w:space="0" w:color="auto"/>
            <w:left w:val="none" w:sz="0" w:space="0" w:color="auto"/>
            <w:bottom w:val="none" w:sz="0" w:space="0" w:color="auto"/>
            <w:right w:val="none" w:sz="0" w:space="0" w:color="auto"/>
          </w:divBdr>
          <w:divsChild>
            <w:div w:id="115831013">
              <w:marLeft w:val="0"/>
              <w:marRight w:val="0"/>
              <w:marTop w:val="0"/>
              <w:marBottom w:val="0"/>
              <w:divBdr>
                <w:top w:val="none" w:sz="0" w:space="0" w:color="auto"/>
                <w:left w:val="none" w:sz="0" w:space="0" w:color="auto"/>
                <w:bottom w:val="none" w:sz="0" w:space="0" w:color="auto"/>
                <w:right w:val="none" w:sz="0" w:space="0" w:color="auto"/>
              </w:divBdr>
              <w:divsChild>
                <w:div w:id="2068675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9294148">
      <w:bodyDiv w:val="1"/>
      <w:marLeft w:val="0"/>
      <w:marRight w:val="0"/>
      <w:marTop w:val="0"/>
      <w:marBottom w:val="0"/>
      <w:divBdr>
        <w:top w:val="none" w:sz="0" w:space="0" w:color="auto"/>
        <w:left w:val="none" w:sz="0" w:space="0" w:color="auto"/>
        <w:bottom w:val="none" w:sz="0" w:space="0" w:color="auto"/>
        <w:right w:val="none" w:sz="0" w:space="0" w:color="auto"/>
      </w:divBdr>
      <w:divsChild>
        <w:div w:id="1428885166">
          <w:marLeft w:val="0"/>
          <w:marRight w:val="0"/>
          <w:marTop w:val="0"/>
          <w:marBottom w:val="0"/>
          <w:divBdr>
            <w:top w:val="none" w:sz="0" w:space="0" w:color="auto"/>
            <w:left w:val="none" w:sz="0" w:space="0" w:color="auto"/>
            <w:bottom w:val="none" w:sz="0" w:space="0" w:color="auto"/>
            <w:right w:val="none" w:sz="0" w:space="0" w:color="auto"/>
          </w:divBdr>
        </w:div>
        <w:div w:id="1093354793">
          <w:marLeft w:val="0"/>
          <w:marRight w:val="0"/>
          <w:marTop w:val="0"/>
          <w:marBottom w:val="0"/>
          <w:divBdr>
            <w:top w:val="none" w:sz="0" w:space="0" w:color="auto"/>
            <w:left w:val="none" w:sz="0" w:space="0" w:color="auto"/>
            <w:bottom w:val="none" w:sz="0" w:space="0" w:color="auto"/>
            <w:right w:val="none" w:sz="0" w:space="0" w:color="auto"/>
          </w:divBdr>
        </w:div>
        <w:div w:id="1431657935">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s://de.wikipedia.org/wiki/Bildwinkel" TargetMode="External"/><Relationship Id="rId26" Type="http://schemas.openxmlformats.org/officeDocument/2006/relationships/footer" Target="footer3.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hyperlink" Target="http://www.ammonit.com/de/wind-solar-wissen/solarmessung/473-messung-der-sonnenstrahlung" TargetMode="External"/><Relationship Id="rId23" Type="http://schemas.openxmlformats.org/officeDocument/2006/relationships/footer" Target="footer1.xml"/><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hyperlink" Target="https://de.wikipedia.org/wiki/Weitwinkelobjektiv"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2.xml"/><Relationship Id="rId27" Type="http://schemas.openxmlformats.org/officeDocument/2006/relationships/header" Target="header4.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0FB316E-C37D-4837-86FB-D7F69E375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32</Pages>
  <Words>7970</Words>
  <Characters>50214</Characters>
  <Application>Microsoft Office Word</Application>
  <DocSecurity>0</DocSecurity>
  <Lines>418</Lines>
  <Paragraphs>116</Paragraphs>
  <ScaleCrop>false</ScaleCrop>
  <HeadingPairs>
    <vt:vector size="2" baseType="variant">
      <vt:variant>
        <vt:lpstr>Titel</vt:lpstr>
      </vt:variant>
      <vt:variant>
        <vt:i4>1</vt:i4>
      </vt:variant>
    </vt:vector>
  </HeadingPairs>
  <TitlesOfParts>
    <vt:vector size="1" baseType="lpstr">
      <vt:lpstr>Master Thesis ProSekKa</vt:lpstr>
    </vt:vector>
  </TitlesOfParts>
  <Company>Hochschule Luzern Technik &amp; Architektur</Company>
  <LinksUpToDate>false</LinksUpToDate>
  <CharactersWithSpaces>58068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Master Thesis ProSekKa</dc:title>
  <dc:creator>Attila Horvath</dc:creator>
  <cp:keywords>low cost solar irradiance forecasting</cp:keywords>
  <cp:lastModifiedBy>unknown</cp:lastModifiedBy>
  <cp:revision>95</cp:revision>
  <cp:lastPrinted>2011-10-23T20:42:00Z</cp:lastPrinted>
  <dcterms:created xsi:type="dcterms:W3CDTF">2017-10-04T05:43:00Z</dcterms:created>
  <dcterms:modified xsi:type="dcterms:W3CDTF">2018-12-06T19:10:00Z</dcterms:modified>
  <cp:category>Wiss. Arbeit</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zotero-version="5.0.58"&gt;&lt;session id="Wy9VCGZp"/&gt;&lt;style id="http://www.zotero.org/styles/ieee" locale="de-DE"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