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val="de-CH"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52D0" w:rsidRPr="00BF0354" w:rsidRDefault="00C552D0"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C552D0" w:rsidRPr="00BF0354" w:rsidRDefault="00C552D0"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val="de-CH"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52D0" w:rsidRDefault="00C552D0" w:rsidP="00BF7EB9">
                            <w:pPr>
                              <w:pStyle w:val="Untertitel"/>
                              <w:rPr>
                                <w:b/>
                              </w:rPr>
                            </w:pPr>
                            <w:r>
                              <w:rPr>
                                <w:b/>
                              </w:rPr>
                              <w:t>MSE - Masterthesis</w:t>
                            </w:r>
                          </w:p>
                          <w:p w:rsidR="00C552D0" w:rsidRPr="00BF0354" w:rsidRDefault="00C552D0" w:rsidP="00BF7EB9">
                            <w:pPr>
                              <w:pStyle w:val="Untertitel"/>
                            </w:pPr>
                            <w:r w:rsidRPr="00BF0354">
                              <w:t>im Studiengang</w:t>
                            </w:r>
                            <w:r w:rsidRPr="00BF0354">
                              <w:br/>
                            </w:r>
                            <w:r>
                              <w:t>Elektro- und Informationstechnik</w:t>
                            </w:r>
                          </w:p>
                          <w:p w:rsidR="00C552D0" w:rsidRDefault="00C552D0" w:rsidP="005D26BD">
                            <w:pPr>
                              <w:pStyle w:val="Untertitel"/>
                            </w:pPr>
                            <w:r>
                              <w:t>vorgelegt von</w:t>
                            </w:r>
                          </w:p>
                          <w:p w:rsidR="00C552D0" w:rsidRDefault="00C552D0" w:rsidP="00BA7590">
                            <w:pPr>
                              <w:pStyle w:val="Untertitel"/>
                            </w:pPr>
                            <w:r>
                              <w:rPr>
                                <w:b/>
                              </w:rPr>
                              <w:t>Attila Horvath</w:t>
                            </w:r>
                            <w:r>
                              <w:rPr>
                                <w:b/>
                              </w:rPr>
                              <w:br/>
                            </w:r>
                          </w:p>
                          <w:p w:rsidR="00C552D0" w:rsidRPr="00BA7590" w:rsidRDefault="00C552D0"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C552D0" w:rsidRDefault="00C552D0" w:rsidP="00BF7EB9">
                      <w:pPr>
                        <w:pStyle w:val="Untertitel"/>
                        <w:rPr>
                          <w:b/>
                        </w:rPr>
                      </w:pPr>
                      <w:r>
                        <w:rPr>
                          <w:b/>
                        </w:rPr>
                        <w:t>MSE - Masterthesis</w:t>
                      </w:r>
                    </w:p>
                    <w:p w:rsidR="00C552D0" w:rsidRPr="00BF0354" w:rsidRDefault="00C552D0" w:rsidP="00BF7EB9">
                      <w:pPr>
                        <w:pStyle w:val="Untertitel"/>
                      </w:pPr>
                      <w:r w:rsidRPr="00BF0354">
                        <w:t>im Studiengang</w:t>
                      </w:r>
                      <w:r w:rsidRPr="00BF0354">
                        <w:br/>
                      </w:r>
                      <w:r>
                        <w:t>Elektro- und Informationstechnik</w:t>
                      </w:r>
                    </w:p>
                    <w:p w:rsidR="00C552D0" w:rsidRDefault="00C552D0" w:rsidP="005D26BD">
                      <w:pPr>
                        <w:pStyle w:val="Untertitel"/>
                      </w:pPr>
                      <w:r>
                        <w:t>vorgelegt von</w:t>
                      </w:r>
                    </w:p>
                    <w:p w:rsidR="00C552D0" w:rsidRDefault="00C552D0" w:rsidP="00BA7590">
                      <w:pPr>
                        <w:pStyle w:val="Untertitel"/>
                      </w:pPr>
                      <w:r>
                        <w:rPr>
                          <w:b/>
                        </w:rPr>
                        <w:t>Attila Horvath</w:t>
                      </w:r>
                      <w:r>
                        <w:rPr>
                          <w:b/>
                        </w:rPr>
                        <w:br/>
                      </w:r>
                    </w:p>
                    <w:p w:rsidR="00C552D0" w:rsidRPr="00BA7590" w:rsidRDefault="00C552D0"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val="de-CH"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52D0" w:rsidRPr="00BF0354" w:rsidRDefault="00C552D0" w:rsidP="00C969F6">
                            <w:pPr>
                              <w:pStyle w:val="Untertitel"/>
                              <w:tabs>
                                <w:tab w:val="left" w:pos="2835"/>
                              </w:tabs>
                              <w:spacing w:before="0"/>
                              <w:jc w:val="left"/>
                            </w:pPr>
                            <w:r>
                              <w:t xml:space="preserve">Advisor: </w:t>
                            </w:r>
                            <w:r>
                              <w:tab/>
                              <w:t>Prof. Dr. Klaus Zahn</w:t>
                            </w:r>
                            <w:r>
                              <w:br/>
                              <w:t xml:space="preserve">Coadvisor: </w:t>
                            </w:r>
                            <w:r>
                              <w:tab/>
                              <w:t>Dipl. El. Ing. 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C552D0" w:rsidRPr="00BF0354" w:rsidRDefault="00C552D0" w:rsidP="00C969F6">
                      <w:pPr>
                        <w:pStyle w:val="Untertitel"/>
                        <w:tabs>
                          <w:tab w:val="left" w:pos="2835"/>
                        </w:tabs>
                        <w:spacing w:before="0"/>
                        <w:jc w:val="left"/>
                      </w:pPr>
                      <w:r>
                        <w:t xml:space="preserve">Advisor: </w:t>
                      </w:r>
                      <w:r>
                        <w:tab/>
                        <w:t>Prof. Dr. Klaus Zahn</w:t>
                      </w:r>
                      <w:r>
                        <w:br/>
                        <w:t xml:space="preserve">Coadvisor: </w:t>
                      </w:r>
                      <w:r>
                        <w:tab/>
                        <w:t>Dipl. El. Ing. Andreas Rumsch</w:t>
                      </w:r>
                    </w:p>
                  </w:txbxContent>
                </v:textbox>
                <w10:wrap anchory="margin"/>
              </v:shape>
            </w:pict>
          </mc:Fallback>
        </mc:AlternateContent>
      </w:r>
    </w:p>
    <w:p w:rsidR="00C969F6" w:rsidRDefault="00C969F6">
      <w:pPr>
        <w:pStyle w:val="berschrift1"/>
        <w:numPr>
          <w:ilvl w:val="0"/>
          <w:numId w:val="0"/>
        </w:numPr>
      </w:pPr>
      <w:bookmarkStart w:id="0" w:name="_Toc531888898"/>
      <w:bookmarkStart w:id="1" w:name="_Ref491742389"/>
      <w:r>
        <w:lastRenderedPageBreak/>
        <w:t>Ehrenwörtliche Erklärung</w:t>
      </w:r>
      <w:bookmarkEnd w:id="0"/>
    </w:p>
    <w:p w:rsidR="00541CB7" w:rsidRDefault="00541CB7" w:rsidP="00541CB7">
      <w:bookmarkStart w:id="2" w:name="_Toc531888899"/>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r>
        <w:lastRenderedPageBreak/>
        <w:t>Kurzfassung</w:t>
      </w:r>
      <w:bookmarkEnd w:id="1"/>
      <w:bookmarkEnd w:id="2"/>
    </w:p>
    <w:p w:rsidR="005F576C" w:rsidRPr="00C022F9" w:rsidRDefault="005F576C" w:rsidP="005F576C">
      <w:bookmarkStart w:id="3" w:name="_Ref491691319"/>
      <w:bookmarkStart w:id="4" w:name="_Toc531888900"/>
      <w:r w:rsidRPr="00C022F9">
        <w:t>Im Mai 2017 wurde im Rahmen der Energiestrategie 2050, der Schrittweise Ausstieg aus der Atomenergie, durch das Schweizer Volk beschlossen. Zukünftig sollen vermehrt, erneuerbare Energien gefördert werden, wie Wasser und Windkraft sowie Sonnenenergie.</w:t>
      </w:r>
    </w:p>
    <w:p w:rsidR="005F576C" w:rsidRPr="00C022F9" w:rsidRDefault="005F576C" w:rsidP="005F576C">
      <w:r w:rsidRPr="00C022F9">
        <w:t xml:space="preserve">Motiviert durch, fallende Preise und steigender Effizienz, nimmt die Anzahl der Photovoltaikanlagen in privatem Besitz, kontinuierlich zu. So betrug die Photovoltaik-Leistung Ende 2016 ca. 1.5 GW was einer Gesamtfläche von rund 11 </w:t>
      </w:r>
      <m:oMath>
        <m:sSup>
          <m:sSupPr>
            <m:ctrlPr>
              <w:rPr>
                <w:rFonts w:ascii="Cambria Math" w:hAnsi="Cambria Math"/>
              </w:rPr>
            </m:ctrlPr>
          </m:sSupPr>
          <m:e>
            <m:r>
              <w:rPr>
                <w:rFonts w:ascii="Cambria Math" w:hAnsi="Cambria Math"/>
              </w:rPr>
              <m:t>Km</m:t>
            </m:r>
          </m:e>
          <m:sup>
            <m:r>
              <m:rPr>
                <m:sty m:val="p"/>
              </m:rPr>
              <w:rPr>
                <w:rFonts w:ascii="Cambria Math" w:hAnsi="Cambria Math"/>
              </w:rPr>
              <m:t>2</m:t>
            </m:r>
          </m:sup>
        </m:sSup>
      </m:oMath>
      <w:r w:rsidRPr="00C022F9">
        <w:t xml:space="preserve"> entspricht. </w:t>
      </w:r>
    </w:p>
    <w:p w:rsidR="005F576C" w:rsidRPr="00C022F9" w:rsidRDefault="005F576C" w:rsidP="005F576C">
      <w:r w:rsidRPr="00C022F9">
        <w:t>Schnell vobeiziehende Wolkenfelder erzeugen hohe kurzfristige Schwankungen der Einstrahlung, typisch im Bereich weniger Skunden. Die so entstehenden schnellen Änderungen der Leistungsabgabe von PV-Analagen können kritische Rückwirkungen auf das elektrische Versorgungsnetz zur Folge haben.</w:t>
      </w:r>
    </w:p>
    <w:p w:rsidR="005F576C" w:rsidRDefault="005F576C" w:rsidP="005F576C">
      <w:r>
        <w:t>Es werden unterschiedliche Methoden und Modelle zur Vorhersage von Sonnenstrahlung für verschiedene Zeithorizonte verwendet. Insbesondere werden häufig physikalisch Modelle, basierend auf Staelitenbeobachtung, zur Vorhersage eigesetzt. Solche Vorhersagen verfügen jedoch nicht über die räumliche und zeitliche Aüflösung,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5F576C" w:rsidRDefault="005F576C" w:rsidP="005F576C">
      <w:r>
        <w:t>Ziel der hier vorgestellten Arbeit ist die Entwicklung einer preisgünstigen Wolkenkamera, zur kurzzeitigen Vorhersage der Sonneneinstrahlung.</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r>
        <w:rPr>
          <w:lang w:val="en-GB"/>
        </w:rPr>
        <w:lastRenderedPageBreak/>
        <w:t>Abstract</w:t>
      </w:r>
      <w:bookmarkEnd w:id="3"/>
      <w:bookmarkEnd w:id="4"/>
      <w:r>
        <w:rPr>
          <w:lang w:val="en-GB"/>
        </w:rPr>
        <w:t xml:space="preserve"> </w:t>
      </w:r>
    </w:p>
    <w:p w:rsidR="005F576C" w:rsidRDefault="005F576C" w:rsidP="005F576C">
      <w:pPr>
        <w:rPr>
          <w:lang w:val="en-GB"/>
        </w:rPr>
      </w:pPr>
      <w:bookmarkStart w:id="5" w:name="_Toc531888901"/>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Default="005F576C" w:rsidP="005F576C">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022F9">
        <w:t>11</w:t>
      </w:r>
      <m:oMath>
        <m:r>
          <w:rPr>
            <w:rFonts w:ascii="Cambria Math" w:hAnsi="Cambria Math"/>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rPr>
              <m:t>2</m:t>
            </m:r>
          </m:sup>
        </m:sSup>
      </m:oMath>
      <w:r>
        <w:t>.</w:t>
      </w:r>
    </w:p>
    <w:p w:rsidR="005F576C" w:rsidRDefault="005F576C" w:rsidP="005F576C">
      <w: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Default="005F576C" w:rsidP="005F576C">
      <w: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Default="005F576C" w:rsidP="005F576C">
      <w: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t xml:space="preserve">total sky imager, HDR imaging, </w:t>
      </w:r>
      <w:r>
        <w:rPr>
          <w:lang w:val="en-GB"/>
        </w:rPr>
        <w:t xml:space="preserve">irradiance forecasting, </w:t>
      </w:r>
      <w:r>
        <w:t>cloud tracking</w:t>
      </w:r>
      <w:r>
        <w:rPr>
          <w:lang w:val="en-GB"/>
        </w:rPr>
        <w:t>, cloud identification, optical flow, camera calibration, raspberry pi</w:t>
      </w:r>
    </w:p>
    <w:p w:rsidR="00284FA6" w:rsidRDefault="00284FA6">
      <w:pPr>
        <w:pStyle w:val="berschrift1"/>
        <w:numPr>
          <w:ilvl w:val="0"/>
          <w:numId w:val="0"/>
        </w:numPr>
      </w:pPr>
      <w:r>
        <w:lastRenderedPageBreak/>
        <w:t>Inhaltsverzeichnis</w:t>
      </w:r>
      <w:bookmarkEnd w:id="5"/>
    </w:p>
    <w:p w:rsidR="00956100"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956100">
        <w:t>Ehrenwörtliche Erklärung</w:t>
      </w:r>
      <w:r w:rsidR="00956100">
        <w:tab/>
      </w:r>
      <w:r w:rsidR="00956100">
        <w:fldChar w:fldCharType="begin"/>
      </w:r>
      <w:r w:rsidR="00956100">
        <w:instrText xml:space="preserve"> PAGEREF _Toc531888898 \h </w:instrText>
      </w:r>
      <w:r w:rsidR="00956100">
        <w:fldChar w:fldCharType="separate"/>
      </w:r>
      <w:r w:rsidR="00956100">
        <w:t>2</w:t>
      </w:r>
      <w:r w:rsidR="00956100">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_Toc531888899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rsidRPr="00956100">
        <w:rPr>
          <w:lang w:val="de-CH"/>
        </w:rPr>
        <w:t>Abstract</w:t>
      </w:r>
      <w:r>
        <w:tab/>
      </w:r>
      <w:r>
        <w:fldChar w:fldCharType="begin"/>
      </w:r>
      <w:r>
        <w:instrText xml:space="preserve"> PAGEREF _Toc531888900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_Toc531888901 \h </w:instrText>
      </w:r>
      <w:r>
        <w:fldChar w:fldCharType="separate"/>
      </w:r>
      <w:r>
        <w:t>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_Toc531888902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_Toc531888903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_Toc531888904 \h </w:instrText>
      </w:r>
      <w:r>
        <w:fldChar w:fldCharType="separate"/>
      </w:r>
      <w:r>
        <w:t>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Vorwort</w:t>
      </w:r>
      <w:r>
        <w:tab/>
      </w:r>
      <w:r>
        <w:fldChar w:fldCharType="begin"/>
      </w:r>
      <w:r>
        <w:instrText xml:space="preserve"> PAGEREF _Toc531888905 \h </w:instrText>
      </w:r>
      <w:r>
        <w:fldChar w:fldCharType="separate"/>
      </w:r>
      <w:r>
        <w:t>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Überblick</w:t>
      </w:r>
      <w:r>
        <w:tab/>
      </w:r>
      <w:r>
        <w:fldChar w:fldCharType="begin"/>
      </w:r>
      <w:r>
        <w:instrText xml:space="preserve"> PAGEREF _Toc531888906 \h </w:instrText>
      </w:r>
      <w:r>
        <w:fldChar w:fldCharType="separate"/>
      </w:r>
      <w:r>
        <w:t>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Ziele</w:t>
      </w:r>
      <w:r>
        <w:tab/>
      </w:r>
      <w:r>
        <w:fldChar w:fldCharType="begin"/>
      </w:r>
      <w:r>
        <w:instrText xml:space="preserve"> PAGEREF _Toc531888907 \h </w:instrText>
      </w:r>
      <w:r>
        <w:fldChar w:fldCharType="separate"/>
      </w:r>
      <w:r>
        <w:t>11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_Toc531888908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Strahlungsangebot der Sonne</w:t>
      </w:r>
      <w:r>
        <w:tab/>
      </w:r>
      <w:r>
        <w:fldChar w:fldCharType="begin"/>
      </w:r>
      <w:r>
        <w:instrText xml:space="preserve"> PAGEREF _Toc531888909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Extraterrestrische Strahlung</w:t>
      </w:r>
      <w:r>
        <w:tab/>
      </w:r>
      <w:r>
        <w:fldChar w:fldCharType="begin"/>
      </w:r>
      <w:r>
        <w:instrText xml:space="preserve"> PAGEREF _Toc531888910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Spektrale Eigenschaft der Sonnenstrahlung</w:t>
      </w:r>
      <w:r>
        <w:tab/>
      </w:r>
      <w:r>
        <w:fldChar w:fldCharType="begin"/>
      </w:r>
      <w:r>
        <w:instrText xml:space="preserve"> PAGEREF _Toc531888911 \h </w:instrText>
      </w:r>
      <w:r>
        <w:fldChar w:fldCharType="separate"/>
      </w:r>
      <w:r>
        <w:t>12</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3.4</w:t>
      </w:r>
      <w:r w:rsidRPr="00956100">
        <w:rPr>
          <w:rFonts w:asciiTheme="minorHAnsi" w:eastAsiaTheme="minorEastAsia" w:hAnsiTheme="minorHAnsi" w:cstheme="minorBidi"/>
          <w:sz w:val="22"/>
          <w:szCs w:val="22"/>
          <w:lang w:val="en-US" w:eastAsia="de-CH"/>
        </w:rPr>
        <w:tab/>
      </w:r>
      <w:r w:rsidRPr="00956100">
        <w:rPr>
          <w:lang w:val="en-US"/>
        </w:rPr>
        <w:t>Atmospherische Interaktion</w:t>
      </w:r>
      <w:r w:rsidRPr="00956100">
        <w:rPr>
          <w:lang w:val="en-US"/>
        </w:rPr>
        <w:tab/>
      </w:r>
      <w:r>
        <w:fldChar w:fldCharType="begin"/>
      </w:r>
      <w:r w:rsidRPr="00956100">
        <w:rPr>
          <w:lang w:val="en-US"/>
        </w:rPr>
        <w:instrText xml:space="preserve"> PAGEREF _Toc531888912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3.4.1</w:t>
      </w:r>
      <w:r w:rsidRPr="00956100">
        <w:rPr>
          <w:rFonts w:asciiTheme="minorHAnsi" w:eastAsiaTheme="minorEastAsia" w:hAnsiTheme="minorHAnsi" w:cstheme="minorBidi"/>
          <w:sz w:val="22"/>
          <w:szCs w:val="22"/>
          <w:lang w:val="en-US" w:eastAsia="de-CH"/>
        </w:rPr>
        <w:tab/>
      </w:r>
      <w:r w:rsidRPr="00956100">
        <w:rPr>
          <w:lang w:val="en-US"/>
        </w:rPr>
        <w:t>Rayleigh scattering</w:t>
      </w:r>
      <w:r w:rsidRPr="00956100">
        <w:rPr>
          <w:lang w:val="en-US"/>
        </w:rPr>
        <w:tab/>
      </w:r>
      <w:r>
        <w:fldChar w:fldCharType="begin"/>
      </w:r>
      <w:r w:rsidRPr="00956100">
        <w:rPr>
          <w:lang w:val="en-US"/>
        </w:rPr>
        <w:instrText xml:space="preserve"> PAGEREF _Toc531888913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3.4.2</w:t>
      </w:r>
      <w:r w:rsidRPr="00956100">
        <w:rPr>
          <w:rFonts w:asciiTheme="minorHAnsi" w:eastAsiaTheme="minorEastAsia" w:hAnsiTheme="minorHAnsi" w:cstheme="minorBidi"/>
          <w:sz w:val="22"/>
          <w:szCs w:val="22"/>
          <w:lang w:val="en-US" w:eastAsia="de-CH"/>
        </w:rPr>
        <w:tab/>
      </w:r>
      <w:r w:rsidRPr="00956100">
        <w:rPr>
          <w:lang w:val="en-US"/>
        </w:rPr>
        <w:t>Aerosol scattering and Absorption</w:t>
      </w:r>
      <w:r w:rsidRPr="00956100">
        <w:rPr>
          <w:lang w:val="en-US"/>
        </w:rPr>
        <w:tab/>
      </w:r>
      <w:r>
        <w:fldChar w:fldCharType="begin"/>
      </w:r>
      <w:r w:rsidRPr="00956100">
        <w:rPr>
          <w:lang w:val="en-US"/>
        </w:rPr>
        <w:instrText xml:space="preserve"> PAGEREF _Toc531888914 \h </w:instrText>
      </w:r>
      <w:r>
        <w:fldChar w:fldCharType="separate"/>
      </w:r>
      <w:r w:rsidRPr="00956100">
        <w:rPr>
          <w:lang w:val="en-US"/>
        </w:rPr>
        <w:t>14</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3.4.3</w:t>
      </w:r>
      <w:r w:rsidRPr="00956100">
        <w:rPr>
          <w:rFonts w:asciiTheme="minorHAnsi" w:eastAsiaTheme="minorEastAsia" w:hAnsiTheme="minorHAnsi" w:cstheme="minorBidi"/>
          <w:sz w:val="22"/>
          <w:szCs w:val="22"/>
          <w:lang w:val="en-US" w:eastAsia="de-CH"/>
        </w:rPr>
        <w:tab/>
      </w:r>
      <w:r w:rsidRPr="00956100">
        <w:rPr>
          <w:lang w:val="en-US"/>
        </w:rPr>
        <w:t>Gas and Absorption</w:t>
      </w:r>
      <w:r w:rsidRPr="00956100">
        <w:rPr>
          <w:lang w:val="en-US"/>
        </w:rPr>
        <w:tab/>
      </w:r>
      <w:r>
        <w:fldChar w:fldCharType="begin"/>
      </w:r>
      <w:r w:rsidRPr="00956100">
        <w:rPr>
          <w:lang w:val="en-US"/>
        </w:rPr>
        <w:instrText xml:space="preserve"> PAGEREF _Toc531888915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3.5</w:t>
      </w:r>
      <w:r w:rsidRPr="00956100">
        <w:rPr>
          <w:rFonts w:asciiTheme="minorHAnsi" w:eastAsiaTheme="minorEastAsia" w:hAnsiTheme="minorHAnsi" w:cstheme="minorBidi"/>
          <w:sz w:val="22"/>
          <w:szCs w:val="22"/>
          <w:lang w:val="en-US" w:eastAsia="de-CH"/>
        </w:rPr>
        <w:tab/>
      </w:r>
      <w:r w:rsidRPr="00956100">
        <w:rPr>
          <w:lang w:val="en-US"/>
        </w:rPr>
        <w:t>Direct Normal Irradiance</w:t>
      </w:r>
      <w:r w:rsidRPr="00956100">
        <w:rPr>
          <w:lang w:val="en-US"/>
        </w:rPr>
        <w:tab/>
      </w:r>
      <w:r>
        <w:fldChar w:fldCharType="begin"/>
      </w:r>
      <w:r w:rsidRPr="00956100">
        <w:rPr>
          <w:lang w:val="en-US"/>
        </w:rPr>
        <w:instrText xml:space="preserve"> PAGEREF _Toc531888916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3.6</w:t>
      </w:r>
      <w:r w:rsidRPr="00956100">
        <w:rPr>
          <w:rFonts w:asciiTheme="minorHAnsi" w:eastAsiaTheme="minorEastAsia" w:hAnsiTheme="minorHAnsi" w:cstheme="minorBidi"/>
          <w:sz w:val="22"/>
          <w:szCs w:val="22"/>
          <w:lang w:val="fr-CH" w:eastAsia="de-CH"/>
        </w:rPr>
        <w:tab/>
      </w:r>
      <w:r w:rsidRPr="00956100">
        <w:rPr>
          <w:lang w:val="fr-CH"/>
        </w:rPr>
        <w:t>Global horizontal Irradiance</w:t>
      </w:r>
      <w:r w:rsidRPr="00956100">
        <w:rPr>
          <w:lang w:val="fr-CH"/>
        </w:rPr>
        <w:tab/>
      </w:r>
      <w:r>
        <w:fldChar w:fldCharType="begin"/>
      </w:r>
      <w:r w:rsidRPr="00956100">
        <w:rPr>
          <w:lang w:val="fr-CH"/>
        </w:rPr>
        <w:instrText xml:space="preserve"> PAGEREF _Toc531888917 \h </w:instrText>
      </w:r>
      <w:r>
        <w:fldChar w:fldCharType="separate"/>
      </w:r>
      <w:r w:rsidRPr="00956100">
        <w:rPr>
          <w:lang w:val="fr-CH"/>
        </w:rPr>
        <w:t>15</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3.7</w:t>
      </w:r>
      <w:r w:rsidRPr="00956100">
        <w:rPr>
          <w:rFonts w:asciiTheme="minorHAnsi" w:eastAsiaTheme="minorEastAsia" w:hAnsiTheme="minorHAnsi" w:cstheme="minorBidi"/>
          <w:sz w:val="22"/>
          <w:szCs w:val="22"/>
          <w:lang w:val="fr-CH" w:eastAsia="de-CH"/>
        </w:rPr>
        <w:tab/>
      </w:r>
      <w:r w:rsidRPr="00956100">
        <w:rPr>
          <w:lang w:val="fr-CH"/>
        </w:rPr>
        <w:t>Diffuse Irradiance</w:t>
      </w:r>
      <w:r w:rsidRPr="00956100">
        <w:rPr>
          <w:lang w:val="fr-CH"/>
        </w:rPr>
        <w:tab/>
      </w:r>
      <w:r>
        <w:fldChar w:fldCharType="begin"/>
      </w:r>
      <w:r w:rsidRPr="00956100">
        <w:rPr>
          <w:lang w:val="fr-CH"/>
        </w:rPr>
        <w:instrText xml:space="preserve"> PAGEREF _Toc531888918 \h </w:instrText>
      </w:r>
      <w:r>
        <w:fldChar w:fldCharType="separate"/>
      </w:r>
      <w:r w:rsidRPr="00956100">
        <w:rPr>
          <w:lang w:val="fr-CH"/>
        </w:rPr>
        <w:t>16</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_Toc531888919 \h </w:instrText>
      </w:r>
      <w:r>
        <w:fldChar w:fldCharType="separate"/>
      </w:r>
      <w:r>
        <w:t>17</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3.9</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_Toc531888920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3.10</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_Toc531888921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3.11</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_Toc531888922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3.12</w:t>
      </w:r>
      <w:r>
        <w:rPr>
          <w:rFonts w:asciiTheme="minorHAnsi" w:eastAsiaTheme="minorEastAsia" w:hAnsiTheme="minorHAnsi" w:cstheme="minorBidi"/>
          <w:sz w:val="22"/>
          <w:szCs w:val="22"/>
          <w:lang w:val="de-CH" w:eastAsia="de-CH"/>
        </w:rPr>
        <w:tab/>
      </w:r>
      <w:r>
        <w:t>Optik und bildgebende Techniken</w:t>
      </w:r>
      <w:r>
        <w:tab/>
      </w:r>
      <w:r>
        <w:fldChar w:fldCharType="begin"/>
      </w:r>
      <w:r>
        <w:instrText xml:space="preserve"> PAGEREF _Toc531888923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_Toc531888924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_Toc531888925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_Toc531888926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_Toc531888927 \h </w:instrText>
      </w:r>
      <w:r>
        <w:fldChar w:fldCharType="separate"/>
      </w:r>
      <w:r>
        <w:t>22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3.13</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_Toc531888928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_Toc531888929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_Toc531888930 \h </w:instrText>
      </w:r>
      <w:r>
        <w:fldChar w:fldCharType="separate"/>
      </w:r>
      <w:r>
        <w:t>23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_Toc531888931 \h </w:instrText>
      </w:r>
      <w:r>
        <w:fldChar w:fldCharType="separate"/>
      </w:r>
      <w:r>
        <w:t>24</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_Toc531888932 \h </w:instrText>
      </w:r>
      <w:r>
        <w:fldChar w:fldCharType="separate"/>
      </w:r>
      <w:r>
        <w:t>24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_Toc531888933 \h </w:instrText>
      </w:r>
      <w:r>
        <w:fldChar w:fldCharType="separate"/>
      </w:r>
      <w:r>
        <w:t>25</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lastRenderedPageBreak/>
        <w:t>6</w:t>
      </w:r>
      <w:r>
        <w:rPr>
          <w:rFonts w:asciiTheme="minorHAnsi" w:eastAsiaTheme="minorEastAsia" w:hAnsiTheme="minorHAnsi" w:cstheme="minorBidi"/>
          <w:b w:val="0"/>
          <w:sz w:val="22"/>
          <w:szCs w:val="22"/>
          <w:lang w:val="de-CH" w:eastAsia="de-CH"/>
        </w:rPr>
        <w:tab/>
      </w:r>
      <w:r>
        <w:t>Stand der Technik</w:t>
      </w:r>
      <w:r>
        <w:tab/>
      </w:r>
      <w:r>
        <w:fldChar w:fldCharType="begin"/>
      </w:r>
      <w:r>
        <w:instrText xml:space="preserve"> PAGEREF _Toc531888934 \h </w:instrText>
      </w:r>
      <w:r>
        <w:fldChar w:fldCharType="separate"/>
      </w:r>
      <w:r>
        <w:t>27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A: Beispiele für die Gliederung von Abschlussarbeiten</w:t>
      </w:r>
      <w:r>
        <w:tab/>
      </w:r>
      <w:r>
        <w:fldChar w:fldCharType="begin"/>
      </w:r>
      <w:r>
        <w:instrText xml:space="preserve"> PAGEREF _Toc531888935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_Toc531888936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_Toc531888937 \h </w:instrText>
      </w:r>
      <w:r>
        <w:fldChar w:fldCharType="separate"/>
      </w:r>
      <w:r>
        <w:t>28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_Toc531888938 \h </w:instrText>
      </w:r>
      <w:r>
        <w:fldChar w:fldCharType="separate"/>
      </w:r>
      <w:r>
        <w:t>29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_Toc531888939 \h </w:instrText>
      </w:r>
      <w:r>
        <w:fldChar w:fldCharType="separate"/>
      </w:r>
      <w:r>
        <w:t>30</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Quellenverzeichnis</w:t>
      </w:r>
      <w:r>
        <w:tab/>
      </w:r>
      <w:r>
        <w:fldChar w:fldCharType="begin"/>
      </w:r>
      <w:r>
        <w:instrText xml:space="preserve"> PAGEREF _Toc531888940 \h </w:instrText>
      </w:r>
      <w:r>
        <w:fldChar w:fldCharType="separate"/>
      </w:r>
      <w:r>
        <w:t>31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_Toc531888941 \h </w:instrText>
      </w:r>
      <w:r>
        <w:fldChar w:fldCharType="separate"/>
      </w:r>
      <w:r>
        <w:t>32</w:t>
      </w:r>
      <w:r>
        <w:fldChar w:fldCharType="end"/>
      </w:r>
    </w:p>
    <w:p w:rsidR="00284FA6" w:rsidRDefault="00284FA6">
      <w:pPr>
        <w:pStyle w:val="berschrift1"/>
        <w:numPr>
          <w:ilvl w:val="0"/>
          <w:numId w:val="0"/>
        </w:numPr>
      </w:pPr>
      <w:r>
        <w:rPr>
          <w:noProof/>
          <w:sz w:val="24"/>
        </w:rPr>
        <w:lastRenderedPageBreak/>
        <w:fldChar w:fldCharType="end"/>
      </w:r>
      <w:bookmarkStart w:id="6" w:name="_Toc531888902"/>
      <w:r>
        <w:t>Abbildungsverzeichnis</w:t>
      </w:r>
      <w:bookmarkEnd w:id="6"/>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"Abbildung" </w:instrText>
      </w:r>
      <w:r>
        <w:fldChar w:fldCharType="separate"/>
      </w:r>
      <w:r w:rsidR="00824316">
        <w:t>Abbildung 1: Verbinden eines Textteils mit einer Formatvorlage</w:t>
      </w:r>
      <w:r w:rsidR="00824316">
        <w:tab/>
      </w:r>
      <w:r w:rsidR="00824316">
        <w:fldChar w:fldCharType="begin"/>
      </w:r>
      <w:r w:rsidR="00824316">
        <w:instrText xml:space="preserve"> PAGEREF _Toc493178515 \h </w:instrText>
      </w:r>
      <w:r w:rsidR="00824316">
        <w:fldChar w:fldCharType="separate"/>
      </w:r>
      <w:r w:rsidR="00824316">
        <w:t>23</w:t>
      </w:r>
      <w:r w:rsidR="00824316">
        <w:fldChar w:fldCharType="end"/>
      </w:r>
    </w:p>
    <w:p w:rsidR="00824316" w:rsidRDefault="00824316">
      <w:pPr>
        <w:pStyle w:val="Abbildungsverzeichnis"/>
        <w:rPr>
          <w:rFonts w:asciiTheme="minorHAnsi" w:eastAsiaTheme="minorEastAsia" w:hAnsiTheme="minorHAnsi" w:cstheme="minorBidi"/>
          <w:sz w:val="22"/>
          <w:szCs w:val="22"/>
        </w:rPr>
      </w:pPr>
      <w:r>
        <w:t>Abbildung 2: Verschiedene Schriftarten</w:t>
      </w:r>
      <w:r>
        <w:tab/>
      </w:r>
      <w:r>
        <w:fldChar w:fldCharType="begin"/>
      </w:r>
      <w:r>
        <w:instrText xml:space="preserve"> PAGEREF _Toc493178516 \h </w:instrText>
      </w:r>
      <w:r>
        <w:fldChar w:fldCharType="separate"/>
      </w:r>
      <w:r>
        <w:t>24</w:t>
      </w:r>
      <w:r>
        <w:fldChar w:fldCharType="end"/>
      </w:r>
    </w:p>
    <w:p w:rsidR="00824316" w:rsidRDefault="00824316">
      <w:pPr>
        <w:pStyle w:val="Abbildungsverzeichnis"/>
        <w:rPr>
          <w:rFonts w:asciiTheme="minorHAnsi" w:eastAsiaTheme="minorEastAsia" w:hAnsiTheme="minorHAnsi" w:cstheme="minorBidi"/>
          <w:sz w:val="22"/>
          <w:szCs w:val="22"/>
        </w:rPr>
      </w:pPr>
      <w:r>
        <w:t>Abbildung 3: Einfügen von Beschriftungen</w:t>
      </w:r>
      <w:r>
        <w:tab/>
      </w:r>
      <w:r>
        <w:fldChar w:fldCharType="begin"/>
      </w:r>
      <w:r>
        <w:instrText xml:space="preserve"> PAGEREF _Toc493178517 \h </w:instrText>
      </w:r>
      <w:r>
        <w:fldChar w:fldCharType="separate"/>
      </w:r>
      <w:r>
        <w:t>26</w:t>
      </w:r>
      <w:r>
        <w:fldChar w:fldCharType="end"/>
      </w:r>
    </w:p>
    <w:p w:rsidR="00824316" w:rsidRDefault="00824316">
      <w:pPr>
        <w:pStyle w:val="Abbildungsverzeichnis"/>
        <w:rPr>
          <w:rFonts w:asciiTheme="minorHAnsi" w:eastAsiaTheme="minorEastAsia" w:hAnsiTheme="minorHAnsi" w:cstheme="minorBidi"/>
          <w:sz w:val="22"/>
          <w:szCs w:val="22"/>
        </w:rPr>
      </w:pPr>
      <w:r>
        <w:t>Abbildung 4: Einfügen eines Querverweises auf eine Abbildung</w:t>
      </w:r>
      <w:r>
        <w:tab/>
      </w:r>
      <w:r>
        <w:fldChar w:fldCharType="begin"/>
      </w:r>
      <w:r>
        <w:instrText xml:space="preserve"> PAGEREF _Toc493178518 \h </w:instrText>
      </w:r>
      <w:r>
        <w:fldChar w:fldCharType="separate"/>
      </w:r>
      <w:r>
        <w:t>27</w:t>
      </w:r>
      <w:r>
        <w:fldChar w:fldCharType="end"/>
      </w:r>
    </w:p>
    <w:p w:rsidR="00824316" w:rsidRDefault="00824316">
      <w:pPr>
        <w:pStyle w:val="Abbildungsverzeichnis"/>
        <w:rPr>
          <w:rFonts w:asciiTheme="minorHAnsi" w:eastAsiaTheme="minorEastAsia" w:hAnsiTheme="minorHAnsi" w:cstheme="minorBidi"/>
          <w:sz w:val="22"/>
          <w:szCs w:val="22"/>
        </w:rPr>
      </w:pPr>
      <w:r>
        <w:t>Abbildung 5: Formatierung von Nummerierungen, Aufzählungen und Einrückungen</w:t>
      </w:r>
      <w:r>
        <w:tab/>
      </w:r>
      <w:r>
        <w:fldChar w:fldCharType="begin"/>
      </w:r>
      <w:r>
        <w:instrText xml:space="preserve"> PAGEREF _Toc493178519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1888903"/>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1888904"/>
      <w:r>
        <w:t>Abkürzungsverzeichnis</w:t>
      </w:r>
      <w:bookmarkEnd w:id="8"/>
    </w:p>
    <w:p w:rsidR="00194AF7" w:rsidRDefault="00194AF7" w:rsidP="005F576C">
      <w:pPr>
        <w:tabs>
          <w:tab w:val="left" w:pos="1440"/>
        </w:tabs>
      </w:pPr>
      <w:bookmarkStart w:id="9" w:name="_Toc531888905"/>
      <w:r>
        <w:t>Sonnenstrahlung</w:t>
      </w:r>
    </w:p>
    <w:p w:rsidR="00194AF7" w:rsidRDefault="00194AF7" w:rsidP="00194AF7">
      <w:pPr>
        <w:tabs>
          <w:tab w:val="left" w:pos="1440"/>
        </w:tabs>
      </w:pPr>
      <w:r>
        <w:t>AM</w:t>
      </w:r>
      <w:r>
        <w:tab/>
      </w:r>
      <w:r>
        <w:t xml:space="preserve">Air Mass </w:t>
      </w:r>
      <w:bookmarkStart w:id="10" w:name="_GoBack"/>
      <w:bookmarkEnd w:id="10"/>
    </w:p>
    <w:p w:rsidR="00194AF7" w:rsidRDefault="00194AF7" w:rsidP="005F576C">
      <w:pPr>
        <w:tabs>
          <w:tab w:val="left" w:pos="1440"/>
        </w:tabs>
      </w:pPr>
    </w:p>
    <w:p w:rsidR="005F576C" w:rsidRDefault="005F576C" w:rsidP="005F576C">
      <w:pPr>
        <w:tabs>
          <w:tab w:val="left" w:pos="1440"/>
        </w:tabs>
      </w:pPr>
      <w:r>
        <w:t>Bild bezogen</w:t>
      </w:r>
    </w:p>
    <w:p w:rsidR="005F576C" w:rsidRDefault="005F576C" w:rsidP="005F576C">
      <w:pPr>
        <w:tabs>
          <w:tab w:val="left" w:pos="1440"/>
        </w:tabs>
      </w:pPr>
      <w:r>
        <w:t>HDR</w:t>
      </w:r>
      <w:r>
        <w:tab/>
        <w:t>high dynamic range</w:t>
      </w:r>
    </w:p>
    <w:p w:rsidR="005F576C" w:rsidRDefault="005F576C" w:rsidP="005F576C">
      <w:pPr>
        <w:tabs>
          <w:tab w:val="left" w:pos="1440"/>
        </w:tabs>
        <w:spacing w:before="0"/>
      </w:pPr>
      <w:r>
        <w:t>RGB</w:t>
      </w:r>
      <w:r>
        <w:tab/>
        <w:t>rot, grün, blau - Farbraum</w:t>
      </w:r>
    </w:p>
    <w:p w:rsidR="005F576C" w:rsidRDefault="005F576C" w:rsidP="005F576C">
      <w:pPr>
        <w:tabs>
          <w:tab w:val="left" w:pos="1440"/>
        </w:tabs>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284FA6">
      <w:pPr>
        <w:pStyle w:val="berschrift1"/>
        <w:numPr>
          <w:ilvl w:val="0"/>
          <w:numId w:val="0"/>
        </w:numPr>
      </w:pPr>
      <w:r>
        <w:lastRenderedPageBreak/>
        <w:t>Vorwort</w:t>
      </w:r>
      <w:bookmarkEnd w:id="9"/>
    </w:p>
    <w:p w:rsidR="005813A7" w:rsidRPr="00486AA1" w:rsidRDefault="005813A7" w:rsidP="005813A7">
      <w:bookmarkStart w:id="11" w:name="_Ref490562273"/>
      <w:bookmarkStart w:id="12" w:name="_Toc53188890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 xml:space="preserve">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 gibt es (http://www.fulcrum3d.com/index.php/cloudcam/technology/), ist aber auf den professionellen Einsatz von Wetterdiensten ausgerichtet. Dieses Produkt ist nicht geeignet für die Eigenverbrauchsoptimierung in Eigenheimen, da die Kosten zu hoch sind. </w:t>
      </w:r>
    </w:p>
    <w:p w:rsidR="005813A7" w:rsidRPr="00486AA1" w:rsidRDefault="005813A7" w:rsidP="005813A7">
      <w:r w:rsidRPr="00486AA1">
        <w:t>In dieser Master Thesis soll deshalb eine kostengünstige Variante eines «Kurzzeitwettervorhersagers» entwickelt werden. Das Gerät soll über handelsübliche Komponenten verfügen (z.B. RaspberryPi mit einer Webcam),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284FA6" w:rsidRDefault="005813A7">
      <w:pPr>
        <w:pStyle w:val="berschrift1"/>
      </w:pPr>
      <w:r>
        <w:lastRenderedPageBreak/>
        <w:t>Einleitung</w:t>
      </w:r>
      <w:bookmarkEnd w:id="11"/>
      <w:bookmarkEnd w:id="12"/>
    </w:p>
    <w:p w:rsidR="005813A7" w:rsidRDefault="005813A7" w:rsidP="005813A7">
      <w:pPr>
        <w:pStyle w:val="berschrift2"/>
      </w:pPr>
      <w:r>
        <w:t>Motivation</w:t>
      </w:r>
    </w:p>
    <w:p w:rsidR="005813A7" w:rsidRPr="00486AA1" w:rsidRDefault="005813A7" w:rsidP="005813A7">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3" w:name="_Ref491749133"/>
      <w:bookmarkStart w:id="14" w:name="_Ref491749190"/>
      <w:bookmarkStart w:id="15" w:name="_Toc531685098"/>
      <w:r>
        <w:lastRenderedPageBreak/>
        <w:t>Ziel</w:t>
      </w:r>
      <w:bookmarkEnd w:id="13"/>
      <w:bookmarkEnd w:id="14"/>
      <w:bookmarkEnd w:id="15"/>
      <w:r>
        <w:t>setzung</w:t>
      </w:r>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CD6A38" w:rsidRDefault="00CD6A38">
      <w:pPr>
        <w:spacing w:before="0" w:line="240" w:lineRule="auto"/>
        <w:jc w:val="left"/>
      </w:pPr>
      <w:r>
        <w:br w:type="page"/>
      </w:r>
    </w:p>
    <w:p w:rsidR="00CD6A38" w:rsidRDefault="0099695C" w:rsidP="00CD6A38">
      <w:pPr>
        <w:pStyle w:val="berschrift1"/>
      </w:pPr>
      <w:bookmarkStart w:id="16" w:name="_Toc531888908"/>
      <w:r>
        <w:lastRenderedPageBreak/>
        <w:t>Solare Strahlung</w:t>
      </w:r>
      <w:bookmarkEnd w:id="16"/>
    </w:p>
    <w:p w:rsidR="00C15D95" w:rsidRDefault="00DF5BCB" w:rsidP="00DF5BCB">
      <w:r>
        <w:t xml:space="preserve">Das Vakuum des Weltalls lässt die Sonnenstrahlen ungebremst bis zur oberen Atmosphäre der Erde gelangen. </w:t>
      </w:r>
      <w:r w:rsidR="003647EE">
        <w:t xml:space="preserve">Erst beim Eintritt in die Erdatmosphäre </w:t>
      </w:r>
      <w:r>
        <w:t xml:space="preserve">wird die Sonnenstrahlung durch unterschiedliche Faktoren abgeschwächt.  </w:t>
      </w:r>
      <w:r w:rsidR="00BF4C16">
        <w:t xml:space="preserve">Dazu gehören Reflexionen an der Atmosphäre oder die Absorption von unterschiedliche Gase in der Atmosphäre. </w:t>
      </w:r>
      <w:r w:rsidR="007529F4">
        <w:t xml:space="preserve">Zudem erhöhen </w:t>
      </w:r>
      <w:r w:rsidR="00BF4C16">
        <w:t xml:space="preserve">Rayleigh und Mie-Streuung </w:t>
      </w:r>
      <w:r w:rsidR="007529F4">
        <w:t>weiter die Reduktion der Bestrahlstärke.</w:t>
      </w:r>
    </w:p>
    <w:p w:rsidR="00C15D95" w:rsidRDefault="00C15D95" w:rsidP="00337F61">
      <w:pPr>
        <w:jc w:val="left"/>
      </w:pPr>
      <w:r>
        <w:t>Rayleigh-Streuung entsteht durch Reflexionen des Lichts an den molekularen Bestandteilen der Luft. Dabei nimmt der Einfluss der Rayleigh-Streuung mit abnehmender Wellenlänge des Lichtes zu.</w:t>
      </w:r>
      <w:r w:rsidR="00337F61">
        <w:t xml:space="preserve"> Die </w:t>
      </w:r>
      <w:r w:rsidR="00D4321E">
        <w:t>Mie-Streu</w:t>
      </w:r>
      <w:r>
        <w:t>ng</w:t>
      </w:r>
      <w:r w:rsidR="00337F61">
        <w:t xml:space="preserve"> dagegen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Beispiel Höhe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C15D95" w:rsidRDefault="00C15D95" w:rsidP="00DF5BCB"/>
    <w:p w:rsidR="00DF5BCB" w:rsidRDefault="001B3225" w:rsidP="001B3225">
      <w:pPr>
        <w:pStyle w:val="berschrift2"/>
      </w:pPr>
      <w:r>
        <w:t>Strahlungsangebot der Sonne</w:t>
      </w:r>
    </w:p>
    <w:p w:rsidR="001B3225" w:rsidRPr="008A65C5" w:rsidRDefault="001B3225" w:rsidP="001B3225">
      <w:pPr>
        <w:jc w:val="left"/>
        <w:rPr>
          <w:i/>
          <w:color w:val="FF0000"/>
        </w:rPr>
      </w:pPr>
      <w:r w:rsidRPr="008A65C5">
        <w:rPr>
          <w:i/>
          <w:color w:val="FF0000"/>
        </w:rPr>
        <w:t>Buch: Solar and infrared measurements Kap. 2.11 Seite 25 unten</w:t>
      </w:r>
      <w:r w:rsidRPr="008A65C5">
        <w:rPr>
          <w:i/>
          <w:color w:val="FF0000"/>
        </w:rPr>
        <w:br/>
        <w:t>Buch Regenerative Energietechnik Kap 3.1 [Viktor Wesselak] Strahlungsangebot der Sonne</w:t>
      </w:r>
    </w:p>
    <w:p w:rsidR="001B3225" w:rsidRDefault="001B3225" w:rsidP="001B3225">
      <w:r>
        <w:t xml:space="preserve">Die Sonne wird zu den mittelgrossen Sternen gezählt. In ihrem Innern, finden Kernfusionprozesse statt, bei welcher Wasserstoffatome zu Helium kombiniert werden. </w:t>
      </w:r>
      <w:r w:rsidRPr="00AF5960">
        <w:t xml:space="preserve">Dabei wird elektromagnetische sowie Materiestrahlung freigesetzt. Der </w:t>
      </w:r>
      <w:r w:rsidR="00853009">
        <w:t>Energietransport vom Kern nach A</w:t>
      </w:r>
      <w:r w:rsidRPr="00AF5960">
        <w:t xml:space="preserve">ussen erfolgt zunächst durch Strahlung, insbesondere im Röntgen- und </w:t>
      </w:r>
      <m:oMath>
        <m:r>
          <w:rPr>
            <w:rFonts w:ascii="Cambria Math" w:hAnsi="Cambria Math"/>
          </w:rPr>
          <m:t>γ</m:t>
        </m:r>
      </m:oMath>
      <w:r w:rsidRPr="00AF5960">
        <w:t>-Bereich des Spektrums, d.h. über sehr energiereiche Photonen [ ].</w:t>
      </w:r>
      <w:r>
        <w:rPr>
          <w:lang w:eastAsia="de-CH"/>
        </w:rPr>
        <w:t xml:space="preserve"> </w:t>
      </w:r>
      <w:r>
        <w:rPr>
          <w:lang w:eastAsia="de-CH"/>
        </w:rPr>
        <w:br/>
      </w:r>
    </w:p>
    <w:p w:rsidR="001B3225" w:rsidRPr="00DA2BAE" w:rsidRDefault="001B3225" w:rsidP="001B3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r w:rsidRPr="00DA2BAE">
        <w:rPr>
          <w:lang w:eastAsia="de-CH"/>
        </w:rPr>
        <w:t>Die Schwerkraft hält die Sonne davon ab, auseinander zu blasen, und der nukleare Fusionszyklus hat die Sonne strahlende Energie in den Raum gebracht ziemlich konstante Rate für Milliarden von Jahren Die effektive Temperatur von</w:t>
      </w:r>
    </w:p>
    <w:p w:rsidR="001B3225" w:rsidRDefault="001B3225" w:rsidP="001B3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r w:rsidRPr="00DA2BAE">
        <w:rPr>
          <w:lang w:eastAsia="de-CH"/>
        </w:rPr>
        <w:t>die Sonne ist 5778 K (5505 ° C oder 9941 ° F) Das bedeutet, dass die Sonne ähnlich strahlt, wenn auch nicht genau wie ein schwarzer Körper auf 5778 K. Die Erde ist in einer leicht elliptischen Umlaufbahn mit einer durchschnittlichen Trennung von 149.598.106 km (92.955.888 Meilen) von der Sonne Da die Strahlungsenergieintensität proportional zur Umkehrung der von der Quelle quadrierten Distanz abnimmt, ist die Erdoberflächentemperatur viel kühler als die Sonne mit einer mittleren Temperatur von etwa 287 K ( 14 ° C oder 57 ° F) Beachten Sie, dass die Erde ohne den Treibhauseffekt der Erdatmosphäre noch kühler wäre</w:t>
      </w:r>
      <w:r>
        <w:rPr>
          <w:lang w:eastAsia="de-CH"/>
        </w:rPr>
        <w:t>.</w:t>
      </w:r>
    </w:p>
    <w:p w:rsidR="001B3225" w:rsidRPr="001B3225" w:rsidRDefault="001B3225" w:rsidP="001B3225"/>
    <w:p w:rsidR="00573F73" w:rsidRDefault="00573F73"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573F73" w:rsidRDefault="000D0CE1" w:rsidP="0099695C">
      <w:pPr>
        <w:pStyle w:val="berschrift2"/>
      </w:pPr>
      <w:bookmarkStart w:id="17" w:name="_Toc531888910"/>
      <w:r w:rsidRPr="000D0CE1">
        <w:t>Extraterrestrische Strahlung</w:t>
      </w:r>
      <w:bookmarkEnd w:id="17"/>
    </w:p>
    <w:p w:rsidR="002F36E1" w:rsidRDefault="002F36E1" w:rsidP="002F36E1">
      <w:pPr>
        <w:rPr>
          <w:i/>
        </w:rPr>
      </w:pPr>
      <w:r w:rsidRPr="006F6078">
        <w:rPr>
          <w:i/>
        </w:rPr>
        <w:t>Buch: Solar and infrared measurements Kap. 2.</w:t>
      </w:r>
      <w:r>
        <w:rPr>
          <w:i/>
        </w:rPr>
        <w:t>3</w:t>
      </w:r>
      <w:r w:rsidRPr="006F6078">
        <w:rPr>
          <w:i/>
        </w:rPr>
        <w:t xml:space="preserve"> Seite 25</w:t>
      </w:r>
    </w:p>
    <w:p w:rsidR="002F36E1" w:rsidRPr="002F36E1" w:rsidRDefault="002F36E1" w:rsidP="002F36E1">
      <w:pPr>
        <w:rPr>
          <w:i/>
        </w:rPr>
      </w:pPr>
      <w:r w:rsidRPr="002F36E1">
        <w:rPr>
          <w:i/>
        </w:rPr>
        <w:t>https://tu-dresden.de/bu/umwelt/geo/ipf/fern/studium/tutorial/atmosphaerische-korrekturen/folder-2008-04-07-5554546418/2008-10-28.002004101</w:t>
      </w:r>
    </w:p>
    <w:p w:rsidR="002F36E1" w:rsidRDefault="002F36E1"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
        <w:t>Extraterrestrische Strahlung oder Solarkonstante nennt man den außerhalb der Erdatmosphäre gemessenen Strahlungsstrom. Er beträgt S0 = 1370 W/m² und ist über längere Zeit betrachtet konstant.</w:t>
      </w:r>
    </w:p>
    <w:p w:rsidR="00B17F93" w:rsidRDefault="00B17F9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Solar radiation incident just above the earth’s atmosphere is called extraterrestrial radiation  On average the accepted extraterrestrial irradiance is 1366 watts/meter2 (Wm−2)  The solar output, called the total solar irradiance (TSI), varies by about 0 1% in proportion to the changing number of sunspots over the 11-year solar cycle  The term TSI is now used to refer to the extraterrestrial radiation instead of the previ-</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ously used term solar constant (I0), an acknowledgment of the very slight variation in the sun’s output  The absolute accuracy to which the TSI can be measured is around ±0 5% (Fröhlich, 2006)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The eccentricity of the earth’s elliptical orbit is 0 0167 and results in the earth being closest to the sun (perihelion) in early January and fa</w:t>
      </w:r>
      <w:r w:rsidR="00F65BAD" w:rsidRPr="00A05CF4">
        <w:rPr>
          <w:lang w:val="en-US" w:eastAsia="de-CH"/>
        </w:rPr>
        <w:t>rthest from the sun (aph</w:t>
      </w:r>
      <w:r w:rsidRPr="00A05CF4">
        <w:rPr>
          <w:lang w:val="en-US" w:eastAsia="de-CH"/>
        </w:rPr>
        <w:t xml:space="preserve">elion) in early July  The earth and the sun are 1 67% closer at perihelion and 1 67% farther  apart  at  aphelion  than  their  mean  separation   Since  the  solar  intensity  is inversely proportional to the square of the distance from the sun, the extraterrestrial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irradiance impinging on the earth varies over a range of 6 7% as the earth orbits the sun  The extraterrestrial irradiance outside the earth’s atmosphere on a surface normal to the sun is  DNIo = Io </w:t>
      </w:r>
      <w:r w:rsidRPr="00A05CF4">
        <w:rPr>
          <w:rFonts w:ascii="Cambria Math" w:hAnsi="Cambria Math" w:cs="Cambria Math"/>
          <w:lang w:val="en-US" w:eastAsia="de-CH"/>
        </w:rPr>
        <w:t>⋅</w:t>
      </w:r>
      <w:r w:rsidRPr="00A05CF4">
        <w:rPr>
          <w:lang w:val="en-US" w:eastAsia="de-CH"/>
        </w:rPr>
        <w:t xml:space="preserve">(Rav /R)2[Wm−2 ]   (2 1)where Rav is the mean sun–earth distance, and R is the actual sun–earth distance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depending on the day of the year  An approximate equation for (Rav/R)2 is</w:t>
      </w:r>
      <w:r w:rsidR="00F65BAD" w:rsidRPr="00A05CF4">
        <w:rPr>
          <w:lang w:val="en-US" w:eastAsia="de-CH"/>
        </w:rPr>
        <w:t xml:space="preserve"> </w:t>
      </w:r>
      <w:r w:rsidRPr="00A05CF4">
        <w:rPr>
          <w:lang w:val="en-US" w:eastAsia="de-CH"/>
        </w:rPr>
        <w:t xml:space="preserve">where  </w:t>
      </w:r>
      <w:r w:rsidRPr="00573F73">
        <w:rPr>
          <w:lang w:val="de-CH" w:eastAsia="de-CH"/>
        </w:rPr>
        <w:t>β</w:t>
      </w:r>
      <w:r w:rsidRPr="00A05CF4">
        <w:rPr>
          <w:lang w:val="en-US" w:eastAsia="de-CH"/>
        </w:rPr>
        <w:t xml:space="preserve">  = 2</w:t>
      </w:r>
      <w:r w:rsidRPr="00573F73">
        <w:rPr>
          <w:lang w:val="de-CH" w:eastAsia="de-CH"/>
        </w:rPr>
        <w:t>π</w:t>
      </w:r>
      <w:r w:rsidRPr="00A05CF4">
        <w:rPr>
          <w:lang w:val="en-US" w:eastAsia="de-CH"/>
        </w:rPr>
        <w:t>d/365 radians, and d is the day of the</w:t>
      </w:r>
      <w:r w:rsidR="00F65BAD" w:rsidRPr="00A05CF4">
        <w:rPr>
          <w:lang w:val="en-US" w:eastAsia="de-CH"/>
        </w:rPr>
        <w:t xml:space="preserve"> year (Spencer, 1971)  For exam</w:t>
      </w:r>
      <w:r w:rsidRPr="00A05CF4">
        <w:rPr>
          <w:lang w:val="en-US" w:eastAsia="de-CH"/>
        </w:rPr>
        <w:t>ple, January 15 is the fifteenth day of the year, and February 15 is the forty-sixth day of the year  Since there are 366 days in a leap year, there is a slight difference in the calculation in leap years  To calculate the extraterrestrial global horizontal irradiance, DNIo is multiplied by the cosine of the solar zenith angle (see Figure 2 6)</w:t>
      </w:r>
    </w:p>
    <w:p w:rsidR="00924E99" w:rsidRPr="00A05CF4" w:rsidRDefault="00924E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F43932" w:rsidRPr="00A05CF4" w:rsidRDefault="00F43932" w:rsidP="00F43932">
      <w:pPr>
        <w:rPr>
          <w:lang w:val="en-US"/>
        </w:rPr>
      </w:pPr>
    </w:p>
    <w:p w:rsidR="00F43932" w:rsidRPr="00A05CF4" w:rsidRDefault="00F43932"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9363B9" w:rsidRPr="009363B9" w:rsidRDefault="009363B9" w:rsidP="0099695C">
      <w:pPr>
        <w:pStyle w:val="berschrift2"/>
      </w:pPr>
      <w:bookmarkStart w:id="18" w:name="_Toc531888911"/>
      <w:r w:rsidRPr="009363B9">
        <w:t>Spektrale Eigenschaft der Sonnenstrahlung</w:t>
      </w:r>
      <w:bookmarkEnd w:id="18"/>
    </w:p>
    <w:p w:rsidR="009363B9" w:rsidRDefault="009363B9" w:rsidP="009363B9">
      <w:pPr>
        <w:rPr>
          <w:i/>
        </w:rPr>
      </w:pPr>
      <w:r w:rsidRPr="006F6078">
        <w:rPr>
          <w:i/>
        </w:rPr>
        <w:t>Buch: Solar and infrared measurements Kap. 2.</w:t>
      </w:r>
      <w:r>
        <w:rPr>
          <w:i/>
        </w:rPr>
        <w:t>11 Seite 42</w:t>
      </w:r>
    </w:p>
    <w:p w:rsidR="00D668E0" w:rsidRPr="00A05CF4" w:rsidRDefault="00D668E0" w:rsidP="00D66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The ultimate source of the sun’s radiative energy is the fusion of hydrogen atoms in the sun’s core  This energy propagates to the surface through a series of absorption and re-emission processes finally reaching the visible part of the sun’s surface, the photosphere, after tens of thousands of years  The spectral distribution of the sun’s radiation is similar to that of a black body that is heated to the temperature of 5778 K  That is, the amount of radiation varies with the wavelength as shown in Figure 2 14  The majority of solar irradiance is between 300 nm and 3,000 nm  The absorption of some solar radiation by the ions in the chromosphere of the sun results in absorption lines in the extraterrestrial solar spectrum  The effect of these ions can be seen in the solar spectrum in Figure 2 14, especially for wavelengths  below about 700 nm The  spectral  distribution  of  incident  solar  radiation  spans  a  large  range  of wavelengths  from  the  ultraviolet  to  the  infrared  with  the  peak  around  500  nm  Approximately 47% of the incident extraterrestrial solar radiation is in the visible wavelengths from 380 nm to 780 nm  The infrared portion of the spectrum with wavelengths greater than 780 nm accounts for another 46% of the incident energy </w:t>
      </w:r>
    </w:p>
    <w:p w:rsidR="00D668E0" w:rsidRPr="00A05CF4" w:rsidRDefault="00D668E0" w:rsidP="00D66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and the ultraviolet portion of the spectrum below 380 nm accounts for 7% of the extraterrestrial solar radiation As the sunlight passes through the atmosphere, a large portion of the ultraviolet </w:t>
      </w:r>
      <w:r w:rsidR="00A32299" w:rsidRPr="00A05CF4">
        <w:rPr>
          <w:lang w:val="en-US" w:eastAsia="de-CH"/>
        </w:rPr>
        <w:t xml:space="preserve"> </w:t>
      </w:r>
      <w:r w:rsidRPr="00A05CF4">
        <w:rPr>
          <w:lang w:val="en-US" w:eastAsia="de-CH"/>
        </w:rPr>
        <w:t>(UV) radiation is absorbed and scattered  Air molecules scatter the shorter wave-</w:t>
      </w:r>
      <w:r w:rsidR="00A32299" w:rsidRPr="00A05CF4">
        <w:rPr>
          <w:lang w:val="en-US" w:eastAsia="de-CH"/>
        </w:rPr>
        <w:t xml:space="preserve"> </w:t>
      </w:r>
      <w:r w:rsidRPr="00A05CF4">
        <w:rPr>
          <w:lang w:val="en-US" w:eastAsia="de-CH"/>
        </w:rPr>
        <w:t>lengths more strongly than the longer wavelengths  On days with few clouds, the preferential scattering of blue light by air molecules is the reason the sky appears blue  Water vapor and atmospheric aerosols further reduce the amount of direct sun-</w:t>
      </w:r>
    </w:p>
    <w:p w:rsidR="00A32299" w:rsidRPr="00A05CF4" w:rsidRDefault="00D668E0" w:rsidP="00A32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light passing through the atmosphere  The information in Table 2 1 shows that on a clear day approximately 76% of the extraterrestrial direct normal irradiance passes through the atmosphere without being scattered or absorbed  The magnitude of the scattering and absorbing are about equal under these idealized conditions Many  molecules  selectively  scatter  or  absorb  radiation  in  specific  wavelength regions, creating large variations in the solar spectrum as measured at the earth’s surface (Figure 2 15)  The abundance of the atmospheric constituents along the sun-light’s path determines the depth of these absorption regions  Therefore, the solar spectrum depends on the length of the path through the atmosphere and the density</w:t>
      </w:r>
      <w:r w:rsidR="00A32299" w:rsidRPr="00A05CF4">
        <w:rPr>
          <w:lang w:val="en-US" w:eastAsia="de-CH"/>
        </w:rPr>
        <w:t xml:space="preserve"> of the molecules along this path  Said another way, the atmosphere is a highly vari-</w:t>
      </w:r>
    </w:p>
    <w:p w:rsidR="009363B9" w:rsidRPr="00A05CF4" w:rsidRDefault="00A32299" w:rsidP="00A32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able filter affecting the amounts of solar irradiance reaching the surface at any given time and place.</w:t>
      </w:r>
    </w:p>
    <w:p w:rsidR="00924E99" w:rsidRDefault="009363B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r>
        <w:rPr>
          <w:noProof/>
          <w:lang w:val="de-CH" w:eastAsia="de-CH"/>
        </w:rPr>
        <w:lastRenderedPageBreak/>
        <w:drawing>
          <wp:inline distT="0" distB="0" distL="0" distR="0">
            <wp:extent cx="2877835" cy="2126801"/>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072" cy="2130671"/>
                    </a:xfrm>
                    <a:prstGeom prst="rect">
                      <a:avLst/>
                    </a:prstGeom>
                    <a:noFill/>
                    <a:ln>
                      <a:noFill/>
                    </a:ln>
                  </pic:spPr>
                </pic:pic>
              </a:graphicData>
            </a:graphic>
          </wp:inline>
        </w:drawing>
      </w:r>
    </w:p>
    <w:p w:rsidR="00F43932" w:rsidRDefault="00F43932" w:rsidP="00F43932">
      <w:pPr>
        <w:pStyle w:val="berschrift2"/>
      </w:pPr>
      <w:bookmarkStart w:id="19" w:name="_Toc531888912"/>
      <w:r>
        <w:t>Atmospherische Interaktion</w:t>
      </w:r>
      <w:bookmarkEnd w:id="19"/>
    </w:p>
    <w:p w:rsidR="009669DF" w:rsidRPr="00A05CF4" w:rsidRDefault="00F43932" w:rsidP="00F43932">
      <w:pPr>
        <w:rPr>
          <w:lang w:val="en-US"/>
        </w:rPr>
      </w:pPr>
      <w:r w:rsidRPr="00A05CF4">
        <w:rPr>
          <w:i/>
          <w:lang w:val="en-US"/>
        </w:rPr>
        <w:t>Buch: Solar and infrared measurements Kap. 12.3 Atmospheric Interactions Seite 229</w:t>
      </w:r>
    </w:p>
    <w:p w:rsidR="009669DF" w:rsidRPr="00A05CF4" w:rsidRDefault="009669DF" w:rsidP="00F43932">
      <w:pPr>
        <w:rPr>
          <w:lang w:val="en-US"/>
        </w:rPr>
      </w:pPr>
      <w:r w:rsidRPr="00A05CF4">
        <w:rPr>
          <w:lang w:val="en-US"/>
        </w:rPr>
        <w:t>When  solar  radiation  passes  through  the  atmosphere,  complex  interactions  oc-cur depending on the wavelength of the radiation and the composition of the atmosphere at the time  More specifically, solar radiation either passes unscathed to the surface, or it is scattered or absorbed by molecules, aerosols, cloud</w:t>
      </w:r>
      <w:r w:rsidRPr="00A05CF4">
        <w:rPr>
          <w:i/>
          <w:lang w:val="en-US"/>
        </w:rPr>
        <w:t xml:space="preserve"> </w:t>
      </w:r>
    </w:p>
    <w:p w:rsidR="00F43932" w:rsidRPr="00A05CF4" w:rsidRDefault="009669DF" w:rsidP="00F43932">
      <w:pPr>
        <w:rPr>
          <w:i/>
          <w:lang w:val="en-US"/>
        </w:rPr>
      </w:pPr>
      <w:r w:rsidRPr="00A05CF4">
        <w:rPr>
          <w:i/>
          <w:lang w:val="en-US"/>
        </w:rPr>
        <w:t xml:space="preserve">water droplets, and ice crystals </w:t>
      </w:r>
      <w:r w:rsidR="00F43932" w:rsidRPr="00A05CF4">
        <w:rPr>
          <w:i/>
          <w:lang w:val="en-US"/>
        </w:rPr>
        <w:t>Jan Kleissel Solar Energy Forecasting S57 Kap 3.3.2 Aerosols</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Default="00830CD9" w:rsidP="00830CD9">
      <w:pPr>
        <w:pStyle w:val="berschrift3"/>
      </w:pPr>
      <w:bookmarkStart w:id="20" w:name="_Toc531888913"/>
      <w:r>
        <w:t>Rayleigh scattering</w:t>
      </w:r>
      <w:bookmarkEnd w:id="20"/>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Molecular scattering is the elastic scattering of solar radiation by the molecules in the atmosphere first explained by Lord Rayleigh (1871)  Many papers have been written describing the scattering of solar radiation by molecules, but it is not a dead subject (Eberhard, 2010)  Bodhaine, Wood, Dutton, and Slusser (1999) thoroughly examined the problem of calculating the molecular scattering optical depth as a function of wavelength  Optical depth, in general, is a measure of the wavelength dependent extinction (by scattering or absorption) that occurs as a beam of radiation propagates through a medium  It can be defined using  I(</w:t>
      </w:r>
      <w:r w:rsidRPr="00830CD9">
        <w:rPr>
          <w:lang w:val="de-CH" w:eastAsia="de-CH"/>
        </w:rPr>
        <w:t>λ</w:t>
      </w:r>
      <w:r w:rsidRPr="00A05CF4">
        <w:rPr>
          <w:lang w:val="en-US" w:eastAsia="de-CH"/>
        </w:rPr>
        <w:t>)/I0 (</w:t>
      </w:r>
      <w:r w:rsidRPr="00830CD9">
        <w:rPr>
          <w:lang w:val="de-CH" w:eastAsia="de-CH"/>
        </w:rPr>
        <w:t>λ</w:t>
      </w:r>
      <w:r w:rsidRPr="00A05CF4">
        <w:rPr>
          <w:lang w:val="en-US" w:eastAsia="de-CH"/>
        </w:rPr>
        <w:t>) =e−</w:t>
      </w:r>
      <w:r w:rsidRPr="00830CD9">
        <w:rPr>
          <w:lang w:val="de-CH" w:eastAsia="de-CH"/>
        </w:rPr>
        <w:t>τ</w:t>
      </w:r>
      <w:r w:rsidRPr="00A05CF4">
        <w:rPr>
          <w:lang w:val="en-US" w:eastAsia="de-CH"/>
        </w:rPr>
        <w:t>(</w:t>
      </w:r>
      <w:r w:rsidRPr="00830CD9">
        <w:rPr>
          <w:lang w:val="de-CH" w:eastAsia="de-CH"/>
        </w:rPr>
        <w:t>λ</w:t>
      </w:r>
      <w:r w:rsidRPr="00A05CF4">
        <w:rPr>
          <w:lang w:val="en-US" w:eastAsia="de-CH"/>
        </w:rPr>
        <w:t>)m   (12 1)</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where I0 is the strength of the source (e g , the spectral solar irradiance) before it enters the atmosphere, I is the strength after it has passed through the atmosphere to the surface, </w:t>
      </w:r>
      <w:r w:rsidRPr="00830CD9">
        <w:rPr>
          <w:lang w:val="de-CH" w:eastAsia="de-CH"/>
        </w:rPr>
        <w:t>τ</w:t>
      </w:r>
      <w:r w:rsidRPr="00A05CF4">
        <w:rPr>
          <w:lang w:val="en-US" w:eastAsia="de-CH"/>
        </w:rPr>
        <w:t xml:space="preserve"> is the optical depth in a vertical path, m is the amount of atmosphere traversed relative to the vertical path, and </w:t>
      </w:r>
      <w:r w:rsidRPr="00830CD9">
        <w:rPr>
          <w:lang w:val="de-CH" w:eastAsia="de-CH"/>
        </w:rPr>
        <w:t>λ</w:t>
      </w:r>
      <w:r w:rsidRPr="00A05CF4">
        <w:rPr>
          <w:lang w:val="en-US" w:eastAsia="de-CH"/>
        </w:rPr>
        <w:t xml:space="preserve"> is wavelength  A good approximation to optical depth by Rayleigh scattering is given by Hansen and Travis (1974):</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P</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R P0 0 008569 (1 0 0113 0 00013 )</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830CD9">
        <w:rPr>
          <w:lang w:val="de-CH" w:eastAsia="de-CH"/>
        </w:rPr>
        <w:t>τ</w:t>
      </w:r>
      <w:r w:rsidRPr="00A05CF4">
        <w:rPr>
          <w:lang w:val="en-US" w:eastAsia="de-CH"/>
        </w:rPr>
        <w:t xml:space="preserve"> = </w:t>
      </w:r>
      <w:r w:rsidRPr="00830CD9">
        <w:rPr>
          <w:lang w:val="de-CH" w:eastAsia="de-CH"/>
        </w:rPr>
        <w:t>λ</w:t>
      </w:r>
      <w:r w:rsidRPr="00A05CF4">
        <w:rPr>
          <w:lang w:val="en-US" w:eastAsia="de-CH"/>
        </w:rPr>
        <w:t xml:space="preserve">−4 + </w:t>
      </w:r>
      <w:r w:rsidRPr="00830CD9">
        <w:rPr>
          <w:lang w:val="de-CH" w:eastAsia="de-CH"/>
        </w:rPr>
        <w:t>λ</w:t>
      </w:r>
      <w:r w:rsidRPr="00A05CF4">
        <w:rPr>
          <w:lang w:val="en-US" w:eastAsia="de-CH"/>
        </w:rPr>
        <w:t xml:space="preserve">−2 + </w:t>
      </w:r>
      <w:r w:rsidRPr="00830CD9">
        <w:rPr>
          <w:lang w:val="de-CH" w:eastAsia="de-CH"/>
        </w:rPr>
        <w:t>λ</w:t>
      </w:r>
      <w:r w:rsidRPr="00A05CF4">
        <w:rPr>
          <w:lang w:val="en-US" w:eastAsia="de-CH"/>
        </w:rPr>
        <w:t>−4   (12 2)</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where wavelength </w:t>
      </w:r>
      <w:r w:rsidRPr="00830CD9">
        <w:rPr>
          <w:lang w:val="de-CH" w:eastAsia="de-CH"/>
        </w:rPr>
        <w:t>λ</w:t>
      </w:r>
      <w:r w:rsidRPr="00A05CF4">
        <w:rPr>
          <w:lang w:val="en-US" w:eastAsia="de-CH"/>
        </w:rPr>
        <w:t xml:space="preserve"> is in </w:t>
      </w:r>
      <w:r w:rsidRPr="00830CD9">
        <w:rPr>
          <w:lang w:val="de-CH" w:eastAsia="de-CH"/>
        </w:rPr>
        <w:t>μ</w:t>
      </w:r>
      <w:r w:rsidRPr="00A05CF4">
        <w:rPr>
          <w:lang w:val="en-US" w:eastAsia="de-CH"/>
        </w:rPr>
        <w:t>m, P is the pressure at the measurement site within the earth’s atmosphere in kilopascals, and P0 is the standard pressure at sea level equal to 101 325 kilopascals (100 kilopascals = 1000 millibars)  It is evident from examining Equation 12 2 that Rayleigh scattering is most effective in the shortest wavelengths of the solar spectrum and decreases dramatically at longer wavelengths (approxi-</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mately as </w:t>
      </w:r>
      <w:r w:rsidRPr="00830CD9">
        <w:rPr>
          <w:lang w:val="de-CH" w:eastAsia="de-CH"/>
        </w:rPr>
        <w:t>λ</w:t>
      </w:r>
      <w:r w:rsidRPr="00A05CF4">
        <w:rPr>
          <w:lang w:val="en-US" w:eastAsia="de-CH"/>
        </w:rPr>
        <w:t>–4)  It is also evident that at higher elevations there is less Rayleigh scattering because of lower atmospheric pressure</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Default="00830CD9" w:rsidP="00830CD9">
      <w:pPr>
        <w:pStyle w:val="berschrift3"/>
      </w:pPr>
      <w:bookmarkStart w:id="21" w:name="_Toc531888914"/>
      <w:r>
        <w:t>Aerosol scattering and Absorption</w:t>
      </w:r>
      <w:bookmarkEnd w:id="21"/>
    </w:p>
    <w:p w:rsidR="00830CD9" w:rsidRPr="00A05CF4" w:rsidRDefault="00830CD9" w:rsidP="00830CD9">
      <w:pPr>
        <w:rPr>
          <w:lang w:val="en-US"/>
        </w:rPr>
      </w:pPr>
      <w:r w:rsidRPr="00A05CF4">
        <w:rPr>
          <w:i/>
          <w:lang w:val="en-US"/>
        </w:rPr>
        <w:t>Buch: Solar and infrared measurements Kap. 12.3.2 Aerosol scattering and absorpzion Seite 246</w:t>
      </w:r>
    </w:p>
    <w:p w:rsidR="00830CD9" w:rsidRPr="00A05CF4" w:rsidRDefault="0035309C" w:rsidP="0035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Aerosols  are  always  present  in  the  atmosphere   They  manifest  themselves  as  the haze often noticed when looking toward the horizon  Generally, aerosols are concentrated  near  the  surface  but  may  appear  in  layers  especially  when  transported into a region from long distances  When volcanic eruptions </w:t>
      </w:r>
      <w:r w:rsidRPr="00A05CF4">
        <w:rPr>
          <w:lang w:val="en-US" w:eastAsia="de-CH"/>
        </w:rPr>
        <w:lastRenderedPageBreak/>
        <w:t>occur that are strong enough to inject dust and gases into the stratosphere, such as Mount Pinatubo did in 1991, a stratospheric aerosol layer may persist for years from the sulfur gases that are chemically transformed into aerosols (see Figure 4 9)  The dust particles from an eruption, however, are large and therefore are removed from the atmosphere quickly.</w:t>
      </w:r>
    </w:p>
    <w:p w:rsidR="000D1285" w:rsidRPr="00A05CF4" w:rsidRDefault="000D1285" w:rsidP="0035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0D1285" w:rsidRDefault="000D1285" w:rsidP="000D1285">
      <w:pPr>
        <w:pStyle w:val="berschrift3"/>
      </w:pPr>
      <w:bookmarkStart w:id="22" w:name="_Toc531888915"/>
      <w:r>
        <w:t>Gas and Absorption</w:t>
      </w:r>
      <w:bookmarkEnd w:id="22"/>
    </w:p>
    <w:p w:rsidR="000D1285" w:rsidRPr="00F443C0" w:rsidRDefault="000D1285" w:rsidP="000D1285">
      <w:pPr>
        <w:rPr>
          <w:i/>
        </w:rPr>
      </w:pPr>
      <w:r w:rsidRPr="006F6078">
        <w:rPr>
          <w:i/>
        </w:rPr>
        <w:t>Buch: Solar a</w:t>
      </w:r>
      <w:r>
        <w:rPr>
          <w:i/>
        </w:rPr>
        <w:t>nd infrared measurements Kap. 12.3.</w:t>
      </w:r>
      <w:r w:rsidR="00F443C0">
        <w:rPr>
          <w:i/>
        </w:rPr>
        <w:t>3</w:t>
      </w:r>
      <w:r>
        <w:rPr>
          <w:i/>
        </w:rPr>
        <w:t xml:space="preserve"> </w:t>
      </w:r>
      <w:r w:rsidR="00F443C0">
        <w:rPr>
          <w:i/>
        </w:rPr>
        <w:t xml:space="preserve">Gas Absorbtion </w:t>
      </w:r>
      <w:r>
        <w:rPr>
          <w:i/>
        </w:rPr>
        <w:t>Seite 2</w:t>
      </w:r>
      <w:r w:rsidR="00F443C0">
        <w:rPr>
          <w:i/>
        </w:rPr>
        <w:t>48</w:t>
      </w:r>
    </w:p>
    <w:p w:rsidR="000D1285" w:rsidRPr="00A05CF4" w:rsidRDefault="000D1285" w:rsidP="000D1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The dominant gas absorber affecting the spectral distribution of the incident solar irradiance in the solar spectrum is water vapor with several major absorption bands in the near-infrared  For example, Figure 2 15 indicates the strong water vapor absorption band in the global horizontal irradiance (GHI) spectrum centered near 940 nm  This is of particular importance to many solar photovoltaic (PV) collectors since the peak response of crystalline silicon PV is near the strong water vapor band around 940 nm  Ozone is another important absorber in the atmosphere  However, its strongest absorption is below 380 nm in the Hartley–Huggins bands  The Chappuis ozone band is broad but has modest absorption centered near 610 nm  The Wulf bands in the near-infrared are even less absorbing  Other gases such as O2 and CO2 are everpresent but less significant in the sense that they do not remove a large fraction of the total solar radiation  Nitrogen dioxide (NO2) is an important gas when air pollution concentrations are high  This gas produces a reddish-brown tinge to the skylight</w:t>
      </w:r>
    </w:p>
    <w:p w:rsidR="009F4848" w:rsidRDefault="001F09F3" w:rsidP="001F09F3">
      <w:pPr>
        <w:pStyle w:val="berschrift2"/>
      </w:pPr>
      <w:bookmarkStart w:id="23" w:name="_Toc531888916"/>
      <w:r>
        <w:t>Direct Normal Irradiance</w:t>
      </w:r>
      <w:bookmarkEnd w:id="23"/>
    </w:p>
    <w:p w:rsidR="001F09F3" w:rsidRPr="00A05CF4" w:rsidRDefault="001F09F3" w:rsidP="001F09F3">
      <w:pPr>
        <w:rPr>
          <w:i/>
          <w:lang w:val="en-US"/>
        </w:rPr>
      </w:pPr>
      <w:r w:rsidRPr="00A05CF4">
        <w:rPr>
          <w:i/>
          <w:lang w:val="en-US"/>
        </w:rPr>
        <w:t>Buch: Solar and infrared measurements Kap. 4.1 Overview of direct normal irradiance Seite 94</w:t>
      </w:r>
    </w:p>
    <w:p w:rsidR="00F2556B" w:rsidRPr="00A05CF4" w:rsidRDefault="00F2556B" w:rsidP="00F2556B">
      <w:pPr>
        <w:rPr>
          <w:lang w:val="en-US"/>
        </w:rPr>
      </w:pPr>
      <w:r w:rsidRPr="00A05CF4">
        <w:rPr>
          <w:lang w:val="en-US"/>
        </w:rPr>
        <w:t xml:space="preserve">Solar radiation that arrives at the earth’s surface having come directly from the sun is defined as direct normal irradiance (DNI)  Even if the sky is clear, DNI is smaller than would be measured at the top of the earth’s atmosphere because DNI has under-gone scattering (by molecules and aerosols) and absorption (by gases and aerosols) within the earth’s atmosphere  If clouds are between the sun and the observer, and they are optically thick, then no direct normal irradiance reaches the earth’s sur-face  The global horizontal irradiance (GHI) observed at the surface is a mixture of DNI that reaches the earth’s surface without being scattered or absorbed and diffuse horizontal irradiance (DHI), the irradiance resulting from molecules, aerosols, and clouds scattering of the DNI  This partitioning is ever changing because the atmosphere is not static  The governing equation is  GHI = DNI </w:t>
      </w:r>
      <w:r w:rsidRPr="00A05CF4">
        <w:rPr>
          <w:rFonts w:ascii="Cambria Math" w:hAnsi="Cambria Math" w:cs="Cambria Math"/>
          <w:lang w:val="en-US"/>
        </w:rPr>
        <w:t>⋅</w:t>
      </w:r>
      <w:r w:rsidRPr="00A05CF4">
        <w:rPr>
          <w:lang w:val="en-US"/>
        </w:rPr>
        <w:t xml:space="preserve"> cos(sza) + DHI   (4 1)</w:t>
      </w:r>
    </w:p>
    <w:p w:rsidR="001F09F3" w:rsidRPr="00A05CF4" w:rsidRDefault="00F2556B" w:rsidP="00F2556B">
      <w:pPr>
        <w:rPr>
          <w:lang w:val="en-US"/>
        </w:rPr>
      </w:pPr>
      <w:r w:rsidRPr="00A05CF4">
        <w:rPr>
          <w:lang w:val="en-US"/>
        </w:rPr>
        <w:t>where sza is the solar zenith angle, the angle between the zenith and solar directions  This partitioning is illustrated in Figure 4 1  It is easy to see that the solid dark line GHI is the sum of the direct normal component on the horizontal in gray (the first term in Equation 4 1) plus the dotted line DHI (the second term of the equation)  This is consistent throughout the day until the sun is completely blocked and the first term on the right-hand side in Equation 4 1 goes to zero, leaving GHI equal to DHI between 16:00 and 17:00 and after 17:30 where the solid dark line and the dotted line coincide</w:t>
      </w:r>
    </w:p>
    <w:p w:rsidR="009D2209" w:rsidRPr="00A05CF4" w:rsidRDefault="009D2209" w:rsidP="00F2556B">
      <w:pPr>
        <w:rPr>
          <w:lang w:val="en-US"/>
        </w:rPr>
      </w:pPr>
    </w:p>
    <w:p w:rsidR="009D2209" w:rsidRDefault="009D2209" w:rsidP="009D2209">
      <w:pPr>
        <w:pStyle w:val="berschrift2"/>
      </w:pPr>
      <w:bookmarkStart w:id="24" w:name="_Toc531888917"/>
      <w:r>
        <w:t>Global</w:t>
      </w:r>
      <w:r w:rsidR="007A00FC">
        <w:t xml:space="preserve"> horizontal</w:t>
      </w:r>
      <w:r>
        <w:t xml:space="preserve"> Irradiance</w:t>
      </w:r>
      <w:bookmarkEnd w:id="24"/>
    </w:p>
    <w:p w:rsidR="009D2209" w:rsidRPr="00A05CF4" w:rsidRDefault="009D2209" w:rsidP="009D2209">
      <w:pPr>
        <w:rPr>
          <w:lang w:val="en-US"/>
        </w:rPr>
      </w:pPr>
      <w:r w:rsidRPr="00A05CF4">
        <w:rPr>
          <w:i/>
          <w:lang w:val="en-US"/>
        </w:rPr>
        <w:t>Buch: Solar and infrared measurements Kap. 5.1Introduction to global horizontal irradiance Seite 120</w:t>
      </w:r>
    </w:p>
    <w:p w:rsidR="001F09F3" w:rsidRPr="00A05CF4" w:rsidRDefault="007A00FC" w:rsidP="007A00FC">
      <w:pPr>
        <w:rPr>
          <w:lang w:val="en-US"/>
        </w:rPr>
      </w:pPr>
      <w:r w:rsidRPr="00A05CF4">
        <w:rPr>
          <w:lang w:val="en-US"/>
        </w:rPr>
        <w:t>Global horizontal irradiance (GHI) is the total solar flux available from the hemispheric sky dome that is incident on a horizontal surface  By convention global irradiance implies a hemispheric, 2</w:t>
      </w:r>
      <w:r>
        <w:t>π</w:t>
      </w:r>
      <w:r w:rsidRPr="00A05CF4">
        <w:rPr>
          <w:lang w:val="en-US"/>
        </w:rPr>
        <w:t xml:space="preserve"> steradian, field of view on any surface  GHI is the sum of the solar radiation coming directly from the solar disk, also called the direct normal irradiance (DNI) or “beam irradiance,” which is normal to the rays from the sun, projected (Equation 5 1) onto a horizontal plane and the solar radiation coming from all other directions of the sky </w:t>
      </w:r>
      <w:r w:rsidRPr="00A05CF4">
        <w:rPr>
          <w:lang w:val="en-US"/>
        </w:rPr>
        <w:lastRenderedPageBreak/>
        <w:t>dome, or “sky irradiance” (Figure 5 1)  The solar radiation coming from all parts of the sky dome other than directly from the sun is called diffuse horizontal irradiance (DHI)  Planar surfaces of any orientation receive solar radiation directly from the sun plus diffuse radiation from the sky and reflected radiation from the ground  Historically, this has been termed total solar radiation on a tilted surface  Those involved with photovoltaic systems refer to this total irradiance as plane of array (POA) irradiance  Studies of the thermal performance of buildings rely on the amount of solar irradiance on various parts of a building envelope and refer to this total irradiance as global irradiance on tilted surfaces  Traditionally,  the  study  of  nonconcentrating  thermal  collectors has  also  relied  on global irradiance available to tilted flat plate collectors  In this book global horizontal irradiance (GHI) will refer to the total solar irradiance on a horizontal surface  When discussing irradiance on a surface oriented at any angle other than horizontal, the irradiance will be referred to as global tilted irradiance GTI Global irradiance is measured by a pyranometer  The root of the word pyrano is  derived  from  the  Greek  “pyr”  meaning  fire  or  heat  and  “ano”  meaning  sky  Therefore, a pyranometer is a meter for measuring heat from the sky  Earlier versions of the pyranometer were referred to as a 180° pyrheliometer, but the terminology was changed to pyranometer to help avoid the confusion with the term pyrheliometer that</w:t>
      </w:r>
    </w:p>
    <w:p w:rsidR="007A00FC" w:rsidRDefault="007A00FC" w:rsidP="007A00FC">
      <w:r>
        <w:rPr>
          <w:noProof/>
          <w:lang w:val="de-CH" w:eastAsia="de-CH"/>
        </w:rPr>
        <w:drawing>
          <wp:inline distT="0" distB="0" distL="0" distR="0">
            <wp:extent cx="2647785" cy="2374972"/>
            <wp:effectExtent l="0" t="0" r="635"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2356" cy="2379072"/>
                    </a:xfrm>
                    <a:prstGeom prst="rect">
                      <a:avLst/>
                    </a:prstGeom>
                    <a:noFill/>
                    <a:ln>
                      <a:noFill/>
                    </a:ln>
                  </pic:spPr>
                </pic:pic>
              </a:graphicData>
            </a:graphic>
          </wp:inline>
        </w:drawing>
      </w:r>
    </w:p>
    <w:p w:rsidR="001642F6" w:rsidRDefault="001642F6" w:rsidP="001642F6">
      <w:pPr>
        <w:pStyle w:val="berschrift2"/>
      </w:pPr>
      <w:bookmarkStart w:id="25" w:name="_Toc531888918"/>
      <w:r>
        <w:t>Diffuse Irradiance</w:t>
      </w:r>
      <w:bookmarkEnd w:id="25"/>
    </w:p>
    <w:p w:rsidR="001642F6" w:rsidRPr="00A05CF4" w:rsidRDefault="001642F6" w:rsidP="001642F6">
      <w:pPr>
        <w:rPr>
          <w:lang w:val="en-US"/>
        </w:rPr>
      </w:pPr>
      <w:r w:rsidRPr="00A05CF4">
        <w:rPr>
          <w:i/>
          <w:lang w:val="en-US"/>
        </w:rPr>
        <w:t xml:space="preserve">Buch: Solar and infrared measurements Kap. </w:t>
      </w:r>
      <w:r w:rsidR="00BD6EF6" w:rsidRPr="00A05CF4">
        <w:rPr>
          <w:i/>
          <w:lang w:val="en-US"/>
        </w:rPr>
        <w:t>6</w:t>
      </w:r>
      <w:r w:rsidRPr="00A05CF4">
        <w:rPr>
          <w:i/>
          <w:lang w:val="en-US"/>
        </w:rPr>
        <w:t xml:space="preserve">.1Introduction </w:t>
      </w:r>
      <w:r w:rsidR="00BD6EF6" w:rsidRPr="00A05CF4">
        <w:rPr>
          <w:i/>
          <w:lang w:val="en-US"/>
        </w:rPr>
        <w:t>178</w:t>
      </w:r>
    </w:p>
    <w:p w:rsidR="00E37B1A" w:rsidRPr="00A05CF4" w:rsidRDefault="00E37B1A" w:rsidP="00E37B1A">
      <w:pPr>
        <w:rPr>
          <w:lang w:val="en-US"/>
        </w:rPr>
      </w:pPr>
      <w:r w:rsidRPr="00A05CF4">
        <w:rPr>
          <w:lang w:val="en-US"/>
        </w:rPr>
        <w:t xml:space="preserve">Diffuse horizontal irradiance (DHI) is defined as the solar irradiance that has been scattered  by  molecules,  aerosols,  and  clouds  in  the  atmosphere  and  received  on  a horizontal surface (refer to Figure 6 1)  Another perspective on diffuse irradiance is that DHI is the skylight portion of the global horizontal irradiance (GHI) remaining after removing the direct normal irradiance (DNI)  DHI is measured by a properly shaded pyranometer, or it can be computed from measurements of DNI and GHI using Equation  4 1   Light  reflected  by  objects  above  the  surface  contributes  to  the  DHI, but light reflected from the horizontal surface is not included  However, the radiation reflected from the surface that is subsequently reflected back to the surface by the atmosphere is included; that is, multiple scattering components are included in DHI A very clear atmosphere gives the sky a deep blue color because of Rayleigh scat-tering of solar radiation by air molecules  (Scattering and absorption of solar radiation will be discussed in more detail in Chapter 12 ) This blue color is produced because air molecules scatter radiation nearly inversely with the fourth power of the wavelength, that is,  scattering </w:t>
      </w:r>
      <w:r w:rsidRPr="00A05CF4">
        <w:rPr>
          <w:rFonts w:ascii="Cambria Math" w:hAnsi="Cambria Math" w:cs="Cambria Math"/>
          <w:lang w:val="en-US"/>
        </w:rPr>
        <w:t>∝</w:t>
      </w:r>
      <w:r>
        <w:t>λ</w:t>
      </w:r>
      <w:r w:rsidRPr="00A05CF4">
        <w:rPr>
          <w:lang w:val="en-US"/>
        </w:rPr>
        <w:t>−4  The sun appears yellow or red near the horizon since Rayleigh scattering preferentially removes the bluest light from the transmitted DNI Aerosol-scat</w:t>
      </w:r>
      <w:r w:rsidRPr="00A05CF4">
        <w:rPr>
          <w:lang w:val="en-US"/>
        </w:rPr>
        <w:lastRenderedPageBreak/>
        <w:t xml:space="preserve">tered light depends on the aerosol particle size  For “typical” continental aerosols, the scattering is approximately  </w:t>
      </w:r>
      <w:r w:rsidRPr="00A05CF4">
        <w:rPr>
          <w:rFonts w:ascii="Cambria Math" w:hAnsi="Cambria Math" w:cs="Cambria Math"/>
          <w:lang w:val="en-US"/>
        </w:rPr>
        <w:t>∝</w:t>
      </w:r>
      <w:r>
        <w:t>λ</w:t>
      </w:r>
      <w:r w:rsidRPr="00A05CF4">
        <w:rPr>
          <w:lang w:val="en-US"/>
        </w:rPr>
        <w:t xml:space="preserve">−1 3  Heavily polluted skies typically have an even larger negative exponent, and they scatter blue light preferentially, but not as strongly, as in Rayleigh scattering  This wavelength dependence for aerosols is most noticeable in extremely polluted conditions where the solar disk appears red even with the sun high in the sky, when the amount of Rayleigh scattering would ordinarily be insufficient to cause noticeable reddening  Although the sun’s disk appears red for these hazy conditions, skylight appears not blue but milky white, especially near the horizon because all photons are scattered multiple times during these heavy pollution episodes  The range of sky color from dark blue to milky blue to milky white is a rough gauge of the amount of aerosol in the atmosphere Cloud particles have large sizes relative to visible wavelengths, and their scattering wavelength dependence is nearly neutral; therefore, they appear to have the white color of the sun  The spatial distribution of skylight is complex and unpredictable for partly cloudy conditions but can be described mathematically for some conditions  Moon and </w:t>
      </w:r>
    </w:p>
    <w:p w:rsidR="00E37B1A" w:rsidRDefault="00E37B1A" w:rsidP="00E37B1A">
      <w:r>
        <w:rPr>
          <w:noProof/>
          <w:lang w:val="de-CH" w:eastAsia="de-CH"/>
        </w:rPr>
        <w:drawing>
          <wp:inline distT="0" distB="0" distL="0" distR="0">
            <wp:extent cx="4524293" cy="3311431"/>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0644" cy="3316080"/>
                    </a:xfrm>
                    <a:prstGeom prst="rect">
                      <a:avLst/>
                    </a:prstGeom>
                    <a:noFill/>
                    <a:ln>
                      <a:noFill/>
                    </a:ln>
                  </pic:spPr>
                </pic:pic>
              </a:graphicData>
            </a:graphic>
          </wp:inline>
        </w:drawing>
      </w:r>
    </w:p>
    <w:p w:rsidR="001642F6" w:rsidRPr="00A05CF4" w:rsidRDefault="00E37B1A" w:rsidP="00E37B1A">
      <w:pPr>
        <w:rPr>
          <w:lang w:val="en-US"/>
        </w:rPr>
      </w:pPr>
      <w:r w:rsidRPr="00A05CF4">
        <w:rPr>
          <w:lang w:val="en-US"/>
        </w:rPr>
        <w:t>Spencer (1942) developed a simple and useful approximation of the spatial distribution</w:t>
      </w:r>
    </w:p>
    <w:p w:rsidR="00A32299" w:rsidRPr="00A05CF4" w:rsidRDefault="00A32299" w:rsidP="00A32299">
      <w:pPr>
        <w:spacing w:before="0" w:line="240" w:lineRule="auto"/>
        <w:jc w:val="left"/>
        <w:rPr>
          <w:lang w:val="en-US"/>
        </w:rPr>
      </w:pPr>
      <w:r w:rsidRPr="00A05CF4">
        <w:rPr>
          <w:i/>
          <w:lang w:val="en-US"/>
        </w:rPr>
        <w:t>Kap 1.3 Solar Power vs Solar Irradiance Seite 8  (Jan Kleissl Solar Energy Forecasting)</w:t>
      </w:r>
    </w:p>
    <w:p w:rsidR="00A32299" w:rsidRPr="00A05CF4" w:rsidRDefault="00A32299" w:rsidP="00A32299">
      <w:pPr>
        <w:spacing w:before="0" w:line="240" w:lineRule="auto"/>
        <w:jc w:val="left"/>
        <w:rPr>
          <w:lang w:val="en-US"/>
        </w:rPr>
      </w:pPr>
      <w:r w:rsidRPr="00A05CF4">
        <w:rPr>
          <w:i/>
          <w:lang w:val="en-US"/>
        </w:rPr>
        <w:t>Kap 1.4 Direct, Diffuse and Global solar radiation and instrumentation (Jan Kleissl Solar Forecast)</w:t>
      </w:r>
    </w:p>
    <w:p w:rsidR="00A32299" w:rsidRPr="00A05CF4" w:rsidRDefault="00A32299" w:rsidP="00A32299">
      <w:pPr>
        <w:spacing w:before="0" w:line="240" w:lineRule="auto"/>
        <w:jc w:val="left"/>
        <w:rPr>
          <w:lang w:val="en-US"/>
        </w:rPr>
      </w:pPr>
      <w:r w:rsidRPr="00A05CF4">
        <w:rPr>
          <w:i/>
          <w:lang w:val="en-US"/>
        </w:rPr>
        <w:t>Kap 1.5 Athmosperic properties affecting solar irradiance               (Jan Kleissl Solar Forecast)</w:t>
      </w:r>
    </w:p>
    <w:p w:rsidR="00A32299" w:rsidRPr="00A05CF4" w:rsidRDefault="00A32299" w:rsidP="00A32299">
      <w:pPr>
        <w:spacing w:before="0" w:line="240" w:lineRule="auto"/>
        <w:jc w:val="left"/>
        <w:rPr>
          <w:i/>
          <w:lang w:val="en-US"/>
        </w:rPr>
      </w:pPr>
      <w:r w:rsidRPr="00A05CF4">
        <w:rPr>
          <w:i/>
          <w:lang w:val="en-US"/>
        </w:rPr>
        <w:t>Kap 5.51 High-Quality Measurement of DNI, GHI and DHI (Jan Kleissl Solar Forecasting)</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A30F98" w:rsidRDefault="00B343AD" w:rsidP="0099695C">
      <w:pPr>
        <w:pStyle w:val="berschrift2"/>
      </w:pPr>
      <w:bookmarkStart w:id="26" w:name="_Toc531888919"/>
      <w:r>
        <w:t>Solarmessgeräte</w:t>
      </w:r>
      <w:bookmarkEnd w:id="26"/>
    </w:p>
    <w:p w:rsidR="002A41CA" w:rsidRPr="00717EC0" w:rsidRDefault="002A41CA" w:rsidP="00841E7B">
      <w:pPr>
        <w:rPr>
          <w:i/>
          <w:color w:val="FF0000"/>
        </w:rPr>
      </w:pPr>
      <w:r w:rsidRPr="00717EC0">
        <w:rPr>
          <w:i/>
          <w:color w:val="FF0000"/>
        </w:rPr>
        <w:t>Kurz und knackick in: Quasching_Regenerative_Energiesysteme S83 Kap 2.8 Solarstrahlungsmesstechniken und Sonnensimulatoren</w:t>
      </w:r>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207425">
        <w:rPr>
          <w:lang w:val="de-CH"/>
        </w:rPr>
        <w:instrText xml:space="preserve"> ADDIN ZOTERO_ITEM CSL_CITATION {"citationID":"fsj4RQAf","properties":{"formattedCitation":"[1]","plainCitation":"[1]","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207425" w:rsidRPr="00207425">
        <w:t>[1]</w:t>
      </w:r>
      <w:r w:rsidR="0079225D">
        <w:rPr>
          <w:lang w:val="de-CH"/>
        </w:rPr>
        <w:fldChar w:fldCharType="end"/>
      </w:r>
      <w:r w:rsidR="00EE359E">
        <w:rPr>
          <w:lang w:val="de-CH"/>
        </w:rPr>
        <w:t>.</w:t>
      </w:r>
      <w:r w:rsidRPr="00A05CF4">
        <w:rPr>
          <w:lang w:val="de-CH"/>
        </w:rPr>
        <w:t xml:space="preserve"> </w:t>
      </w:r>
    </w:p>
    <w:p w:rsidR="00717EC0" w:rsidRDefault="00F63998" w:rsidP="00F63998">
      <w:pPr>
        <w:pStyle w:val="berschrift3"/>
        <w:rPr>
          <w:lang w:val="de-CH"/>
        </w:rPr>
      </w:pPr>
      <w:r>
        <w:rPr>
          <w:lang w:val="de-CH"/>
        </w:rPr>
        <w:lastRenderedPageBreak/>
        <w:t>Pyranometer</w:t>
      </w:r>
    </w:p>
    <w:p w:rsidR="0019162E" w:rsidRDefault="000B0018" w:rsidP="00841E7B">
      <w:pPr>
        <w:rPr>
          <w:lang w:val="de-CH"/>
        </w:rPr>
      </w:pPr>
      <w:r>
        <w:rPr>
          <w:lang w:val="de-CH"/>
        </w:rPr>
        <w:t>Bei den Halbleitersensoren handelt es sich um photovoltaische Solarzellen aus Silizium. Der erzeugte Strom im Halbleiter steigt proportional mit der Bestrahlungs</w:t>
      </w:r>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xml:space="preserve">, deshalb sollte auch die Temperatur aufgezeichnet werden und gegebenenfalls eine Korrektur der Messwerte vorgenommen werden. Ein weiterer Nachteil von Halbleitersensoren ist, dass nicht alle Wellenlängenbereiche der Sonnenstrahlung gleichermassen erfasst werden. So ist es möglich das 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Pr>
          <w:lang w:val="de-CH"/>
        </w:rPr>
        <w:fldChar w:fldCharType="begin"/>
      </w:r>
      <w:r>
        <w:rPr>
          <w:lang w:val="de-CH"/>
        </w:rPr>
        <w:instrText xml:space="preserve"> REF _Ref531883177 \h </w:instrText>
      </w:r>
      <w:r>
        <w:rPr>
          <w:lang w:val="de-CH"/>
        </w:rPr>
      </w:r>
      <w:r>
        <w:rPr>
          <w:lang w:val="de-CH"/>
        </w:rPr>
        <w:fldChar w:fldCharType="separate"/>
      </w:r>
      <w:r w:rsidRPr="006A0B05">
        <w:rPr>
          <w:sz w:val="18"/>
          <w:szCs w:val="18"/>
        </w:rPr>
        <w:t xml:space="preserve">Abbildung </w:t>
      </w:r>
      <w:r w:rsidRPr="006A0B05">
        <w:rPr>
          <w:noProof/>
          <w:sz w:val="18"/>
          <w:szCs w:val="18"/>
        </w:rPr>
        <w:t>1</w:t>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Proportional zur </w:t>
      </w:r>
      <w:r>
        <w:rPr>
          <w:lang w:val="de-CH"/>
        </w:rPr>
        <w:t xml:space="preserve">zunehmender Bestrahlungsstärke, steigt </w:t>
      </w:r>
      <w:r w:rsidR="00207425">
        <w:rPr>
          <w:lang w:val="de-CH"/>
        </w:rPr>
        <w:t xml:space="preserve">auch </w:t>
      </w:r>
      <w:r>
        <w:rPr>
          <w:lang w:val="de-CH"/>
        </w:rPr>
        <w:t xml:space="preserve">die Temperaturdifferenz zwischen </w:t>
      </w:r>
      <w:r w:rsidR="00336A89">
        <w:rPr>
          <w:lang w:val="de-CH"/>
        </w:rPr>
        <w:t>der Aussentemperatur</w:t>
      </w:r>
      <w:r>
        <w:rPr>
          <w:lang w:val="de-CH"/>
        </w:rPr>
        <w:t xml:space="preserve"> und </w:t>
      </w:r>
      <w:r w:rsidR="00336A89">
        <w:rPr>
          <w:lang w:val="de-CH"/>
        </w:rPr>
        <w:t>der Temperatur im Inneren</w:t>
      </w:r>
      <w:r>
        <w:rPr>
          <w:lang w:val="de-CH"/>
        </w:rPr>
        <w:t xml:space="preserve"> </w:t>
      </w:r>
      <w:r w:rsidR="00336A89">
        <w:rPr>
          <w:lang w:val="de-CH"/>
        </w:rPr>
        <w:t>des Glasdoms.</w:t>
      </w:r>
      <w:r>
        <w:rPr>
          <w:lang w:val="de-CH"/>
        </w:rPr>
        <w:t xml:space="preserve"> </w:t>
      </w:r>
      <w:r w:rsidR="00717EC0">
        <w:rPr>
          <w:lang w:val="de-CH"/>
        </w:rPr>
        <w:t xml:space="preserve">Im Gegensatz zum Halbleitersensor zeichnet sich der thermische Sensor, durch konstante spektrale Empfindlich über grosse Teile des Spektrums aus. </w:t>
      </w:r>
    </w:p>
    <w:p w:rsidR="0019162E" w:rsidRDefault="0019162E" w:rsidP="00841E7B">
      <w:pPr>
        <w:rPr>
          <w:lang w:val="de-CH"/>
        </w:rPr>
      </w:pPr>
    </w:p>
    <w:p w:rsidR="0019162E" w:rsidRDefault="0019162E" w:rsidP="00841E7B">
      <w:pPr>
        <w:rPr>
          <w:lang w:val="de-CH"/>
        </w:rPr>
      </w:pPr>
    </w:p>
    <w:p w:rsidR="0019162E" w:rsidRDefault="0019162E" w:rsidP="00841E7B">
      <w:pPr>
        <w:rPr>
          <w:lang w:val="de-CH"/>
        </w:rPr>
      </w:pPr>
    </w:p>
    <w:p w:rsidR="0019162E" w:rsidRDefault="0019162E" w:rsidP="0019162E">
      <w:pPr>
        <w:keepNext/>
      </w:pPr>
      <w:r>
        <w:rPr>
          <w:noProof/>
          <w:lang w:val="de-CH" w:eastAsia="de-CH"/>
        </w:rPr>
        <w:drawing>
          <wp:inline distT="0" distB="0" distL="0" distR="0">
            <wp:extent cx="5397500" cy="19513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1951355"/>
                    </a:xfrm>
                    <a:prstGeom prst="rect">
                      <a:avLst/>
                    </a:prstGeom>
                    <a:noFill/>
                    <a:ln>
                      <a:noFill/>
                    </a:ln>
                  </pic:spPr>
                </pic:pic>
              </a:graphicData>
            </a:graphic>
          </wp:inline>
        </w:drawing>
      </w:r>
    </w:p>
    <w:p w:rsidR="0019162E" w:rsidRPr="00E44392" w:rsidRDefault="0019162E" w:rsidP="006A0B05">
      <w:pPr>
        <w:pStyle w:val="Beschriftung"/>
        <w:jc w:val="left"/>
      </w:pPr>
      <w:bookmarkStart w:id="27" w:name="_Ref531883177"/>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Pr="00E44392">
        <w:rPr>
          <w:noProof/>
        </w:rPr>
        <w:t>1</w:t>
      </w:r>
      <w:r w:rsidR="00C552D0">
        <w:rPr>
          <w:noProof/>
        </w:rPr>
        <w:fldChar w:fldCharType="end"/>
      </w:r>
      <w:bookmarkEnd w:id="27"/>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207425">
        <w:rPr>
          <w:noProof/>
        </w:rPr>
        <w:instrText xml:space="preserve"> ADDIN ZOTERO_ITEM CSL_CITATION {"citationID":"ELOll8B1","properties":{"custom":"[1] V. Quaschning: Bild 2.29 [S. 84]","formattedCitation":"[1] V. Quaschning: Bild 2.29 [S. 84]","plainCitation":"[1] V. Quaschning: Bild 2.29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Energiesysteme","language":"ger","author":[{"family":"Quaschning","given":"Volker"}],"issued":{"date-parts":[["2015"]]}},"locator":"84","label":"page","prefix":"[1] V. Quaschning: Bild 2.29"}],"schema":"https://github.com/citation-style-language/schema/raw/master/csl-citation.json"} </w:instrText>
      </w:r>
      <w:r w:rsidR="008B28D1">
        <w:rPr>
          <w:noProof/>
        </w:rPr>
        <w:fldChar w:fldCharType="separate"/>
      </w:r>
      <w:r w:rsidR="00207425" w:rsidRPr="00207425">
        <w:t>[1] V. Quaschning: Bild 2.29 [S. 84]</w:t>
      </w:r>
      <w:r w:rsidR="008B28D1">
        <w:rPr>
          <w:noProof/>
        </w:rPr>
        <w:fldChar w:fldCharType="end"/>
      </w:r>
      <w:r w:rsidRPr="00E44392">
        <w:rPr>
          <w:noProof/>
        </w:rPr>
        <w:t>.</w:t>
      </w:r>
    </w:p>
    <w:p w:rsidR="0079225D" w:rsidRPr="00A05CF4" w:rsidRDefault="00080A15" w:rsidP="00841E7B">
      <w:pPr>
        <w:rPr>
          <w:lang w:val="de-CH"/>
        </w:rPr>
      </w:pPr>
      <w:r>
        <w:rPr>
          <w:lang w:val="de-CH"/>
        </w:rPr>
        <w:t xml:space="preserve"> </w:t>
      </w:r>
    </w:p>
    <w:p w:rsidR="00841E7B" w:rsidRPr="00A05CF4" w:rsidRDefault="00841E7B" w:rsidP="00841E7B">
      <w:pPr>
        <w:rPr>
          <w:lang w:val="en-US"/>
        </w:rPr>
      </w:pPr>
      <w:r w:rsidRPr="00F63998">
        <w:rPr>
          <w:i/>
          <w:lang w:val="en-US"/>
        </w:rPr>
        <w:t>Book: Marius Paulescu Weather Modeling and For</w:t>
      </w:r>
      <w:r w:rsidRPr="000B0018">
        <w:rPr>
          <w:i/>
          <w:lang w:val="en-US"/>
        </w:rPr>
        <w:t>ecasting of PV Systems Operation S 34 Kap 2.2.1 Solar Radiomet</w:t>
      </w:r>
      <w:r w:rsidRPr="00A05CF4">
        <w:rPr>
          <w:i/>
          <w:lang w:val="en-US"/>
        </w:rPr>
        <w:t>ers</w:t>
      </w:r>
    </w:p>
    <w:p w:rsidR="00A9651E" w:rsidRPr="00315EB6" w:rsidRDefault="00A9651E" w:rsidP="00315EB6">
      <w:pPr>
        <w:pStyle w:val="berschrift3"/>
        <w:rPr>
          <w:lang w:val="en-US"/>
        </w:rPr>
      </w:pPr>
      <w:r w:rsidRPr="00315EB6">
        <w:rPr>
          <w:lang w:val="en-US"/>
        </w:rPr>
        <w:t>Pyrheliometer</w:t>
      </w:r>
    </w:p>
    <w:p w:rsidR="00923E3A" w:rsidRPr="00923E3A" w:rsidRDefault="00923E3A" w:rsidP="00923E3A">
      <w:pPr>
        <w:rPr>
          <w:i/>
          <w:color w:val="FF0000"/>
          <w:lang w:val="de-CH"/>
        </w:rPr>
      </w:pPr>
      <w:r w:rsidRPr="00923E3A">
        <w:rPr>
          <w:i/>
          <w:color w:val="FF0000"/>
          <w:lang w:val="de-CH"/>
        </w:rPr>
        <w:t xml:space="preserve">Quasching_Regenerative_Energiesysteme S85 Kap 2.8.2 </w:t>
      </w:r>
      <w:r>
        <w:rPr>
          <w:i/>
          <w:color w:val="FF0000"/>
          <w:lang w:val="de-CH"/>
        </w:rPr>
        <w:t>Messung der direkten und diffusen Bestrahlstärke</w:t>
      </w:r>
    </w:p>
    <w:p w:rsidR="00841E7B" w:rsidRPr="00A05CF4" w:rsidRDefault="00A9651E" w:rsidP="002D483A">
      <w:pPr>
        <w:jc w:val="left"/>
        <w:rPr>
          <w:lang w:val="en-US"/>
        </w:rPr>
      </w:pPr>
      <w:r w:rsidRPr="00A05CF4">
        <w:rPr>
          <w:lang w:val="en-US"/>
        </w:rPr>
        <w:t>The pyrheliometer is a broadband instrument that measures the direct beam</w:t>
      </w:r>
      <w:r w:rsidR="002D483A" w:rsidRPr="00A05CF4">
        <w:rPr>
          <w:lang w:val="en-US"/>
        </w:rPr>
        <w:t xml:space="preserve"> </w:t>
      </w:r>
      <w:r w:rsidRPr="00A05CF4">
        <w:rPr>
          <w:lang w:val="en-US"/>
        </w:rPr>
        <w:t>component Gn of solar radiation. Consequently,</w:t>
      </w:r>
      <w:r w:rsidR="002D483A" w:rsidRPr="00A05CF4">
        <w:rPr>
          <w:lang w:val="en-US"/>
        </w:rPr>
        <w:t xml:space="preserve"> the instrument should be perma</w:t>
      </w:r>
      <w:r w:rsidRPr="00A05CF4">
        <w:rPr>
          <w:lang w:val="en-US"/>
        </w:rPr>
        <w:t>nently pointed toward the Sun. A two-axis Sun tracking mechanism is most often</w:t>
      </w:r>
      <w:r w:rsidR="002D483A" w:rsidRPr="00A05CF4">
        <w:rPr>
          <w:lang w:val="en-US"/>
        </w:rPr>
        <w:t xml:space="preserve"> </w:t>
      </w:r>
      <w:r w:rsidRPr="00A05CF4">
        <w:rPr>
          <w:lang w:val="en-US"/>
        </w:rPr>
        <w:t>used for this purpose. The detector is a multi-junction thermopile placed at the</w:t>
      </w:r>
      <w:r w:rsidR="002D483A" w:rsidRPr="00A05CF4">
        <w:rPr>
          <w:lang w:val="en-US"/>
        </w:rPr>
        <w:t xml:space="preserve"> </w:t>
      </w:r>
      <w:r w:rsidRPr="00A05CF4">
        <w:rPr>
          <w:lang w:val="en-US"/>
        </w:rPr>
        <w:t>bottom of a collimating tube (Fig. 2.3a) provided with a quartz window to protect</w:t>
      </w:r>
      <w:r w:rsidR="002D483A" w:rsidRPr="00A05CF4">
        <w:rPr>
          <w:lang w:val="en-US"/>
        </w:rPr>
        <w:t xml:space="preserve"> </w:t>
      </w:r>
      <w:r w:rsidRPr="00A05CF4">
        <w:rPr>
          <w:lang w:val="en-US"/>
        </w:rPr>
        <w:t>the instrument. The detector is coated with optical black paint (acting as a full</w:t>
      </w:r>
      <w:r w:rsidR="002D483A" w:rsidRPr="00A05CF4">
        <w:rPr>
          <w:lang w:val="en-US"/>
        </w:rPr>
        <w:t xml:space="preserve"> </w:t>
      </w:r>
      <w:r w:rsidRPr="00A05CF4">
        <w:rPr>
          <w:lang w:val="en-US"/>
        </w:rPr>
        <w:t xml:space="preserve">absorber for solar energy in the wavelengths </w:t>
      </w:r>
      <w:r w:rsidRPr="00A05CF4">
        <w:rPr>
          <w:lang w:val="en-US"/>
        </w:rPr>
        <w:lastRenderedPageBreak/>
        <w:t>range 0.280–3 lm). Its temperature is</w:t>
      </w:r>
      <w:r w:rsidR="002D483A" w:rsidRPr="00A05CF4">
        <w:rPr>
          <w:lang w:val="en-US"/>
        </w:rPr>
        <w:t xml:space="preserve"> </w:t>
      </w:r>
      <w:r w:rsidRPr="00A05CF4">
        <w:rPr>
          <w:lang w:val="en-US"/>
        </w:rPr>
        <w:t xml:space="preserve">compensated to minimize sensitivity of ambient temperature </w:t>
      </w:r>
      <w:r>
        <w:t>ﬂ</w:t>
      </w:r>
      <w:r w:rsidRPr="00A05CF4">
        <w:rPr>
          <w:lang w:val="en-US"/>
        </w:rPr>
        <w:t>uctuations.</w:t>
      </w:r>
      <w:r w:rsidR="002D483A" w:rsidRPr="00A05CF4">
        <w:rPr>
          <w:lang w:val="en-US"/>
        </w:rPr>
        <w:t xml:space="preserve"> </w:t>
      </w:r>
      <w:r w:rsidRPr="00A05CF4">
        <w:rPr>
          <w:lang w:val="en-US"/>
        </w:rPr>
        <w:t>The pyrheliometer aperture angle is 5</w:t>
      </w:r>
      <w:r w:rsidR="002D483A" w:rsidRPr="00A05CF4">
        <w:rPr>
          <w:lang w:val="en-US"/>
        </w:rPr>
        <w:t>°</w:t>
      </w:r>
      <w:r w:rsidRPr="00A05CF4">
        <w:rPr>
          <w:lang w:val="en-US"/>
        </w:rPr>
        <w:t>. Consequently, radiation is received from</w:t>
      </w:r>
      <w:r w:rsidR="002D483A" w:rsidRPr="00A05CF4">
        <w:rPr>
          <w:lang w:val="en-US"/>
        </w:rPr>
        <w:t xml:space="preserve"> </w:t>
      </w:r>
      <w:r w:rsidRPr="00A05CF4">
        <w:rPr>
          <w:lang w:val="en-US"/>
        </w:rPr>
        <w:t>the Sun and a limited circumsolar region, but all diffuse radiation from the rest of</w:t>
      </w:r>
      <w:r w:rsidR="002D483A" w:rsidRPr="00A05CF4">
        <w:rPr>
          <w:lang w:val="en-US"/>
        </w:rPr>
        <w:t xml:space="preserve"> </w:t>
      </w:r>
      <w:r w:rsidRPr="00A05CF4">
        <w:rPr>
          <w:lang w:val="en-US"/>
        </w:rPr>
        <w:t>the sky is excluded. A readout device is used to give the instant value of the direct</w:t>
      </w:r>
      <w:r w:rsidR="002D483A" w:rsidRPr="00A05CF4">
        <w:rPr>
          <w:lang w:val="en-US"/>
        </w:rPr>
        <w:t xml:space="preserve"> </w:t>
      </w:r>
      <w:r w:rsidRPr="00A05CF4">
        <w:rPr>
          <w:lang w:val="en-US"/>
        </w:rPr>
        <w:t>beam irradiance. Its scale is adapted to the sensitivity of the particular instrument</w:t>
      </w:r>
      <w:r w:rsidR="002D483A" w:rsidRPr="00A05CF4">
        <w:rPr>
          <w:lang w:val="en-US"/>
        </w:rPr>
        <w:t xml:space="preserve"> </w:t>
      </w:r>
      <w:r w:rsidRPr="00A05CF4">
        <w:rPr>
          <w:lang w:val="en-US"/>
        </w:rPr>
        <w:t>in order to display the value in SI units, Wm-2.</w:t>
      </w:r>
    </w:p>
    <w:p w:rsidR="00B4768E" w:rsidRDefault="00B4768E" w:rsidP="002D483A">
      <w:pPr>
        <w:jc w:val="left"/>
      </w:pPr>
      <w:r>
        <w:rPr>
          <w:noProof/>
          <w:lang w:val="de-CH" w:eastAsia="de-CH"/>
        </w:rPr>
        <w:drawing>
          <wp:inline distT="0" distB="0" distL="0" distR="0" wp14:anchorId="6F971BC6" wp14:editId="54FA2436">
            <wp:extent cx="4433920" cy="2057415"/>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3920" cy="2057415"/>
                    </a:xfrm>
                    <a:prstGeom prst="rect">
                      <a:avLst/>
                    </a:prstGeom>
                  </pic:spPr>
                </pic:pic>
              </a:graphicData>
            </a:graphic>
          </wp:inline>
        </w:drawing>
      </w:r>
    </w:p>
    <w:p w:rsidR="00B4768E" w:rsidRPr="00A05CF4" w:rsidRDefault="00B4768E" w:rsidP="00B4768E">
      <w:pPr>
        <w:jc w:val="left"/>
        <w:rPr>
          <w:i/>
          <w:lang w:val="en-US"/>
        </w:rPr>
      </w:pPr>
      <w:r w:rsidRPr="00A05CF4">
        <w:rPr>
          <w:i/>
          <w:lang w:val="en-US"/>
        </w:rPr>
        <w:t>Pyranometer</w:t>
      </w:r>
    </w:p>
    <w:p w:rsidR="00B4768E" w:rsidRPr="00A05CF4" w:rsidRDefault="00B4768E" w:rsidP="00B4768E">
      <w:pPr>
        <w:jc w:val="left"/>
        <w:rPr>
          <w:lang w:val="en-US"/>
        </w:rPr>
      </w:pPr>
      <w:r w:rsidRPr="00A05CF4">
        <w:rPr>
          <w:lang w:val="en-US"/>
        </w:rPr>
        <w:t xml:space="preserve">Pyranometers are broadband instruments that measure global solar irradiance incoming from a 2p solid angle on a planar surface. A typical pyranometer is schematically represented in Fig. 2.4a. It consists of a white disk for limiting the acceptance angle to 180° and two concentric hemispherical transparent covers </w:t>
      </w:r>
    </w:p>
    <w:p w:rsidR="00B4768E" w:rsidRPr="00A05CF4" w:rsidRDefault="00B4768E" w:rsidP="00B4768E">
      <w:pPr>
        <w:jc w:val="left"/>
        <w:rPr>
          <w:lang w:val="en-US"/>
        </w:rPr>
      </w:pPr>
      <w:r w:rsidRPr="00A05CF4">
        <w:rPr>
          <w:lang w:val="en-US"/>
        </w:rPr>
        <w:t>made of glass. The two domes shield the sensor from thermal convection, protect it against weather threat (rain, wind, and dust) and limit the spectral sensitivity of the instrument in the wavelength range 0.29–2.8 lm. A cartridge of silica gel inside the dome absorbs water vapor. A pyranometer can be also used to measure the diffuse solar irradiance Gd,  provided that the contribution of the direct beam component is eliminated. For this, a small shading disk can be mounted on an automated solar tracker to ensure that the pyranometer is continuously shaded. Alternatively, a shadow ring may prevent the direct component Gb from reaching the sensor whole day long (see Fig. 2.4b). Because the daily maximum Sun elevation angle changes day by day, it is necessary to change periodically (days lag) the height of the shadow ring.</w:t>
      </w:r>
    </w:p>
    <w:p w:rsidR="00B4768E" w:rsidRDefault="00B4768E" w:rsidP="002D483A">
      <w:pPr>
        <w:jc w:val="left"/>
      </w:pPr>
      <w:r>
        <w:rPr>
          <w:noProof/>
          <w:lang w:val="de-CH" w:eastAsia="de-CH"/>
        </w:rPr>
        <w:drawing>
          <wp:inline distT="0" distB="0" distL="0" distR="0" wp14:anchorId="0F3BA9A9" wp14:editId="2D93908D">
            <wp:extent cx="4448208" cy="1957402"/>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208" cy="1957402"/>
                    </a:xfrm>
                    <a:prstGeom prst="rect">
                      <a:avLst/>
                    </a:prstGeom>
                  </pic:spPr>
                </pic:pic>
              </a:graphicData>
            </a:graphic>
          </wp:inline>
        </w:drawing>
      </w:r>
    </w:p>
    <w:p w:rsidR="00216360" w:rsidRPr="00A05CF4" w:rsidRDefault="00216360" w:rsidP="00216360">
      <w:pPr>
        <w:jc w:val="left"/>
        <w:rPr>
          <w:i/>
          <w:lang w:val="en-US"/>
        </w:rPr>
      </w:pPr>
      <w:r w:rsidRPr="00A05CF4">
        <w:rPr>
          <w:i/>
          <w:lang w:val="en-US"/>
        </w:rPr>
        <w:t>Sunshine duration measurement</w:t>
      </w:r>
    </w:p>
    <w:p w:rsidR="00216360" w:rsidRPr="00A05CF4" w:rsidRDefault="00216360" w:rsidP="00216360">
      <w:pPr>
        <w:jc w:val="left"/>
        <w:rPr>
          <w:lang w:val="en-US"/>
        </w:rPr>
      </w:pPr>
      <w:r w:rsidRPr="00A05CF4">
        <w:rPr>
          <w:lang w:val="en-US"/>
        </w:rPr>
        <w:t>According to (WMO 2008), sunshine duration in a given period is de</w:t>
      </w:r>
      <w:r>
        <w:t>ﬁ</w:t>
      </w:r>
      <w:r w:rsidRPr="00A05CF4">
        <w:rPr>
          <w:lang w:val="en-US"/>
        </w:rPr>
        <w:t>ned as the sum of the time intervals for which the direct solar irradiance exceeds the threshold of 120 Wm-2. In practice, two methods are widely used for measuring sunshine duration—burning card method and pyranometric method—which will be brie</w:t>
      </w:r>
      <w:r>
        <w:t>ﬂ</w:t>
      </w:r>
      <w:r w:rsidRPr="00A05CF4">
        <w:rPr>
          <w:lang w:val="en-US"/>
        </w:rPr>
        <w:t>y presented next.</w:t>
      </w:r>
    </w:p>
    <w:p w:rsidR="00216360" w:rsidRPr="00A05CF4" w:rsidRDefault="00216360" w:rsidP="00216360">
      <w:pPr>
        <w:jc w:val="left"/>
        <w:rPr>
          <w:lang w:val="en-US"/>
        </w:rPr>
      </w:pPr>
      <w:r w:rsidRPr="00A05CF4">
        <w:rPr>
          <w:lang w:val="en-US"/>
        </w:rPr>
        <w:lastRenderedPageBreak/>
        <w:t>Burning card method is based on the Campbell–Stokes sunshine recorder, which basic setup consists of a glass sphere mounted concentrically in a segment of a spherical bowl (Fig. 2.5). The support is adjustable so that the axis of the sphere may be inclined to the angle of the local latitude. The spherical bowl segment holds the recording card. The glass sphere focuses the direct beam solar radiation on to the card, burning a trace whenever the Sun is shining. The position and length of the trace indicate the starting time and duration of the sunshine interval. The errors of this recorder are mainly due to the dependence of burning initiation on card’s temperature and humidity as well as to the overburning effect, especially in case of broken clouds (Kerr and Tabony 2004).</w:t>
      </w:r>
    </w:p>
    <w:p w:rsidR="0048501D" w:rsidRDefault="0048501D" w:rsidP="00F933A1">
      <w:pPr>
        <w:jc w:val="left"/>
      </w:pPr>
      <w:r>
        <w:rPr>
          <w:noProof/>
          <w:lang w:val="de-CH" w:eastAsia="de-CH"/>
        </w:rPr>
        <w:drawing>
          <wp:inline distT="0" distB="0" distL="0" distR="0" wp14:anchorId="67CB1C1B" wp14:editId="2BE60FC0">
            <wp:extent cx="4300569" cy="2133616"/>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0569" cy="2133616"/>
                    </a:xfrm>
                    <a:prstGeom prst="rect">
                      <a:avLst/>
                    </a:prstGeom>
                  </pic:spPr>
                </pic:pic>
              </a:graphicData>
            </a:graphic>
          </wp:inline>
        </w:drawing>
      </w:r>
    </w:p>
    <w:p w:rsidR="00546F09" w:rsidRDefault="00546F09" w:rsidP="00F933A1">
      <w:pPr>
        <w:jc w:val="left"/>
      </w:pPr>
      <w:r w:rsidRPr="009B2F6E">
        <w:rPr>
          <w:i/>
        </w:rPr>
        <w:t xml:space="preserve">Strahlungsart Beschreibung Messinstrument -&gt; Tabellarische Zusammenstellung </w:t>
      </w:r>
      <w:r w:rsidR="00F933A1" w:rsidRPr="009B2F6E">
        <w:rPr>
          <w:i/>
        </w:rPr>
        <w:t>gut!</w:t>
      </w:r>
      <w:r w:rsidR="00F933A1">
        <w:br/>
        <w:t>Die folgende Tabelle gibt einen Überblick über Strahlungsarten und mit welchen Instrumenten diese gemessen werden können:</w:t>
      </w:r>
    </w:p>
    <w:p w:rsidR="00F63998" w:rsidRDefault="00F63998" w:rsidP="00F933A1">
      <w:pPr>
        <w:jc w:val="left"/>
      </w:pPr>
    </w:p>
    <w:p w:rsidR="00546F09" w:rsidRPr="00841E7B" w:rsidRDefault="00C552D0" w:rsidP="00841E7B">
      <w:hyperlink r:id="rId15" w:history="1">
        <w:r w:rsidR="00B84496" w:rsidRPr="006A3CA1">
          <w:rPr>
            <w:rStyle w:val="Hyperlink"/>
          </w:rPr>
          <w:t>http://www.ammonit.com/de/wind-solar-wissen/solarmessung/473-messung-der-sonnenstrahlung</w:t>
        </w:r>
      </w:hyperlink>
      <w:r w:rsidR="00B84496">
        <w:br/>
      </w:r>
      <w:r w:rsidR="00B84496">
        <w:rPr>
          <w:noProof/>
          <w:lang w:val="de-CH" w:eastAsia="de-CH"/>
        </w:rPr>
        <w:drawing>
          <wp:inline distT="0" distB="0" distL="0" distR="0">
            <wp:extent cx="3030279" cy="400847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6105" cy="4016185"/>
                    </a:xfrm>
                    <a:prstGeom prst="rect">
                      <a:avLst/>
                    </a:prstGeom>
                    <a:noFill/>
                    <a:ln>
                      <a:noFill/>
                    </a:ln>
                  </pic:spPr>
                </pic:pic>
              </a:graphicData>
            </a:graphic>
          </wp:inline>
        </w:drawing>
      </w:r>
    </w:p>
    <w:p w:rsidR="00FB0693" w:rsidRDefault="004F10C3" w:rsidP="00CD51BF">
      <w:pPr>
        <w:pStyle w:val="berschrift2"/>
      </w:pPr>
      <w:bookmarkStart w:id="28" w:name="_Toc531888920"/>
      <w:r>
        <w:lastRenderedPageBreak/>
        <w:t>Wolken</w:t>
      </w:r>
      <w:bookmarkEnd w:id="28"/>
    </w:p>
    <w:p w:rsidR="004F10C3" w:rsidRPr="00A05CF4" w:rsidRDefault="004F10C3" w:rsidP="004F10C3">
      <w:pPr>
        <w:rPr>
          <w:lang w:val="en-US"/>
        </w:rPr>
      </w:pPr>
      <w:r w:rsidRPr="00A05CF4">
        <w:rPr>
          <w:i/>
          <w:lang w:val="en-US"/>
        </w:rPr>
        <w:t>Jan Kleissel Solar Energy Forecasting S57 Kap 3.3.1 Clouds</w:t>
      </w:r>
    </w:p>
    <w:p w:rsidR="004F10C3" w:rsidRDefault="00864856" w:rsidP="00864856">
      <w:pPr>
        <w:pStyle w:val="berschrift2"/>
      </w:pPr>
      <w:bookmarkStart w:id="29" w:name="_Toc531888921"/>
      <w:r>
        <w:t>Dreidimensionale Effekte in der Kurzeit Vorhersage</w:t>
      </w:r>
      <w:bookmarkEnd w:id="29"/>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864856" w:rsidRDefault="00586F60" w:rsidP="00E1167A">
      <w:pPr>
        <w:pStyle w:val="berschrift2"/>
      </w:pPr>
      <w:bookmarkStart w:id="30" w:name="_Toc531888922"/>
      <w:r>
        <w:t>Ursache und Wirkung der PV-Variabilität</w:t>
      </w:r>
      <w:bookmarkEnd w:id="30"/>
    </w:p>
    <w:p w:rsidR="00E1167A" w:rsidRPr="00A05CF4" w:rsidRDefault="00E1167A" w:rsidP="00E1167A">
      <w:pPr>
        <w:rPr>
          <w:i/>
          <w:lang w:val="en-US"/>
        </w:rPr>
      </w:pPr>
      <w:r w:rsidRPr="00A05CF4">
        <w:rPr>
          <w:i/>
          <w:lang w:val="en-US"/>
        </w:rPr>
        <w:t xml:space="preserve">Jan Kleissel Solar Energy Forecasting S129 Kap 6.1  Solar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A smal cloud passing in front of the Sun can cause a small PV installation to go from full production to almost none and then back to full production in a matter of secondsdthis impact is of concern to grid operators.</w:t>
      </w:r>
    </w:p>
    <w:p w:rsidR="00FC493B" w:rsidRPr="00A05CF4" w:rsidRDefault="00FC493B" w:rsidP="00FC493B">
      <w:pPr>
        <w:jc w:val="left"/>
        <w:rPr>
          <w:lang w:val="en-US"/>
        </w:rPr>
      </w:pPr>
      <w:r w:rsidRPr="00A05CF4">
        <w:rPr>
          <w:lang w:val="en-US"/>
        </w:rPr>
        <w:t xml:space="preserve">A general measure of the solar resource for nonconcentrating </w:t>
      </w:r>
      <w:r>
        <w:t>ﬂ</w:t>
      </w:r>
      <w:r w:rsidRPr="00A05CF4">
        <w:rPr>
          <w:lang w:val="en-US"/>
        </w:rPr>
        <w:t>atplate1 solar-system con</w:t>
      </w:r>
      <w:r>
        <w:t>ﬁ</w:t>
      </w:r>
      <w:r w:rsidRPr="00A05CF4">
        <w:rPr>
          <w:lang w:val="en-US"/>
        </w:rPr>
        <w:t>gurations is global horizontal irradiance (GHI). Shortterm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r w:rsidRPr="00A05CF4">
        <w:rPr>
          <w:lang w:val="en-US"/>
        </w:rPr>
        <w:t xml:space="preserve">uctuations and ramp rates of less than 20 s will affect small individual systems, but should be minimized when a </w:t>
      </w:r>
      <w:r>
        <w:t>ﬂ</w:t>
      </w:r>
      <w:r w:rsidRPr="00A05CF4">
        <w:rPr>
          <w:lang w:val="en-US"/>
        </w:rPr>
        <w:t xml:space="preserve">eet of such systems covers an area of a few square kilometers. At the system level, these </w:t>
      </w:r>
      <w:r>
        <w:t>ﬂ</w:t>
      </w:r>
      <w:r w:rsidRPr="00A05CF4">
        <w:rPr>
          <w:lang w:val="en-US"/>
        </w:rPr>
        <w:t>uctuations can (rarely) cause localized voltage disturbances and can cause systems to trip of</w:t>
      </w:r>
      <w:r>
        <w:t>ﬂ</w:t>
      </w:r>
      <w:r w:rsidRPr="00A05CF4">
        <w:rPr>
          <w:lang w:val="en-US"/>
        </w:rPr>
        <w:t>ine.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Jan Kleissel Solar Energy Forecasting S129 Kap 7.1  Quantifying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r w:rsidRPr="00A05CF4">
        <w:rPr>
          <w:lang w:val="en-US"/>
        </w:rPr>
        <w:t>icker issues. At longer timescales (minutes), producing less PV power than expected can cause balancing and, as a result, frequency issues, where load can exceed generation. PV power variability can be counteracted by other, fastramping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The main causes of solar variability are the movement of the Sun through the sky (i.e., power output drops to zero at night) and clouds passing over a PV module, temporarily reducing power output. Both of these effects can be seen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r w:rsidRPr="00A05CF4">
        <w:rPr>
          <w:lang w:val="en-US"/>
        </w:rPr>
        <w:t xml:space="preserve">ner view, however, there are many short </w:t>
      </w:r>
      <w:r>
        <w:t>ﬂ</w:t>
      </w:r>
      <w:r w:rsidRPr="00A05CF4">
        <w:rPr>
          <w:lang w:val="en-US"/>
        </w:rPr>
        <w:t>uctuations due to passing clouds or cloud fronts. Other factors, such as atmospheric content, module temperature, and system-speci</w:t>
      </w:r>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lastRenderedPageBreak/>
        <w:t>causes noticeable changes only over timescales of many minutes to hours, cloud-caused variability is dif</w:t>
      </w:r>
      <w:r>
        <w:t>ﬁ</w:t>
      </w:r>
      <w:r w:rsidRPr="00A05CF4">
        <w:rPr>
          <w:lang w:val="en-US"/>
        </w:rPr>
        <w:t>cult to predict and can cause signi</w:t>
      </w:r>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r w:rsidRPr="00A05CF4">
        <w:rPr>
          <w:lang w:val="en-US"/>
        </w:rPr>
        <w:t>uctuations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t>day, as smoothing depends on plant layout, the timescale of interest, and daily meteorological conditions.</w:t>
      </w:r>
    </w:p>
    <w:p w:rsidR="00CD51BF" w:rsidRDefault="003C521D" w:rsidP="00CD51BF">
      <w:pPr>
        <w:pStyle w:val="berschrift2"/>
      </w:pPr>
      <w:bookmarkStart w:id="31" w:name="_Toc531888923"/>
      <w:r>
        <w:t xml:space="preserve">Optik und </w:t>
      </w:r>
      <w:r w:rsidR="00A9619F">
        <w:t>b</w:t>
      </w:r>
      <w:r>
        <w:t>ildge</w:t>
      </w:r>
      <w:r w:rsidR="00A9619F">
        <w:t>bende Techniken</w:t>
      </w:r>
      <w:bookmarkEnd w:id="31"/>
      <w:r w:rsidR="00222670">
        <w:t xml:space="preserve"> </w:t>
      </w:r>
    </w:p>
    <w:p w:rsidR="00222670" w:rsidRPr="00222670" w:rsidRDefault="003978A4" w:rsidP="00222670">
      <w:r>
        <w:t xml:space="preserve">Diverse Arbeiten: </w:t>
      </w:r>
      <w:r w:rsidR="00222670">
        <w:t>All Sky Kam Astro</w:t>
      </w:r>
      <w:r>
        <w:t xml:space="preserve"> </w:t>
      </w:r>
      <w:r w:rsidR="00222670">
        <w:t>MANGO Report</w:t>
      </w:r>
      <w:r>
        <w:t xml:space="preserve"> </w:t>
      </w:r>
    </w:p>
    <w:p w:rsidR="003C521D" w:rsidRDefault="003C521D" w:rsidP="00A9619F">
      <w:pPr>
        <w:pStyle w:val="berschrift3"/>
        <w:tabs>
          <w:tab w:val="clear" w:pos="680"/>
        </w:tabs>
        <w:ind w:left="720" w:hanging="720"/>
      </w:pPr>
      <w:bookmarkStart w:id="32" w:name="_Toc531888924"/>
      <w:r>
        <w:t>Für die Auswahl der Optik bestimmende Faktoren</w:t>
      </w:r>
      <w:bookmarkEnd w:id="32"/>
    </w:p>
    <w:p w:rsidR="00237C16" w:rsidRDefault="00237C16" w:rsidP="00237C16">
      <w:pPr>
        <w:pStyle w:val="berschrift3"/>
        <w:tabs>
          <w:tab w:val="clear" w:pos="680"/>
        </w:tabs>
        <w:ind w:left="720" w:hanging="720"/>
      </w:pPr>
      <w:bookmarkStart w:id="33" w:name="_Toc531888925"/>
      <w:r>
        <w:t>Bildwinkel</w:t>
      </w:r>
      <w:bookmarkEnd w:id="33"/>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val="de-CH"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34" w:name="_Toc531888926"/>
      <w:r>
        <w:t>Optische Verzerrung</w:t>
      </w:r>
      <w:bookmarkEnd w:id="34"/>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C552D0">
      <w:pPr>
        <w:rPr>
          <w:lang w:val="en-US"/>
        </w:rPr>
      </w:pPr>
      <w:hyperlink r:id="rId18"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35" w:name="_Toc531888927"/>
      <w:r>
        <w:lastRenderedPageBreak/>
        <w:t>Die Verwendung eines Fischaugenobjektivs</w:t>
      </w:r>
      <w:bookmarkEnd w:id="35"/>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C552D0" w:rsidP="00937328">
      <w:pPr>
        <w:rPr>
          <w:lang w:val="en-US"/>
        </w:rPr>
      </w:pPr>
      <w:hyperlink r:id="rId19"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36" w:name="_Toc531888928"/>
      <w:r>
        <w:t>Bildverarbeitung</w:t>
      </w:r>
      <w:bookmarkEnd w:id="36"/>
    </w:p>
    <w:p w:rsidR="00B50971" w:rsidRDefault="00B50971" w:rsidP="00B50971">
      <w:pPr>
        <w:pStyle w:val="berschrift3"/>
        <w:tabs>
          <w:tab w:val="clear" w:pos="680"/>
        </w:tabs>
        <w:ind w:left="720" w:hanging="720"/>
      </w:pPr>
      <w:bookmarkStart w:id="37" w:name="_Toc531888929"/>
      <w:r>
        <w:t xml:space="preserve">Eigenschaften einer </w:t>
      </w:r>
      <w:r w:rsidR="007D61D0">
        <w:t>Weitwinkelaufnahme</w:t>
      </w:r>
      <w:bookmarkEnd w:id="37"/>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9E49D5" w:rsidRDefault="009E49D5" w:rsidP="003978A4">
      <w:pPr>
        <w:pStyle w:val="berschrift3"/>
        <w:tabs>
          <w:tab w:val="clear" w:pos="680"/>
        </w:tabs>
        <w:ind w:left="720" w:hanging="720"/>
      </w:pPr>
      <w:bookmarkStart w:id="38" w:name="_Toc531888930"/>
      <w:r>
        <w:t>CCD</w:t>
      </w:r>
      <w:bookmarkEnd w:id="38"/>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Pr="00A05CF4"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39354D" w:rsidRDefault="005C5914" w:rsidP="0039354D">
      <w:pPr>
        <w:pStyle w:val="berschrift1"/>
        <w:tabs>
          <w:tab w:val="clear" w:pos="680"/>
          <w:tab w:val="num" w:pos="720"/>
        </w:tabs>
        <w:ind w:left="720" w:hanging="720"/>
      </w:pPr>
      <w:bookmarkStart w:id="39" w:name="_Toc531888931"/>
      <w:r>
        <w:lastRenderedPageBreak/>
        <w:t xml:space="preserve">Übersicht solarer Vorhersage </w:t>
      </w:r>
      <w:r w:rsidR="0039354D">
        <w:t>Methoden</w:t>
      </w:r>
      <w:bookmarkEnd w:id="39"/>
    </w:p>
    <w:p w:rsidR="00827F54" w:rsidRPr="00827F54" w:rsidRDefault="00827F54" w:rsidP="00827F54">
      <w:pPr>
        <w:pStyle w:val="berschrift3"/>
        <w:tabs>
          <w:tab w:val="clear" w:pos="680"/>
        </w:tabs>
        <w:ind w:left="720" w:hanging="720"/>
      </w:pPr>
      <w:bookmarkStart w:id="40" w:name="_Toc531888932"/>
      <w:r>
        <w:t xml:space="preserve">Klassifikation </w:t>
      </w:r>
      <w:r w:rsidRPr="00827F54">
        <w:t>solare</w:t>
      </w:r>
      <w:r>
        <w:t>r</w:t>
      </w:r>
      <w:r w:rsidRPr="00827F54">
        <w:t xml:space="preserve"> Vorhersage Methoden</w:t>
      </w:r>
      <w:bookmarkEnd w:id="40"/>
    </w:p>
    <w:p w:rsidR="00F108A1" w:rsidRPr="00A05CF4" w:rsidRDefault="00F108A1" w:rsidP="00F108A1">
      <w:pPr>
        <w:rPr>
          <w:i/>
          <w:lang w:val="en-US"/>
        </w:rPr>
      </w:pPr>
      <w:r w:rsidRPr="00A05CF4">
        <w:rPr>
          <w:i/>
          <w:lang w:val="en-US"/>
        </w:rPr>
        <w:t xml:space="preserve">Jan Kleissel Solar Energy Forecasting </w:t>
      </w:r>
      <w:r w:rsidR="00972342" w:rsidRPr="00A05CF4">
        <w:rPr>
          <w:i/>
          <w:lang w:val="en-US"/>
        </w:rPr>
        <w:t>S166</w:t>
      </w:r>
      <w:r w:rsidRPr="00A05CF4">
        <w:rPr>
          <w:i/>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val="de-CH"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provided depends on a number of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view). For low and fast clouds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41" w:name="_Toc531888933"/>
      <w:r>
        <w:lastRenderedPageBreak/>
        <w:t>Ris</w:t>
      </w:r>
      <w:r w:rsidR="009A5D84">
        <w:t>i</w:t>
      </w:r>
      <w:r>
        <w:t>koanalyse</w:t>
      </w:r>
      <w:bookmarkEnd w:id="41"/>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77210A" w:rsidRPr="00A05CF4" w:rsidRDefault="0077210A">
      <w:pPr>
        <w:spacing w:before="0" w:line="240" w:lineRule="auto"/>
        <w:jc w:val="left"/>
        <w:rPr>
          <w:lang w:val="en-US"/>
        </w:rPr>
      </w:pPr>
      <w:r w:rsidRPr="00A05CF4">
        <w:rPr>
          <w:lang w:val="en-US"/>
        </w:rPr>
        <w:br w:type="page"/>
      </w:r>
    </w:p>
    <w:p w:rsidR="008E57C0" w:rsidRPr="00A05CF4" w:rsidRDefault="008E57C0" w:rsidP="008E57C0">
      <w:pPr>
        <w:rPr>
          <w:lang w:val="en-US"/>
        </w:rPr>
      </w:pPr>
    </w:p>
    <w:p w:rsidR="00284FA6" w:rsidRDefault="00284FA6">
      <w:pPr>
        <w:pStyle w:val="berschrift1"/>
      </w:pPr>
      <w:bookmarkStart w:id="42" w:name="_Ref491684646"/>
      <w:bookmarkStart w:id="43" w:name="_Toc531888934"/>
      <w:r>
        <w:lastRenderedPageBreak/>
        <w:t>Stand der Technik</w:t>
      </w:r>
      <w:bookmarkEnd w:id="42"/>
      <w:bookmarkEnd w:id="43"/>
    </w:p>
    <w:p w:rsidR="008B28D1" w:rsidRDefault="00284FA6" w:rsidP="008B28D1">
      <w:r>
        <w:t xml:space="preserve">Die Idee, eine spezielle Word-Dokumentvorlage zum Schreiben von </w:t>
      </w:r>
      <w:r w:rsidR="00583AA1">
        <w:t>Abschlussarbeiten</w:t>
      </w:r>
      <w:r>
        <w:t xml:space="preserve"> und anderen wissenschaftlichen Arbeiten zu entwickeln, ist zwar naheliegend, doch ist eine Internet-Recherche nach einschlägigen Lösungen wenig ergiebig</w:t>
      </w:r>
    </w:p>
    <w:p w:rsidR="00284FA6" w:rsidRDefault="00284FA6">
      <w:pPr>
        <w:pStyle w:val="berschrift1"/>
        <w:numPr>
          <w:ilvl w:val="0"/>
          <w:numId w:val="0"/>
        </w:numPr>
      </w:pPr>
      <w:bookmarkStart w:id="44" w:name="_Ref491742270"/>
      <w:bookmarkStart w:id="45" w:name="_Ref491742277"/>
      <w:bookmarkStart w:id="46" w:name="_Toc531888935"/>
      <w:r>
        <w:lastRenderedPageBreak/>
        <w:t xml:space="preserve">Anhang A: Beispiele für die Gliederung von </w:t>
      </w:r>
      <w:r w:rsidR="00583AA1">
        <w:t>Abschlussarbeiten</w:t>
      </w:r>
      <w:bookmarkEnd w:id="44"/>
      <w:bookmarkEnd w:id="45"/>
      <w:bookmarkEnd w:id="46"/>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47" w:name="_Toc531888936"/>
      <w:r>
        <w:t>A.1 Literaturarbeiten</w:t>
      </w:r>
      <w:bookmarkEnd w:id="47"/>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48" w:name="_Toc531888937"/>
      <w:r>
        <w:t>A.2 Systementwicklungen</w:t>
      </w:r>
      <w:bookmarkEnd w:id="48"/>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49" w:name="_Toc531888938"/>
      <w:r>
        <w:lastRenderedPageBreak/>
        <w:t>Anhang B: Formatvorlagen</w:t>
      </w:r>
      <w:bookmarkEnd w:id="49"/>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50" w:name="_Toc493178522"/>
      <w:r>
        <w:t xml:space="preserve">Tabelle </w:t>
      </w:r>
      <w:r w:rsidR="00C552D0">
        <w:rPr>
          <w:noProof/>
        </w:rPr>
        <w:fldChar w:fldCharType="begin"/>
      </w:r>
      <w:r w:rsidR="00C552D0">
        <w:rPr>
          <w:noProof/>
        </w:rPr>
        <w:instrText xml:space="preserve"> SEQ Tabelle \* ARABIC </w:instrText>
      </w:r>
      <w:r w:rsidR="00C552D0">
        <w:rPr>
          <w:noProof/>
        </w:rPr>
        <w:fldChar w:fldCharType="separate"/>
      </w:r>
      <w:r w:rsidR="00824316">
        <w:rPr>
          <w:noProof/>
        </w:rPr>
        <w:t>3</w:t>
      </w:r>
      <w:r w:rsidR="00C552D0">
        <w:rPr>
          <w:noProof/>
        </w:rPr>
        <w:fldChar w:fldCharType="end"/>
      </w:r>
      <w:r>
        <w:t>: Aufstellung der wichtigsten Formatvorlagen der Dokumentvorlage</w:t>
      </w:r>
      <w:bookmarkEnd w:id="50"/>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51" w:name="_Ref492657968"/>
      <w:bookmarkStart w:id="52" w:name="_Toc531888939"/>
      <w:r>
        <w:lastRenderedPageBreak/>
        <w:t>Glossar</w:t>
      </w:r>
      <w:bookmarkEnd w:id="51"/>
      <w:bookmarkEnd w:id="52"/>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Default="006B77EF">
      <w:pPr>
        <w:pStyle w:val="berschrift1"/>
        <w:numPr>
          <w:ilvl w:val="0"/>
          <w:numId w:val="0"/>
        </w:numPr>
      </w:pPr>
      <w:bookmarkStart w:id="53" w:name="_Toc531888940"/>
      <w:r>
        <w:lastRenderedPageBreak/>
        <w:t>Quellen</w:t>
      </w:r>
      <w:r w:rsidR="00284FA6">
        <w:t>verzeichnis</w:t>
      </w:r>
      <w:bookmarkEnd w:id="53"/>
    </w:p>
    <w:p w:rsidR="00284FA6" w:rsidRDefault="00284FA6">
      <w:pPr>
        <w:pStyle w:val="Literaturverzeichnis"/>
      </w:pPr>
      <w:r>
        <w:rPr>
          <w:b/>
        </w:rPr>
        <w:t>HBI</w:t>
      </w:r>
      <w:r>
        <w:t xml:space="preserve"> (2001): Merkblatt zur Diplomarbeit</w:t>
      </w:r>
      <w:r>
        <w:rPr>
          <w:b/>
        </w:rPr>
        <w:t xml:space="preserve">. </w:t>
      </w:r>
      <w:r>
        <w:t>Hochschule für Bibliotheks- und Informationswesen Stuttgart.</w:t>
      </w:r>
    </w:p>
    <w:p w:rsidR="00284FA6" w:rsidRDefault="00284FA6"/>
    <w:p w:rsidR="00207425" w:rsidRPr="00207425" w:rsidRDefault="0079225D" w:rsidP="00207425">
      <w:pPr>
        <w:pStyle w:val="Literaturverzeichnis"/>
      </w:pPr>
      <w:r>
        <w:fldChar w:fldCharType="begin"/>
      </w:r>
      <w:r w:rsidR="00207425">
        <w:instrText xml:space="preserve"> ADDIN ZOTERO_BIBL {"uncited":[],"omitted":[],"custom":[]} CSL_BIBLIOGRAPHY </w:instrText>
      </w:r>
      <w:r>
        <w:fldChar w:fldCharType="separate"/>
      </w:r>
      <w:r w:rsidR="00207425" w:rsidRPr="00207425">
        <w:t>[1]</w:t>
      </w:r>
      <w:r w:rsidR="00207425" w:rsidRPr="00207425">
        <w:tab/>
        <w:t xml:space="preserve">V. Quaschning, </w:t>
      </w:r>
      <w:r w:rsidR="00207425" w:rsidRPr="00207425">
        <w:rPr>
          <w:i/>
          <w:iCs/>
        </w:rPr>
        <w:t>Regenerative Energiesysteme: Technologie - Berechnung - Simulation</w:t>
      </w:r>
      <w:r w:rsidR="00207425" w:rsidRPr="00207425">
        <w:t>, 9., aktualisierte und erweiterte Auflage. München: Hanser, 2015.</w:t>
      </w:r>
    </w:p>
    <w:p w:rsidR="0079225D" w:rsidRDefault="0079225D">
      <w:pPr>
        <w:sectPr w:rsidR="0079225D">
          <w:headerReference w:type="even" r:id="rId21"/>
          <w:headerReference w:type="default" r:id="rId22"/>
          <w:footerReference w:type="even" r:id="rId23"/>
          <w:footerReference w:type="default" r:id="rId24"/>
          <w:headerReference w:type="first" r:id="rId25"/>
          <w:footerReference w:type="first" r:id="rId26"/>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54" w:name="_Toc531888941"/>
      <w:r>
        <w:lastRenderedPageBreak/>
        <w:t>Stichwortverzeichnis</w:t>
      </w:r>
      <w:bookmarkEnd w:id="54"/>
    </w:p>
    <w:p w:rsidR="00824316" w:rsidRDefault="00284FA6">
      <w:pPr>
        <w:rPr>
          <w:noProof/>
        </w:rPr>
        <w:sectPr w:rsidR="00824316" w:rsidSect="00824316">
          <w:headerReference w:type="first" r:id="rId27"/>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824316">
          <w:type w:val="continuous"/>
          <w:pgSz w:w="11906" w:h="16838" w:code="9"/>
          <w:pgMar w:top="1418" w:right="1418" w:bottom="1134" w:left="1985" w:header="720" w:footer="720" w:gutter="0"/>
          <w:cols w:num="2" w:space="720"/>
        </w:sectPr>
      </w:pPr>
    </w:p>
    <w:p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573" w:rsidRDefault="007E2573">
      <w:pPr>
        <w:spacing w:before="0" w:line="240" w:lineRule="auto"/>
      </w:pPr>
      <w:r>
        <w:separator/>
      </w:r>
    </w:p>
  </w:endnote>
  <w:endnote w:type="continuationSeparator" w:id="0">
    <w:p w:rsidR="007E2573" w:rsidRDefault="007E257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573" w:rsidRDefault="007E2573">
      <w:pPr>
        <w:spacing w:before="0" w:line="240" w:lineRule="auto"/>
      </w:pPr>
      <w:r>
        <w:separator/>
      </w:r>
    </w:p>
  </w:footnote>
  <w:footnote w:type="continuationSeparator" w:id="0">
    <w:p w:rsidR="007E2573" w:rsidRDefault="007E2573">
      <w:pPr>
        <w:spacing w:before="0" w:line="240" w:lineRule="auto"/>
      </w:pPr>
      <w:r>
        <w:continuationSeparator/>
      </w:r>
    </w:p>
  </w:footnote>
  <w:footnote w:id="1">
    <w:p w:rsidR="00C552D0" w:rsidRPr="00856265" w:rsidRDefault="00C552D0" w:rsidP="005813A7">
      <w:pPr>
        <w:pStyle w:val="Funotentext"/>
        <w:rPr>
          <w:lang w:val="de-CH"/>
        </w:rPr>
      </w:pPr>
      <w:r>
        <w:rPr>
          <w:rStyle w:val="Funotenzeichen"/>
        </w:rPr>
        <w:footnoteRef/>
      </w:r>
      <w:r>
        <w:t xml:space="preserve"> </w:t>
      </w:r>
      <w:hyperlink r:id="rId1" w:history="1">
        <w:r w:rsidRPr="00C37483">
          <w:rPr>
            <w:rStyle w:val="Hyperlink"/>
          </w:rPr>
          <w:t>http://www.fulcrum3d.com/index.php/cloudcam/technology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194AF7">
      <w:rPr>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194AF7">
      <w:rPr>
        <w:noProof/>
      </w:rPr>
      <w:instrText>2</w:instrText>
    </w:r>
    <w:r>
      <w:rPr>
        <w:noProof/>
      </w:rPr>
      <w:fldChar w:fldCharType="end"/>
    </w:r>
    <w:r>
      <w:instrText xml:space="preserve"> " " \* MERGEFORMAT </w:instrText>
    </w:r>
    <w:r>
      <w:fldChar w:fldCharType="separate"/>
    </w:r>
    <w:r w:rsidR="00194AF7">
      <w:rPr>
        <w:noProof/>
      </w:rPr>
      <w:instrText>2</w:instrText>
    </w:r>
    <w:r w:rsidR="00194AF7">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194AF7">
      <w:rPr>
        <w:noProof/>
      </w:rPr>
      <w:t>Abkürzungsverzeichnis</w:t>
    </w:r>
    <w:r>
      <w:rPr>
        <w:noProof/>
      </w:rPr>
      <w:fldChar w:fldCharType="end"/>
    </w:r>
    <w:r>
      <w:tab/>
    </w:r>
    <w:r>
      <w:fldChar w:fldCharType="begin"/>
    </w:r>
    <w:r>
      <w:instrText xml:space="preserve"> PAGE  \* MERGEFORMAT </w:instrText>
    </w:r>
    <w:r>
      <w:fldChar w:fldCharType="separate"/>
    </w:r>
    <w:r w:rsidR="00194AF7">
      <w:rPr>
        <w:noProof/>
      </w:rPr>
      <w:t>8</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2D0" w:rsidRDefault="00C552D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4C6A"/>
    <w:rsid w:val="00011508"/>
    <w:rsid w:val="000239DE"/>
    <w:rsid w:val="0003242D"/>
    <w:rsid w:val="00080A15"/>
    <w:rsid w:val="00080B9A"/>
    <w:rsid w:val="00097B2B"/>
    <w:rsid w:val="000B0018"/>
    <w:rsid w:val="000D0CE1"/>
    <w:rsid w:val="000D1285"/>
    <w:rsid w:val="00111AC6"/>
    <w:rsid w:val="0011619B"/>
    <w:rsid w:val="00117C19"/>
    <w:rsid w:val="00135B85"/>
    <w:rsid w:val="001642F6"/>
    <w:rsid w:val="0019162E"/>
    <w:rsid w:val="00194AF7"/>
    <w:rsid w:val="0019585B"/>
    <w:rsid w:val="001B3225"/>
    <w:rsid w:val="001F09F3"/>
    <w:rsid w:val="00207425"/>
    <w:rsid w:val="00216360"/>
    <w:rsid w:val="00222670"/>
    <w:rsid w:val="00237C16"/>
    <w:rsid w:val="00246654"/>
    <w:rsid w:val="00284FA6"/>
    <w:rsid w:val="0029592F"/>
    <w:rsid w:val="002A41CA"/>
    <w:rsid w:val="002D483A"/>
    <w:rsid w:val="002F36E1"/>
    <w:rsid w:val="00307D2A"/>
    <w:rsid w:val="00315EB6"/>
    <w:rsid w:val="00336A89"/>
    <w:rsid w:val="00337F61"/>
    <w:rsid w:val="00340216"/>
    <w:rsid w:val="0035309C"/>
    <w:rsid w:val="003639D2"/>
    <w:rsid w:val="003647EE"/>
    <w:rsid w:val="00376DCD"/>
    <w:rsid w:val="0039354D"/>
    <w:rsid w:val="003978A4"/>
    <w:rsid w:val="003C521D"/>
    <w:rsid w:val="003E05AD"/>
    <w:rsid w:val="0040502E"/>
    <w:rsid w:val="00411744"/>
    <w:rsid w:val="004132D2"/>
    <w:rsid w:val="0041674D"/>
    <w:rsid w:val="00425657"/>
    <w:rsid w:val="00440D21"/>
    <w:rsid w:val="00463FC4"/>
    <w:rsid w:val="0048501D"/>
    <w:rsid w:val="00486AA1"/>
    <w:rsid w:val="0049163C"/>
    <w:rsid w:val="004C47B3"/>
    <w:rsid w:val="004F10C3"/>
    <w:rsid w:val="004F64A4"/>
    <w:rsid w:val="00541CB7"/>
    <w:rsid w:val="00546F09"/>
    <w:rsid w:val="00573F73"/>
    <w:rsid w:val="005813A7"/>
    <w:rsid w:val="00583AA1"/>
    <w:rsid w:val="00586D3D"/>
    <w:rsid w:val="00586F60"/>
    <w:rsid w:val="005921A2"/>
    <w:rsid w:val="005A7737"/>
    <w:rsid w:val="005C5914"/>
    <w:rsid w:val="005D26BD"/>
    <w:rsid w:val="005F576C"/>
    <w:rsid w:val="00610440"/>
    <w:rsid w:val="0066763B"/>
    <w:rsid w:val="00697181"/>
    <w:rsid w:val="006A0B05"/>
    <w:rsid w:val="006B4180"/>
    <w:rsid w:val="006B77EF"/>
    <w:rsid w:val="006D45A1"/>
    <w:rsid w:val="006E7126"/>
    <w:rsid w:val="006E7EF2"/>
    <w:rsid w:val="006F6078"/>
    <w:rsid w:val="007035C5"/>
    <w:rsid w:val="00717EC0"/>
    <w:rsid w:val="007529F4"/>
    <w:rsid w:val="007648E0"/>
    <w:rsid w:val="0077210A"/>
    <w:rsid w:val="0077331A"/>
    <w:rsid w:val="0079225D"/>
    <w:rsid w:val="007A00FC"/>
    <w:rsid w:val="007A060E"/>
    <w:rsid w:val="007A1B96"/>
    <w:rsid w:val="007D3976"/>
    <w:rsid w:val="007D61D0"/>
    <w:rsid w:val="007E2573"/>
    <w:rsid w:val="00805892"/>
    <w:rsid w:val="0081447D"/>
    <w:rsid w:val="00824316"/>
    <w:rsid w:val="00827F54"/>
    <w:rsid w:val="00830CD9"/>
    <w:rsid w:val="00841E7B"/>
    <w:rsid w:val="008507CF"/>
    <w:rsid w:val="00851986"/>
    <w:rsid w:val="00853009"/>
    <w:rsid w:val="00862DDF"/>
    <w:rsid w:val="00864856"/>
    <w:rsid w:val="008A65C5"/>
    <w:rsid w:val="008B28D1"/>
    <w:rsid w:val="008C44B0"/>
    <w:rsid w:val="008E57C0"/>
    <w:rsid w:val="00923E3A"/>
    <w:rsid w:val="00924E99"/>
    <w:rsid w:val="00931AC1"/>
    <w:rsid w:val="009363B9"/>
    <w:rsid w:val="00937328"/>
    <w:rsid w:val="00956100"/>
    <w:rsid w:val="009669DF"/>
    <w:rsid w:val="00967BCF"/>
    <w:rsid w:val="00972342"/>
    <w:rsid w:val="0097476B"/>
    <w:rsid w:val="009767C9"/>
    <w:rsid w:val="0099695C"/>
    <w:rsid w:val="009A5D84"/>
    <w:rsid w:val="009B2F6E"/>
    <w:rsid w:val="009D2209"/>
    <w:rsid w:val="009E49D5"/>
    <w:rsid w:val="009F0F37"/>
    <w:rsid w:val="009F1EE3"/>
    <w:rsid w:val="009F218F"/>
    <w:rsid w:val="009F4848"/>
    <w:rsid w:val="00A05CF4"/>
    <w:rsid w:val="00A30F98"/>
    <w:rsid w:val="00A32299"/>
    <w:rsid w:val="00A35092"/>
    <w:rsid w:val="00A5114A"/>
    <w:rsid w:val="00A609DA"/>
    <w:rsid w:val="00A73639"/>
    <w:rsid w:val="00A9619F"/>
    <w:rsid w:val="00A9651E"/>
    <w:rsid w:val="00AC3989"/>
    <w:rsid w:val="00AC6692"/>
    <w:rsid w:val="00AF5960"/>
    <w:rsid w:val="00B17F93"/>
    <w:rsid w:val="00B30A17"/>
    <w:rsid w:val="00B343AD"/>
    <w:rsid w:val="00B4768E"/>
    <w:rsid w:val="00B50971"/>
    <w:rsid w:val="00B60278"/>
    <w:rsid w:val="00B84496"/>
    <w:rsid w:val="00B9672F"/>
    <w:rsid w:val="00BA1564"/>
    <w:rsid w:val="00BA7590"/>
    <w:rsid w:val="00BD1D95"/>
    <w:rsid w:val="00BD6EF6"/>
    <w:rsid w:val="00BF0354"/>
    <w:rsid w:val="00BF4C16"/>
    <w:rsid w:val="00BF7EB9"/>
    <w:rsid w:val="00C15D95"/>
    <w:rsid w:val="00C211F6"/>
    <w:rsid w:val="00C24E59"/>
    <w:rsid w:val="00C552D0"/>
    <w:rsid w:val="00C769D0"/>
    <w:rsid w:val="00C80E81"/>
    <w:rsid w:val="00C81472"/>
    <w:rsid w:val="00C969F6"/>
    <w:rsid w:val="00CC32D0"/>
    <w:rsid w:val="00CD51BF"/>
    <w:rsid w:val="00CD6A38"/>
    <w:rsid w:val="00CE73C2"/>
    <w:rsid w:val="00D1334E"/>
    <w:rsid w:val="00D1524E"/>
    <w:rsid w:val="00D4321E"/>
    <w:rsid w:val="00D5488E"/>
    <w:rsid w:val="00D668E0"/>
    <w:rsid w:val="00DA2BAE"/>
    <w:rsid w:val="00DF0490"/>
    <w:rsid w:val="00DF5BCB"/>
    <w:rsid w:val="00E016C0"/>
    <w:rsid w:val="00E0568A"/>
    <w:rsid w:val="00E06F03"/>
    <w:rsid w:val="00E071C6"/>
    <w:rsid w:val="00E07EEF"/>
    <w:rsid w:val="00E1167A"/>
    <w:rsid w:val="00E13A68"/>
    <w:rsid w:val="00E37B1A"/>
    <w:rsid w:val="00E44392"/>
    <w:rsid w:val="00E845CD"/>
    <w:rsid w:val="00E97CE1"/>
    <w:rsid w:val="00EB4FAD"/>
    <w:rsid w:val="00ED716D"/>
    <w:rsid w:val="00EE359E"/>
    <w:rsid w:val="00EE7493"/>
    <w:rsid w:val="00F108A1"/>
    <w:rsid w:val="00F138EE"/>
    <w:rsid w:val="00F20135"/>
    <w:rsid w:val="00F2556B"/>
    <w:rsid w:val="00F30BCD"/>
    <w:rsid w:val="00F41086"/>
    <w:rsid w:val="00F43932"/>
    <w:rsid w:val="00F439FA"/>
    <w:rsid w:val="00F443C0"/>
    <w:rsid w:val="00F63998"/>
    <w:rsid w:val="00F65BAD"/>
    <w:rsid w:val="00F71495"/>
    <w:rsid w:val="00F74B22"/>
    <w:rsid w:val="00F7576C"/>
    <w:rsid w:val="00F933A1"/>
    <w:rsid w:val="00FB0693"/>
    <w:rsid w:val="00FC493B"/>
    <w:rsid w:val="00FC4B0B"/>
    <w:rsid w:val="00FD71C8"/>
    <w:rsid w:val="00FE65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06D08C"/>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UnresolvedMention">
    <w:name w:val="Unresolved Mention"/>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wikipedia.org/wiki/Bildwinkel"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ammonit.com/de/wind-solar-wissen/solarmessung/473-messung-der-sonnenstrahlung" TargetMode="External"/><Relationship Id="rId23" Type="http://schemas.openxmlformats.org/officeDocument/2006/relationships/footer" Target="footer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wikipedia.org/wiki/Weitwinkelobjekti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ABF3E4-3648-4312-ADA2-9E92ECF03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8263</Words>
  <Characters>52057</Characters>
  <Application>Microsoft Office Word</Application>
  <DocSecurity>0</DocSecurity>
  <Lines>433</Lines>
  <Paragraphs>120</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60200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122</cp:revision>
  <cp:lastPrinted>2011-10-23T20:42:00Z</cp:lastPrinted>
  <dcterms:created xsi:type="dcterms:W3CDTF">2017-10-04T05:43:00Z</dcterms:created>
  <dcterms:modified xsi:type="dcterms:W3CDTF">2018-12-07T13:42:00Z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id="Wy9VCGZp"/&gt;&lt;style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