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tbl>
      <w:tblPr>
        <w:tblStyle w:val="Table1"/>
        <w:bidi w:val="0"/>
        <w:tblW w:w="9020.0" w:type="dxa"/>
        <w:jc w:val="center"/>
        <w:tblInd w:w="-230.0" w:type="dxa"/>
        <w:tblLayout w:type="fixed"/>
        <w:tblLook w:val="0400"/>
      </w:tblPr>
      <w:tblGrid>
        <w:gridCol w:w="9020"/>
        <w:tblGridChange w:id="0">
          <w:tblGrid>
            <w:gridCol w:w="9020"/>
          </w:tblGrid>
        </w:tblGridChange>
      </w:tblGrid>
      <w:tr>
        <w:trPr>
          <w:trHeight w:val="1440" w:hRule="atLeast"/>
        </w:trPr>
        <w:tc>
          <w:tcPr>
            <w:tcBorders>
              <w:bottom w:color="4f81bd" w:space="0" w:sz="4" w:val="single"/>
            </w:tcBorders>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76"/>
                <w:szCs w:val="76"/>
                <w:rtl w:val="0"/>
              </w:rPr>
              <w:t xml:space="preserve">Begroting</w:t>
            </w:r>
          </w:p>
        </w:tc>
      </w:tr>
      <w:tr>
        <w:trPr>
          <w:trHeight w:val="720" w:hRule="atLeast"/>
        </w:trPr>
        <w:tc>
          <w:tcPr>
            <w:tcBorders>
              <w:top w:color="4f81bd" w:space="0" w:sz="4" w:val="single"/>
            </w:tcBorders>
            <w:vAlign w:val="center"/>
          </w:tcPr>
          <w:p w:rsidR="00000000" w:rsidDel="00000000" w:rsidP="00000000" w:rsidRDefault="00000000" w:rsidRPr="00000000">
            <w:pPr>
              <w:spacing w:line="240" w:lineRule="auto"/>
              <w:contextualSpacing w:val="0"/>
              <w:jc w:val="center"/>
            </w:pPr>
            <w:r w:rsidDel="00000000" w:rsidR="00000000" w:rsidRPr="00000000">
              <w:rPr>
                <w:i w:val="1"/>
                <w:sz w:val="44"/>
                <w:szCs w:val="44"/>
                <w:rtl w:val="0"/>
              </w:rPr>
              <w:t xml:space="preserve">Project Agile Development</w:t>
            </w:r>
            <w:r w:rsidDel="00000000" w:rsidR="00000000" w:rsidRPr="00000000">
              <w:rPr>
                <w:rtl w:val="0"/>
              </w:rPr>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741775" cy="1184931"/>
            <wp:effectExtent b="0" l="0" r="0" t="0"/>
            <wp:docPr descr="Schermafbeelding 2016-02-18 om 15.46.48.png" id="1" name="image01.png"/>
            <a:graphic>
              <a:graphicData uri="http://schemas.openxmlformats.org/drawingml/2006/picture">
                <pic:pic>
                  <pic:nvPicPr>
                    <pic:cNvPr descr="Schermafbeelding 2016-02-18 om 15.46.48.png" id="0" name="image01.png"/>
                    <pic:cNvPicPr preferRelativeResize="0"/>
                  </pic:nvPicPr>
                  <pic:blipFill>
                    <a:blip r:embed="rId5"/>
                    <a:srcRect b="0" l="0" r="0" t="0"/>
                    <a:stretch>
                      <a:fillRect/>
                    </a:stretch>
                  </pic:blipFill>
                  <pic:spPr>
                    <a:xfrm>
                      <a:off x="0" y="0"/>
                      <a:ext cx="2741775" cy="118493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9/3/2016</w:t>
      </w:r>
    </w:p>
    <w:p w:rsidR="00000000" w:rsidDel="00000000" w:rsidP="00000000" w:rsidRDefault="00000000" w:rsidRPr="00000000">
      <w:pPr>
        <w:contextualSpacing w:val="0"/>
      </w:pPr>
      <w:r w:rsidDel="00000000" w:rsidR="00000000" w:rsidRPr="00000000">
        <w:rPr>
          <w:rtl w:val="0"/>
        </w:rPr>
        <w:t xml:space="preserve">BOOT – Groep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500741755 - Juan Albergen</w:t>
      </w:r>
    </w:p>
    <w:p w:rsidR="00000000" w:rsidDel="00000000" w:rsidP="00000000" w:rsidRDefault="00000000" w:rsidRPr="00000000">
      <w:pPr>
        <w:contextualSpacing w:val="0"/>
      </w:pPr>
      <w:r w:rsidDel="00000000" w:rsidR="00000000" w:rsidRPr="00000000">
        <w:rPr>
          <w:rtl w:val="0"/>
        </w:rPr>
        <w:t xml:space="preserve">500728930 - Matthijs Blankevoort</w:t>
      </w:r>
    </w:p>
    <w:p w:rsidR="00000000" w:rsidDel="00000000" w:rsidP="00000000" w:rsidRDefault="00000000" w:rsidRPr="00000000">
      <w:pPr>
        <w:contextualSpacing w:val="0"/>
      </w:pPr>
      <w:r w:rsidDel="00000000" w:rsidR="00000000" w:rsidRPr="00000000">
        <w:rPr>
          <w:rtl w:val="0"/>
        </w:rPr>
        <w:t xml:space="preserve">500724556 - Glenn Bond</w:t>
      </w:r>
    </w:p>
    <w:p w:rsidR="00000000" w:rsidDel="00000000" w:rsidP="00000000" w:rsidRDefault="00000000" w:rsidRPr="00000000">
      <w:pPr>
        <w:contextualSpacing w:val="0"/>
      </w:pPr>
      <w:r w:rsidDel="00000000" w:rsidR="00000000" w:rsidRPr="00000000">
        <w:rPr>
          <w:rtl w:val="0"/>
        </w:rPr>
        <w:t xml:space="preserve">500744286 - Aleksej Horvat</w:t>
      </w:r>
    </w:p>
    <w:p w:rsidR="00000000" w:rsidDel="00000000" w:rsidP="00000000" w:rsidRDefault="00000000" w:rsidRPr="00000000">
      <w:pPr>
        <w:contextualSpacing w:val="0"/>
      </w:pPr>
      <w:r w:rsidDel="00000000" w:rsidR="00000000" w:rsidRPr="00000000">
        <w:rPr>
          <w:rtl w:val="0"/>
        </w:rPr>
        <w:t xml:space="preserve">500742553 - Douk van der Putten</w:t>
      </w:r>
    </w:p>
    <w:p w:rsidR="00000000" w:rsidDel="00000000" w:rsidP="00000000" w:rsidRDefault="00000000" w:rsidRPr="00000000">
      <w:pPr>
        <w:contextualSpacing w:val="0"/>
      </w:pPr>
      <w:r w:rsidDel="00000000" w:rsidR="00000000" w:rsidRPr="00000000">
        <w:rPr>
          <w:b w:val="1"/>
          <w:u w:val="single"/>
          <w:rtl w:val="0"/>
        </w:rPr>
        <w:t xml:space="preserve">Inleiding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Om het product te realiseren voor BOOT zullen wij de volgende kosten nodig hebben. Onder deze kosten vallen onder meer drukkosten (handleiding), programmeer boeken (game engine) en reiskosten. Verdere onderhoudskosten worden niet in deze begroting opgenomen omdat daarvan niet zeker is hoeveel deze kosten zullen zijn.</w:t>
      </w:r>
    </w:p>
    <w:p w:rsidR="00000000" w:rsidDel="00000000" w:rsidP="00000000" w:rsidRDefault="00000000" w:rsidRPr="00000000">
      <w:pPr>
        <w:contextualSpacing w:val="0"/>
      </w:pPr>
      <w:r w:rsidDel="00000000" w:rsidR="00000000" w:rsidRPr="00000000">
        <w:rPr>
          <w:rtl w:val="0"/>
        </w:rPr>
        <w:t xml:space="preserve">De prijs van de kosten zijn schattingen. Alleen op aantoning van factureren en bonnen zal bij de product owner om een vergoeding gevraagd worden (projecthandleiding </w:t>
      </w:r>
      <w:r w:rsidDel="00000000" w:rsidR="00000000" w:rsidRPr="00000000">
        <w:rPr>
          <w:color w:val="252525"/>
          <w:sz w:val="21"/>
          <w:szCs w:val="21"/>
          <w:highlight w:val="white"/>
          <w:rtl w:val="0"/>
        </w:rPr>
        <w:t xml:space="preserve">§3.6).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Begroting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Voor het printen van alle documentatie zijn er drukkosten verrekend. Printen op de Hogeschool van Amsterdam kost </w:t>
      </w:r>
      <w:r w:rsidDel="00000000" w:rsidR="00000000" w:rsidRPr="00000000">
        <w:rPr>
          <w:highlight w:val="white"/>
          <w:rtl w:val="0"/>
        </w:rPr>
        <w:t xml:space="preserve">€0.05 voor enkelzijdig zwart / wit en €0.20 voor enkelzijdig kleur. We gaan ervan uit dat we maximaal 50x zwart / wit A4  formaat zullen printen. 50 * 0.05 = €2.50 euro. Daarnaast zullen we maximaal 20x kleur A4 printen. 0.20 * 20 = €4.00. Dit bij elkaar opgeteld is €4.00 + €2.50 = €6.50 euro maximaal voor print kosten.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Daarnaast hebben wij in onze project groep een lid zitten die geen gebruik kan maken van de studenten OV. Een rit van HvA naar BOOT kost </w:t>
      </w:r>
      <w:r w:rsidDel="00000000" w:rsidR="00000000" w:rsidRPr="00000000">
        <w:rPr>
          <w:highlight w:val="white"/>
          <w:rtl w:val="0"/>
        </w:rPr>
        <w:t xml:space="preserve">€1.21 ( van Weesperplein naar Valentijnkade ). Een retour kost dan €2.42. We zullen naar schatting maximaal 4 keer naar BOOT gaan. De uiteindelijke maximale geschatte kosten is dan €2.42 * 4 = €9.86 voor reiskosten.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Om de benodigde kennis van alle programmeurs op het gewenste niveau voor dit project te krijgen zal bijscholing nodig zijn, dit zal door de uitvoerende partij autonoom geregeld worden. Door heb verkrijgen van de volgende boeken met betrekking tot nity zal het programmeer niveau op een lijn getrokken worden.We hebben hiervoor “</w:t>
      </w:r>
      <w:r w:rsidDel="00000000" w:rsidR="00000000" w:rsidRPr="00000000">
        <w:rPr>
          <w:highlight w:val="white"/>
          <w:rtl w:val="0"/>
        </w:rPr>
        <w:t xml:space="preserve">Mastering Unity 2D Game Development</w:t>
      </w:r>
      <w:r w:rsidDel="00000000" w:rsidR="00000000" w:rsidRPr="00000000">
        <w:rPr>
          <w:highlight w:val="white"/>
          <w:rtl w:val="0"/>
        </w:rPr>
        <w:t xml:space="preserve">” in gedachte. Dit boek kost €24.19. Hiernaast hebben hebben we ook interesse in “</w:t>
      </w:r>
      <w:r w:rsidDel="00000000" w:rsidR="00000000" w:rsidRPr="00000000">
        <w:rPr>
          <w:highlight w:val="white"/>
          <w:rtl w:val="0"/>
        </w:rPr>
        <w:t xml:space="preserve">Learning Unity 2D Game Development by Example”. Dit boek kost €19.35. Totaal is dat €24.19 + €19.35 = €43.54.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Alle begrote kosten zijn onder voorbehoud.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Diagram begroting Project Boot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9fc5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Onderwerpen</w:t>
            </w:r>
          </w:p>
        </w:tc>
        <w:tc>
          <w:tcPr>
            <w:shd w:fill="9fc5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Prijs</w:t>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Drukkosten producthandleiding</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highlight w:val="white"/>
                <w:rtl w:val="0"/>
              </w:rPr>
              <w:t xml:space="preserve">€6.50</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Programmeer boeken</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 €43.54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Reiskosten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highlight w:val="white"/>
                <w:rtl w:val="0"/>
              </w:rPr>
              <w:t xml:space="preserve">€</w:t>
            </w:r>
            <w:r w:rsidDel="00000000" w:rsidR="00000000" w:rsidRPr="00000000">
              <w:rPr>
                <w:rtl w:val="0"/>
              </w:rPr>
              <w:t xml:space="preserve">9.86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Verlengsnoer met stekkerdoos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€15.-</w:t>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Totaal </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€74.90</w:t>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Overige kosten:</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Onderhoudskosten worden hier apart van berekend</w:t>
            </w:r>
            <w:r w:rsidDel="00000000" w:rsidR="00000000" w:rsidRPr="00000000">
              <w:rPr>
                <w:rtl w:val="0"/>
              </w:rPr>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sectPr>
      <w:footerReference r:id="rId6" w:type="default"/>
      <w:footerReference r:id="rId7" w:type="first"/>
      <w:pgSz w:h="16834" w:w="11909"/>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Droid Serif">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Fonts w:ascii="Droid Serif" w:cs="Droid Serif" w:eastAsia="Droid Serif" w:hAnsi="Droid Serif"/>
          <w:sz w:val="26"/>
          <w:szCs w:val="26"/>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footer" Target="footer2.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DroidSerif-regular.ttf"/><Relationship Id="rId2" Type="http://schemas.openxmlformats.org/officeDocument/2006/relationships/font" Target="fonts/DroidSerif-bold.ttf"/><Relationship Id="rId3" Type="http://schemas.openxmlformats.org/officeDocument/2006/relationships/font" Target="fonts/DroidSerif-italic.ttf"/><Relationship Id="rId4" Type="http://schemas.openxmlformats.org/officeDocument/2006/relationships/font" Target="fonts/DroidSerif-boldItalic.ttf"/></Relationships>
</file>