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color w:val="1E3A5F"/>
          <w:sz w:val="34"/>
          <w:szCs w:val="34"/>
        </w:rPr>
        <w:t xml:space="preserve">Feynman Education</w:t>
      </w:r>
    </w:p>
    <w:p>
      <w:pPr>
        <w:pBdr>
          <w:bottom w:val="single" w:color="2E6FB7" w:sz="10" w:space="6"/>
        </w:pBdr>
        <w:tabs>
          <w:tab w:val="right" w:pos="9026"/>
        </w:tabs>
        <w:spacing w:after="30"/>
      </w:pPr>
      <w:r>
        <w:rPr>
          <w:rFonts w:ascii="Arial" w:cs="Arial" w:eastAsia="Arial" w:hAnsi="Arial"/>
          <w:b/>
          <w:bCs/>
          <w:color w:val="2E6FB7"/>
          <w:sz w:val="24"/>
          <w:szCs w:val="24"/>
        </w:rPr>
        <w:t xml:space="preserve">School Rate Card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	2026 / 27 prices</w:t>
      </w:r>
    </w:p>
    <w:p>
      <w:pPr>
        <w:spacing w:after="120" w:before="120" w:line="264"/>
      </w:pPr>
      <w:r>
        <w:rPr>
          <w:rFonts w:ascii="Arial" w:cs="Arial" w:eastAsia="Arial" w:hAnsi="Arial"/>
          <w:sz w:val="20"/>
          <w:szCs w:val="20"/>
        </w:rPr>
        <w:t xml:space="preserve">Feynman Education marks your pupils’ written science answers with AI and runs spaced retrieval practice automatically — so pupils get instant, fair feedback and your department gets the marking time back.</w:t>
      </w:r>
    </w:p>
    <w:p>
      <w:pPr>
        <w:spacing w:after="70" w:before="16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Choose a plan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50"/>
        <w:gridCol w:w="2250"/>
        <w:gridCol w:w="3226"/>
      </w:tblGrid>
      <w:tr>
        <w:trPr>
          <w:tblHeader/>
        </w:trPr>
        <w:tc>
          <w:tcPr>
            <w:tcW w:type="dxa" w:w="15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</w:t>
            </w:r>
          </w:p>
        </w:tc>
        <w:tc>
          <w:tcPr>
            <w:tcW w:type="dxa" w:w="20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for</w:t>
            </w:r>
          </w:p>
        </w:tc>
        <w:tc>
          <w:tcPr>
            <w:tcW w:type="dxa" w:w="22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3226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you get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Starter</w:t>
            </w:r>
          </w:p>
        </w:tc>
        <w:tc>
          <w:tcPr>
            <w:tcW w:type="dxa" w:w="20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Trying it out</w:t>
            </w:r>
          </w:p>
        </w:tc>
        <w:tc>
          <w:tcPr>
            <w:tcW w:type="dxa" w:w="22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E7F4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Free</w:t>
            </w:r>
          </w:p>
        </w:tc>
        <w:tc>
          <w:tcPr>
            <w:tcW w:type="dxa" w:w="3226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 class, core features, 2,000 marks/month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Essentials</w:t>
            </w:r>
          </w:p>
        </w:tc>
        <w:tc>
          <w:tcPr>
            <w:tcW w:type="dxa" w:w="20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Smaller schools</w:t>
            </w:r>
          </w:p>
        </w:tc>
        <w:tc>
          <w:tcPr>
            <w:tcW w:type="dxa" w:w="22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£890 / school / yr</w:t>
            </w:r>
          </w:p>
        </w:tc>
        <w:tc>
          <w:tcPr>
            <w:tcW w:type="dxa" w:w="3226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Whole science, up to 600 pupils, shared question bank, dashboards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Core</w:t>
            </w:r>
          </w:p>
        </w:tc>
        <w:tc>
          <w:tcPr>
            <w:tcW w:type="dxa" w:w="20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Whole school</w:t>
            </w:r>
          </w:p>
        </w:tc>
        <w:tc>
          <w:tcPr>
            <w:tcW w:type="dxa" w:w="22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E7F4E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£2.95–£4.95 / pupil / yr</w:t>
            </w:r>
          </w:p>
        </w:tc>
        <w:tc>
          <w:tcPr>
            <w:tcW w:type="dxa" w:w="3226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Unlimited pupils &amp; teachers, your own questions, full dashboards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Single cohort</w:t>
            </w:r>
          </w:p>
        </w:tc>
        <w:tc>
          <w:tcPr>
            <w:tcW w:type="dxa" w:w="20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Exam-year focus</w:t>
            </w:r>
          </w:p>
        </w:tc>
        <w:tc>
          <w:tcPr>
            <w:tcW w:type="dxa" w:w="22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£8.95 / pupil / yr</w:t>
            </w:r>
          </w:p>
        </w:tc>
        <w:tc>
          <w:tcPr>
            <w:tcW w:type="dxa" w:w="3226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One year group (e.g. Year 11)</w:t>
            </w:r>
          </w:p>
        </w:tc>
      </w:tr>
    </w:tbl>
    <w:p>
      <w:pPr>
        <w:spacing w:after="70" w:before="16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Core — price per pupil falls with size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4"/>
        <w:gridCol w:w="1804"/>
        <w:gridCol w:w="1804"/>
        <w:gridCol w:w="1804"/>
        <w:gridCol w:w="1810"/>
      </w:tblGrid>
      <w:tr>
        <w:trPr>
          <w:tblHeader/>
        </w:trPr>
        <w:tc>
          <w:tcPr>
            <w:tcW w:type="dxa" w:w="1804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1–249</w:t>
            </w:r>
          </w:p>
        </w:tc>
        <w:tc>
          <w:tcPr>
            <w:tcW w:type="dxa" w:w="1804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250–599</w:t>
            </w:r>
          </w:p>
        </w:tc>
        <w:tc>
          <w:tcPr>
            <w:tcW w:type="dxa" w:w="1804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600–999</w:t>
            </w:r>
          </w:p>
        </w:tc>
        <w:tc>
          <w:tcPr>
            <w:tcW w:type="dxa" w:w="1804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1,000–1,499</w:t>
            </w:r>
          </w:p>
        </w:tc>
        <w:tc>
          <w:tcPr>
            <w:tcW w:type="dxa" w:w="181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1,500+</w:t>
            </w:r>
          </w:p>
        </w:tc>
      </w:tr>
      <w:tr>
        <w:trPr>
          <w:tblHeader w:val="false"/>
        </w:trPr>
        <w:tc>
          <w:tcPr>
            <w:tcW w:type="dxa" w:w="1804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£4.95</w:t>
            </w:r>
          </w:p>
        </w:tc>
        <w:tc>
          <w:tcPr>
            <w:tcW w:type="dxa" w:w="1804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£4.50</w:t>
            </w:r>
          </w:p>
        </w:tc>
        <w:tc>
          <w:tcPr>
            <w:tcW w:type="dxa" w:w="1804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£3.95</w:t>
            </w:r>
          </w:p>
        </w:tc>
        <w:tc>
          <w:tcPr>
            <w:tcW w:type="dxa" w:w="1804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£3.50</w:t>
            </w:r>
          </w:p>
        </w:tc>
        <w:tc>
          <w:tcPr>
            <w:tcW w:type="dxa" w:w="181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£2.95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Per pupil in the committed science cohort. Minimum spend £450/yr.</w:t>
      </w:r>
    </w:p>
    <w:p>
      <w:pPr>
        <w:spacing w:after="70" w:before="16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Every paid plan includes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Arial" w:cs="Arial" w:eastAsia="Arial" w:hAnsi="Arial"/>
          <w:sz w:val="18"/>
          <w:szCs w:val="18"/>
        </w:rPr>
        <w:t xml:space="preserve">AI marking of written short answers, with instant pupil feedback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Arial" w:cs="Arial" w:eastAsia="Arial" w:hAnsi="Arial"/>
          <w:sz w:val="18"/>
          <w:szCs w:val="18"/>
        </w:rPr>
        <w:t xml:space="preserve">Automatic spaced retrieval practice and a curriculum-mapped question bank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Arial" w:cs="Arial" w:eastAsia="Arial" w:hAnsi="Arial"/>
          <w:sz w:val="18"/>
          <w:szCs w:val="18"/>
        </w:rPr>
        <w:t xml:space="preserve">Teacher, head-of-department and leadership dashboards</w:t>
      </w:r>
    </w:p>
    <w:p>
      <w:pPr>
        <w:pStyle w:val="ListParagraph"/>
        <w:numPr>
          <w:ilvl w:val="0"/>
          <w:numId w:val="2"/>
        </w:numPr>
        <w:spacing w:after="30" w:line="240"/>
      </w:pPr>
      <w:r>
        <w:rPr>
          <w:rFonts w:ascii="Arial" w:cs="Arial" w:eastAsia="Arial" w:hAnsi="Arial"/>
          <w:sz w:val="18"/>
          <w:szCs w:val="18"/>
        </w:rPr>
        <w:t xml:space="preserve">Termly content updates, email support, and full GDPR / data-protection cover</w:t>
      </w:r>
    </w:p>
    <w:p>
      <w:pPr>
        <w:spacing w:after="70" w:before="160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Ways to save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6017"/>
      </w:tblGrid>
      <w:tr>
        <w:trPr>
          <w:tblHeader/>
        </w:trPr>
        <w:tc>
          <w:tcPr>
            <w:tcW w:type="dxa" w:w="3009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Multi-academy trust</w:t>
            </w:r>
          </w:p>
        </w:tc>
        <w:tc>
          <w:tcPr>
            <w:tcW w:type="dxa" w:w="6017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−15% for 3–9 schools · −25% for 10+</w:t>
            </w:r>
          </w:p>
        </w:tc>
      </w:tr>
      <w:tr>
        <w:trPr>
          <w:tblHeader w:val="false"/>
        </w:trPr>
        <w:tc>
          <w:tcPr>
            <w:tcW w:type="dxa" w:w="3009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Multi-year</w:t>
            </w:r>
          </w:p>
        </w:tc>
        <w:tc>
          <w:tcPr>
            <w:tcW w:type="dxa" w:w="6017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−10% for 2 years · −15% for 3 years (price-locked)</w:t>
            </w:r>
          </w:p>
        </w:tc>
      </w:tr>
      <w:tr>
        <w:trPr>
          <w:tblHeader w:val="false"/>
        </w:trPr>
        <w:tc>
          <w:tcPr>
            <w:tcW w:type="dxa" w:w="3009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Free pilot</w:t>
            </w:r>
          </w:p>
        </w:tc>
        <w:tc>
          <w:tcPr>
            <w:tcW w:type="dxa" w:w="6017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4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One cohort or one half-term, free — no card required</w:t>
            </w:r>
          </w:p>
        </w:tc>
      </w:tr>
    </w:tbl>
    <w:p>
      <w:pPr>
        <w:pBdr>
          <w:top w:val="single" w:color="2E6FB7" w:sz="6" w:space="8"/>
        </w:pBdr>
        <w:spacing w:after="0" w:before="200" w:line="276"/>
      </w:pPr>
      <w:r>
        <w:rPr>
          <w:rFonts w:ascii="Arial" w:cs="Arial" w:eastAsia="Arial" w:hAnsi="Arial"/>
          <w:b/>
          <w:bCs/>
          <w:color w:val="1E3A5F"/>
          <w:sz w:val="21"/>
          <w:szCs w:val="21"/>
        </w:rPr>
        <w:t xml:space="preserve">Start a free pilot or request a quote:  </w:t>
      </w:r>
      <w:r>
        <w:rPr>
          <w:rFonts w:ascii="Arial" w:cs="Arial" w:eastAsia="Arial" w:hAnsi="Arial"/>
          <w:color w:val="2E6FB7"/>
          <w:sz w:val="21"/>
          <w:szCs w:val="21"/>
        </w:rPr>
        <w:t xml:space="preserve">schools@feynmaneducation.com</w:t>
      </w:r>
      <w:r>
        <w:rPr>
          <w:rFonts w:ascii="Arial" w:cs="Arial" w:eastAsia="Arial" w:hAnsi="Arial"/>
          <w:color w:val="9AA5B1"/>
          <w:sz w:val="21"/>
          <w:szCs w:val="21"/>
        </w:rPr>
        <w:t xml:space="preserve">   ·   </w:t>
      </w:r>
      <w:r>
        <w:rPr>
          <w:rFonts w:ascii="Arial" w:cs="Arial" w:eastAsia="Arial" w:hAnsi="Arial"/>
          <w:color w:val="2E6FB7"/>
          <w:sz w:val="21"/>
          <w:szCs w:val="21"/>
        </w:rPr>
        <w:t xml:space="preserve">feynmaneducation.com</w:t>
      </w:r>
    </w:p>
    <w:sectPr>
      <w:footerReference w:type="default" r:id="rId7"/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4E2" w:sz="4" w:space="6"/>
      </w:pBdr>
    </w:pPr>
    <w:r>
      <w:rPr>
        <w:rFonts w:ascii="Arial" w:cs="Arial" w:eastAsia="Arial" w:hAnsi="Arial"/>
        <w:color w:val="9AA5B1"/>
        <w:sz w:val="15"/>
        <w:szCs w:val="15"/>
      </w:rPr>
      <w:t xml:space="preserve">Feynman Education · All prices exclude VAT · Prices valid for the 2026/27 academic year.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2E6FB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School Rate Card</dc:title>
  <dc:creator>Feynman Education</dc:creator>
  <cp:lastModifiedBy>Un-named</cp:lastModifiedBy>
  <cp:revision>1</cp:revision>
  <dcterms:created xsi:type="dcterms:W3CDTF">2026-06-14T12:02:42.976Z</dcterms:created>
  <dcterms:modified xsi:type="dcterms:W3CDTF">2026-06-14T12:02:42.976Z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