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2E6FB7"/>
          <w:sz w:val="30"/>
          <w:szCs w:val="30"/>
        </w:rPr>
        <w:t xml:space="preserve">FEYNMAN EDUCATION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Pricing Structure</w:t>
      </w:r>
    </w:p>
    <w:p>
      <w:pPr>
        <w:pBdr>
          <w:bottom w:val="single" w:color="2E6FB7" w:sz="12" w:space="6"/>
        </w:pBdr>
        <w:spacing w:after="40"/>
      </w:pPr>
      <w:r>
        <w:rPr>
          <w:rFonts w:ascii="Arial" w:cs="Arial" w:eastAsia="Arial" w:hAnsi="Arial"/>
          <w:color w:val="2E6FB7"/>
          <w:sz w:val="26"/>
          <w:szCs w:val="26"/>
        </w:rPr>
        <w:t xml:space="preserve">AI-marked science retrieval practice for UK secondary schools</w:t>
      </w:r>
    </w:p>
    <w:p>
      <w:pPr>
        <w:tabs>
          <w:tab w:val="right" w:pos="9026"/>
        </w:tabs>
        <w:spacing w:after="200" w:before="16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Version 1.0  ·  Prepared June 2026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	Commercial-in-confidence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This document sets out a complete pricing structure: the cost of serving a pupil, the competitive landscape, the recommended tiers and discounts, and a margin analysis for each tier. Figures marked </w:t>
      </w:r>
      <w:r>
        <w:rPr>
          <w:rFonts w:ascii="Arial" w:cs="Arial" w:eastAsia="Arial" w:hAnsi="Arial"/>
          <w:i/>
          <w:iCs/>
        </w:rPr>
        <w:t xml:space="preserve">measured</w:t>
      </w:r>
      <w:r>
        <w:rPr>
          <w:rFonts w:ascii="Arial" w:cs="Arial" w:eastAsia="Arial" w:hAnsi="Arial"/>
        </w:rPr>
        <w:t xml:space="preserve"> come from the live cost dashboard; figures marked </w:t>
      </w:r>
      <w:r>
        <w:rPr>
          <w:rFonts w:ascii="Arial" w:cs="Arial" w:eastAsia="Arial" w:hAnsi="Arial"/>
          <w:i/>
          <w:iCs/>
        </w:rPr>
        <w:t xml:space="preserve">assumed</w:t>
      </w:r>
      <w:r>
        <w:rPr>
          <w:rFonts w:ascii="Arial" w:cs="Arial" w:eastAsia="Arial" w:hAnsi="Arial"/>
        </w:rPr>
        <w:t xml:space="preserve"> are estimates you can refine from real usage data after a term of operation.</w:t>
      </w:r>
    </w:p>
    <w:p>
      <w:pPr>
        <w:pStyle w:val="Heading1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Feynman Education marks short written science answers with AI, then schedules retrieval practice. After a round of cost-engineering, the marginal cost of marking a pupil’s work is very low — the AI cost is around £0.30–£0.85 per pupil per year, with shared infrastructure on top — which sits at the very bottom of the market. That gives wide pricing latitude.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Recommended structure — two tracks: </w:t>
      </w:r>
      <w:r>
        <w:rPr>
          <w:rFonts w:ascii="Arial" w:cs="Arial" w:eastAsia="Arial" w:hAnsi="Arial"/>
        </w:rPr>
        <w:t xml:space="preserve">a flat £890/yr </w:t>
      </w:r>
      <w:r>
        <w:rPr>
          <w:rFonts w:ascii="Arial" w:cs="Arial" w:eastAsia="Arial" w:hAnsi="Arial"/>
          <w:b/>
          <w:bCs/>
        </w:rPr>
        <w:t xml:space="preserve">Essentials</w:t>
      </w:r>
      <w:r>
        <w:rPr>
          <w:rFonts w:ascii="Arial" w:cs="Arial" w:eastAsia="Arial" w:hAnsi="Arial"/>
        </w:rPr>
        <w:t xml:space="preserve"> tier that meets Educake head-to-head on price (and beats it by actually marking written answers with AI), and a per-pupil </w:t>
      </w:r>
      <w:r>
        <w:rPr>
          <w:rFonts w:ascii="Arial" w:cs="Arial" w:eastAsia="Arial" w:hAnsi="Arial"/>
          <w:b/>
          <w:bCs/>
        </w:rPr>
        <w:t xml:space="preserve">Core</w:t>
      </w:r>
      <w:r>
        <w:rPr>
          <w:rFonts w:ascii="Arial" w:cs="Arial" w:eastAsia="Arial" w:hAnsi="Arial"/>
        </w:rPr>
        <w:t xml:space="preserve"> licence at £4.95 tapering to £2.95 at scale for schools that want unlimited use and the full feature set. A free starter tier drives adoption, a single-cohort option lets schools begin with exam years, and trust / multi-year discounts close larger deals. Gross margin holds at roughly </w:t>
      </w:r>
      <w:r>
        <w:rPr>
          <w:rFonts w:ascii="Arial" w:cs="Arial" w:eastAsia="Arial" w:hAnsi="Arial"/>
          <w:b/>
          <w:bCs/>
        </w:rPr>
        <w:t xml:space="preserve">76–97%</w:t>
      </w:r>
      <w:r>
        <w:rPr>
          <w:rFonts w:ascii="Arial" w:cs="Arial" w:eastAsia="Arial" w:hAnsi="Arial"/>
        </w:rPr>
        <w:t xml:space="preserve"> on a marginal basis — comfortably within or above normal SaaS benchmarks — while pricing at or below the nearest value competitor (Tassomai) and well below GCSEPod and Sparx.</w:t>
      </w:r>
    </w:p>
    <w:p>
      <w:pPr>
        <w:pBdr>
          <w:top w:val="single" w:color="C9D4E2" w:sz="1"/>
          <w:bottom w:val="single" w:color="C9D4E2" w:sz="1"/>
          <w:left w:val="single" w:color="2E6FB7" w:sz="18"/>
          <w:right w:val="single" w:color="C9D4E2" w:sz="1"/>
        </w:pBdr>
        <w:shd w:fill="F4F7FB" w:val="clear"/>
        <w:spacing w:after="80" w:before="80" w:line="264"/>
        <w:ind w:left="160" w:right="160"/>
      </w:pPr>
      <w:r>
        <w:rPr>
          <w:rFonts w:ascii="Arial" w:cs="Arial" w:eastAsia="Arial" w:hAnsi="Arial"/>
          <w:b/>
          <w:bCs/>
          <w:color w:val="1E3A5F"/>
        </w:rPr>
        <w:t xml:space="preserve">At a glance.  </w:t>
      </w:r>
      <w:r>
        <w:rPr>
          <w:rFonts w:ascii="Arial" w:cs="Arial" w:eastAsia="Arial" w:hAnsi="Arial"/>
        </w:rPr>
        <w:t xml:space="preserve">Free starter · £890/yr Essentials (flat, ≤600 pupils, matches Educake) · £4.95–£2.95 per pupil/yr Core (whole science) · £8.95 per pupil for a single year group · −15% to −25% multi-academy trusts · −10% to −15% multi-year · all prices + VAT.</w:t>
      </w:r>
    </w:p>
    <w:p>
      <w:pPr>
        <w:pStyle w:val="Heading1"/>
      </w:pPr>
      <w:r>
        <w:rPr>
          <w:rFonts w:ascii="Arial" w:cs="Arial" w:eastAsia="Arial" w:hAnsi="Arial"/>
        </w:rPr>
        <w:t xml:space="preserve">2. Cost basis — what it costs to serve a pupil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Two cost types make up the cost of goods sold (COGS):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</w:rPr>
        <w:t xml:space="preserve">Variable — AI marking. </w:t>
      </w:r>
      <w:r>
        <w:rPr>
          <w:rFonts w:ascii="Arial" w:cs="Arial" w:eastAsia="Arial" w:hAnsi="Arial"/>
        </w:rPr>
        <w:t xml:space="preserve">Each AI-marked answer costs about £0.0006 (Haiku 4.5, with prompt caching and per-question caching). Crucially, 50–70% of answers never reach the AI: identical, numeric, and previously-confirmed answers are marked instantly and for free by deterministic shortcuts.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</w:rPr>
        <w:t xml:space="preserve">Fixed — infrastructure. </w:t>
      </w:r>
      <w:r>
        <w:rPr>
          <w:rFonts w:ascii="Arial" w:cs="Arial" w:eastAsia="Arial" w:hAnsi="Arial"/>
        </w:rPr>
        <w:t xml:space="preserve">Supabase Pro (£237/yr) and Vercel Pro (£190/yr) total ~£430/yr. This is a single platform cost shared across every school, not a per-pupil cost — it is covered in full by the first school’s licence.</w:t>
      </w:r>
    </w:p>
    <w:p>
      <w:pPr>
        <w:spacing w:after="100" w:line="276"/>
      </w:pPr>
      <w:r>
        <w:rPr>
          <w:rFonts w:ascii="Arial" w:cs="Arial" w:eastAsia="Arial" w:hAnsi="Arial"/>
        </w:rPr>
        <w:t xml:space="preserve">Per-pupil variable cost depends on how heavily a school uses the platform. The table shows a typical user (~600 marks/pupil/yr) and a heavy user at the fair-use cap (1,500 marks).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0"/>
        <w:gridCol w:w="1792"/>
        <w:gridCol w:w="1792"/>
        <w:gridCol w:w="1792"/>
      </w:tblGrid>
      <w:tr>
        <w:trPr>
          <w:tblHeader/>
        </w:trPr>
        <w:tc>
          <w:tcPr>
            <w:tcW w:type="dxa" w:w="36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Per-pupil annual cost</w:t>
            </w:r>
          </w:p>
        </w:tc>
        <w:tc>
          <w:tcPr>
            <w:tcW w:type="dxa" w:w="1792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Typical use</w:t>
            </w:r>
          </w:p>
        </w:tc>
        <w:tc>
          <w:tcPr>
            <w:tcW w:type="dxa" w:w="1792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Heavy (at cap)</w:t>
            </w:r>
          </w:p>
        </w:tc>
        <w:tc>
          <w:tcPr>
            <w:tcW w:type="dxa" w:w="1792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6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AI marking (variable)</w:t>
            </w:r>
          </w:p>
        </w:tc>
        <w:tc>
          <w:tcPr>
            <w:tcW w:type="dxa" w:w="1792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E7F4E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~£0.30</w:t>
            </w:r>
          </w:p>
        </w:tc>
        <w:tc>
          <w:tcPr>
            <w:tcW w:type="dxa" w:w="1792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E7F4E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~£0.85</w:t>
            </w:r>
          </w:p>
        </w:tc>
        <w:tc>
          <w:tcPr>
            <w:tcW w:type="dxa" w:w="1792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falls at scale</w:t>
            </w:r>
          </w:p>
        </w:tc>
      </w:tr>
      <w:tr>
        <w:trPr>
          <w:tblHeader w:val="false"/>
        </w:trPr>
        <w:tc>
          <w:tcPr>
            <w:tcW w:type="dxa" w:w="36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Infrastructure (fixed)</w:t>
            </w:r>
          </w:p>
        </w:tc>
        <w:tc>
          <w:tcPr>
            <w:tcW w:type="dxa" w:w="1792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~£430 / yr total</w:t>
            </w:r>
          </w:p>
        </w:tc>
        <w:tc>
          <w:tcPr>
            <w:tcW w:type="dxa" w:w="1792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~£430 / yr total</w:t>
            </w:r>
          </w:p>
        </w:tc>
        <w:tc>
          <w:tcPr>
            <w:tcW w:type="dxa" w:w="1792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shared, not per-pupil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Two structural tailwinds: </w:t>
      </w:r>
      <w:r>
        <w:rPr>
          <w:rFonts w:ascii="Arial" w:cs="Arial" w:eastAsia="Arial" w:hAnsi="Arial"/>
        </w:rPr>
        <w:t xml:space="preserve">(1) the question bank is shared, so as more pupils answer the same questions the cache hit rate rises and the cost per mark falls; (2) the fixed cost is a one-off, amortised across all schools. Cost to serve therefore </w:t>
      </w:r>
      <w:r>
        <w:rPr>
          <w:rFonts w:ascii="Arial" w:cs="Arial" w:eastAsia="Arial" w:hAnsi="Arial"/>
          <w:i/>
          <w:iCs/>
        </w:rPr>
        <w:t xml:space="preserve">decreases</w:t>
      </w:r>
      <w:r>
        <w:rPr>
          <w:rFonts w:ascii="Arial" w:cs="Arial" w:eastAsia="Arial" w:hAnsi="Arial"/>
        </w:rPr>
        <w:t xml:space="preserve"> as you grow.</w:t>
      </w:r>
    </w:p>
    <w:p>
      <w:pPr>
        <w:pStyle w:val="Heading1"/>
      </w:pPr>
      <w:r>
        <w:rPr>
          <w:rFonts w:ascii="Arial" w:cs="Arial" w:eastAsia="Arial" w:hAnsi="Arial"/>
        </w:rPr>
        <w:t xml:space="preserve">3. Market context</w:t>
      </w:r>
    </w:p>
    <w:p>
      <w:pPr>
        <w:spacing w:after="100" w:line="276"/>
      </w:pPr>
      <w:r>
        <w:rPr>
          <w:rFonts w:ascii="Arial" w:cs="Arial" w:eastAsia="Arial" w:hAnsi="Arial"/>
        </w:rPr>
        <w:t xml:space="preserve">UK secondary ed-tech is sold per-school (often per-subject) or per-pupil, frequently quote-only. The nearest value comparator is Tassomai (adaptive quizzing, per-pupil); the nearest feature comparators are Educake and Carousel (quizzing with auto / self-marking — but not AI marking of free-text answers, which is the differentiator here).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2400"/>
        <w:gridCol w:w="2576"/>
        <w:gridCol w:w="2000"/>
      </w:tblGrid>
      <w:tr>
        <w:trPr>
          <w:tblHeader/>
        </w:trPr>
        <w:tc>
          <w:tcPr>
            <w:tcW w:type="dxa" w:w="20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Product</w:t>
            </w:r>
          </w:p>
        </w:tc>
        <w:tc>
          <w:tcPr>
            <w:tcW w:type="dxa" w:w="24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Pricing model</w:t>
            </w:r>
          </w:p>
        </w:tc>
        <w:tc>
          <w:tcPr>
            <w:tcW w:type="dxa" w:w="257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Published price</w:t>
            </w:r>
          </w:p>
        </w:tc>
        <w:tc>
          <w:tcPr>
            <w:tcW w:type="dxa" w:w="20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 pupil/yr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Educake</w:t>
            </w:r>
          </w:p>
        </w:tc>
        <w:tc>
          <w:tcPr>
            <w:tcW w:type="dxa" w:w="24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Per subject, per school (unlimited pupils)</w:t>
            </w:r>
          </w:p>
        </w:tc>
        <w:tc>
          <w:tcPr>
            <w:tcW w:type="dxa" w:w="257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£880/subject/yr</w:t>
            </w:r>
          </w:p>
        </w:tc>
        <w:tc>
          <w:tcPr>
            <w:tcW w:type="dxa" w:w="20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~£1–1.50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Carousel</w:t>
            </w:r>
          </w:p>
        </w:tc>
        <w:tc>
          <w:tcPr>
            <w:tcW w:type="dxa" w:w="24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Free tier + paid school tier</w:t>
            </w:r>
          </w:p>
        </w:tc>
        <w:tc>
          <w:tcPr>
            <w:tcW w:type="dxa" w:w="257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Free; £155–£1,725/school</w:t>
            </w:r>
          </w:p>
        </w:tc>
        <w:tc>
          <w:tcPr>
            <w:tcW w:type="dxa" w:w="20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very low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Tassomai</w:t>
            </w:r>
          </w:p>
        </w:tc>
        <w:tc>
          <w:tcPr>
            <w:tcW w:type="dxa" w:w="24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Per pupil, capped</w:t>
            </w:r>
          </w:p>
        </w:tc>
        <w:tc>
          <w:tcPr>
            <w:tcW w:type="dxa" w:w="257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≤£5 whole cohort; ≤£15 single</w:t>
            </w:r>
          </w:p>
        </w:tc>
        <w:tc>
          <w:tcPr>
            <w:tcW w:type="dxa" w:w="20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£5–15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Seneca</w:t>
            </w:r>
          </w:p>
        </w:tc>
        <w:tc>
          <w:tcPr>
            <w:tcW w:type="dxa" w:w="24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Freemium + premium</w:t>
            </w:r>
          </w:p>
        </w:tc>
        <w:tc>
          <w:tcPr>
            <w:tcW w:type="dxa" w:w="257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Free; Premium quote-only</w:t>
            </w:r>
          </w:p>
        </w:tc>
        <w:tc>
          <w:tcPr>
            <w:tcW w:type="dxa" w:w="20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free → quote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Sparx Science</w:t>
            </w:r>
          </w:p>
        </w:tc>
        <w:tc>
          <w:tcPr>
            <w:tcW w:type="dxa" w:w="24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Per pupil (quote)</w:t>
            </w:r>
          </w:p>
        </w:tc>
        <w:tc>
          <w:tcPr>
            <w:tcW w:type="dxa" w:w="257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~£6/pupil (case study)</w:t>
            </w:r>
          </w:p>
        </w:tc>
        <w:tc>
          <w:tcPr>
            <w:tcW w:type="dxa" w:w="20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~£6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GCSEPod</w:t>
            </w:r>
          </w:p>
        </w:tc>
        <w:tc>
          <w:tcPr>
            <w:tcW w:type="dxa" w:w="24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Per pupil (quote)</w:t>
            </w:r>
          </w:p>
        </w:tc>
        <w:tc>
          <w:tcPr>
            <w:tcW w:type="dxa" w:w="257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~£7.95/pupil (vendor)</w:t>
            </w:r>
          </w:p>
        </w:tc>
        <w:tc>
          <w:tcPr>
            <w:tcW w:type="dxa" w:w="20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£8–13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Bedrock</w:t>
            </w:r>
          </w:p>
        </w:tc>
        <w:tc>
          <w:tcPr>
            <w:tcW w:type="dxa" w:w="24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Base + per-pupil</w:t>
            </w:r>
          </w:p>
        </w:tc>
        <w:tc>
          <w:tcPr>
            <w:tcW w:type="dxa" w:w="257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£699 / 64 pupils + £10.99</w:t>
            </w:r>
          </w:p>
        </w:tc>
        <w:tc>
          <w:tcPr>
            <w:tcW w:type="dxa" w:w="20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£8–11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Market bands: </w:t>
      </w:r>
      <w:r>
        <w:rPr>
          <w:rFonts w:ascii="Arial" w:cs="Arial" w:eastAsia="Arial" w:hAnsi="Arial"/>
        </w:rPr>
        <w:t xml:space="preserve">budget £1–3, mid £5–8, premium £10–15 per pupil/yr. Healthy SaaS gross margin is 75–85% (median ~77%); AI-heavy products are tolerated down to ~55–70%. Sources in the appendix.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4. Pricing structure</w:t>
      </w:r>
    </w:p>
    <w:p>
      <w:pPr>
        <w:pStyle w:val="Heading2"/>
      </w:pPr>
      <w:r>
        <w:rPr>
          <w:rFonts w:ascii="Arial" w:cs="Arial" w:eastAsia="Arial" w:hAnsi="Arial"/>
        </w:rPr>
        <w:t xml:space="preserve">4.1  Model overview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 per-pupil annual licence is the core, because revenue then tracks the (usage-driven) cost and margin stays predictable. Companion options make it easy to adopt and easy to buy: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</w:rPr>
        <w:t xml:space="preserve">Starter (free) </w:t>
      </w:r>
      <w:r>
        <w:rPr>
          <w:rFonts w:ascii="Arial" w:cs="Arial" w:eastAsia="Arial" w:hAnsi="Arial"/>
        </w:rPr>
        <w:t xml:space="preserve">— one class, to trial the platform.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</w:rPr>
        <w:t xml:space="preserve">Essentials (flat) </w:t>
      </w:r>
      <w:r>
        <w:rPr>
          <w:rFonts w:ascii="Arial" w:cs="Arial" w:eastAsia="Arial" w:hAnsi="Arial"/>
        </w:rPr>
        <w:t xml:space="preserve">— a fixed annual fee for smaller schools, matching Educake on price.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</w:rPr>
        <w:t xml:space="preserve">Core licence </w:t>
      </w:r>
      <w:r>
        <w:rPr>
          <w:rFonts w:ascii="Arial" w:cs="Arial" w:eastAsia="Arial" w:hAnsi="Arial"/>
        </w:rPr>
        <w:t xml:space="preserve">— per pupil, whole science, volume-banded, full features.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</w:rPr>
        <w:t xml:space="preserve">Single-cohort </w:t>
      </w:r>
      <w:r>
        <w:rPr>
          <w:rFonts w:ascii="Arial" w:cs="Arial" w:eastAsia="Arial" w:hAnsi="Arial"/>
        </w:rPr>
        <w:t xml:space="preserve">— license one year group (e.g. Year 11) at a higher per-pupil rate but lower total outlay.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</w:rPr>
        <w:t xml:space="preserve">Trust &amp; multi-year discounts </w:t>
      </w:r>
      <w:r>
        <w:rPr>
          <w:rFonts w:ascii="Arial" w:cs="Arial" w:eastAsia="Arial" w:hAnsi="Arial"/>
        </w:rPr>
        <w:t xml:space="preserve">— for scale and commitment.</w:t>
      </w:r>
    </w:p>
    <w:p>
      <w:pPr>
        <w:pStyle w:val="Heading2"/>
      </w:pPr>
      <w:r>
        <w:rPr>
          <w:rFonts w:ascii="Arial" w:cs="Arial" w:eastAsia="Arial" w:hAnsi="Arial"/>
        </w:rPr>
        <w:t xml:space="preserve">4.2  Starter — Free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</w:rPr>
        <w:t xml:space="preserve">One teacher, one class (up to 32 pupils), core features.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</w:rPr>
        <w:t xml:space="preserve">Up to 2,000 AI-marked answers per month.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</w:rPr>
        <w:t xml:space="preserve">Purpose: frictionless trial and light use; cost to us is negligible.</w:t>
      </w:r>
    </w:p>
    <w:p>
      <w:pPr>
        <w:pStyle w:val="Heading2"/>
      </w:pPr>
      <w:r>
        <w:rPr>
          <w:rFonts w:ascii="Arial" w:cs="Arial" w:eastAsia="Arial" w:hAnsi="Arial"/>
        </w:rPr>
        <w:t xml:space="preserve">4.3  Essentials — flat fee (matches Educake)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 single fixed price for price-sensitive schools, set deliberately level with Educake’s £880 — but you get AI marking of written answers, which Educake does not 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Essentials</w:t>
            </w:r>
          </w:p>
        </w:tc>
        <w:tc>
          <w:tcPr>
            <w:tcW w:type="dxa" w:w="4513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£890 / school / year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Pupils</w:t>
            </w:r>
          </w:p>
        </w:tc>
        <w:tc>
          <w:tcPr>
            <w:tcW w:type="dxa" w:w="4513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Up to 600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Subjects</w:t>
            </w:r>
          </w:p>
        </w:tc>
        <w:tc>
          <w:tcPr>
            <w:tcW w:type="dxa" w:w="4513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Whole science (Bio / Chem / Phys)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Fair use</w:t>
            </w:r>
          </w:p>
        </w:tc>
        <w:tc>
          <w:tcPr>
            <w:tcW w:type="dxa" w:w="4513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250,000 AI-marked answers / yr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Includes</w:t>
            </w:r>
          </w:p>
        </w:tc>
        <w:tc>
          <w:tcPr>
            <w:tcW w:type="dxa" w:w="4513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Shared question bank, core dashboards, email support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Not included</w:t>
            </w:r>
          </w:p>
        </w:tc>
        <w:tc>
          <w:tcPr>
            <w:tcW w:type="dxa" w:w="4513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Custom authoring, MIS/SSO, leadership analytics → Core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Above 600 pupils or 250,000 marks, schools move to the Core licence. Essentials is the on-ramp; Core is where unlimited scale and the full feature set live.</w:t>
      </w:r>
    </w:p>
    <w:p>
      <w:pPr>
        <w:pStyle w:val="Heading2"/>
      </w:pPr>
      <w:r>
        <w:rPr>
          <w:rFonts w:ascii="Arial" w:cs="Arial" w:eastAsia="Arial" w:hAnsi="Arial"/>
        </w:rPr>
        <w:t xml:space="preserve">4.4  Core licence — per pupil per year (whole science)</w:t>
      </w:r>
    </w:p>
    <w:p>
      <w:pPr>
        <w:spacing w:after="100" w:line="276"/>
      </w:pPr>
      <w:r>
        <w:rPr>
          <w:rFonts w:ascii="Arial" w:cs="Arial" w:eastAsia="Arial" w:hAnsi="Arial"/>
        </w:rPr>
        <w:t xml:space="preserve">Unlimited teachers and classes, all science subjects and key stages, AI marking, retrieval scheduling, teacher / HoD / leadership dashboards, the shared question bank plus your own questions, termly content updates, email support, and the DPA. Volume taper applies to the whole committed science cohort: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Committed science cohort</w:t>
            </w:r>
          </w:p>
        </w:tc>
        <w:tc>
          <w:tcPr>
            <w:tcW w:type="dxa" w:w="4513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Price per pupil / year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 – 249 pupils</w:t>
            </w:r>
          </w:p>
        </w:tc>
        <w:tc>
          <w:tcPr>
            <w:tcW w:type="dxa" w:w="4513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£4.95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250 – 599 pupils</w:t>
            </w:r>
          </w:p>
        </w:tc>
        <w:tc>
          <w:tcPr>
            <w:tcW w:type="dxa" w:w="4513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£4.50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600 – 999 pupils</w:t>
            </w:r>
          </w:p>
        </w:tc>
        <w:tc>
          <w:tcPr>
            <w:tcW w:type="dxa" w:w="4513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£3.95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1,000 – 1,499 pupils</w:t>
            </w:r>
          </w:p>
        </w:tc>
        <w:tc>
          <w:tcPr>
            <w:tcW w:type="dxa" w:w="4513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£3.50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1,500+ pupils</w:t>
            </w:r>
          </w:p>
        </w:tc>
        <w:tc>
          <w:tcPr>
            <w:tcW w:type="dxa" w:w="4513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£2.95 (or custom)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Minimum spend £450/yr. All prices + VAT.</w:t>
      </w:r>
    </w:p>
    <w:p>
      <w:pPr>
        <w:pStyle w:val="Heading2"/>
      </w:pPr>
      <w:r>
        <w:rPr>
          <w:rFonts w:ascii="Arial" w:cs="Arial" w:eastAsia="Arial" w:hAnsi="Arial"/>
        </w:rPr>
        <w:t xml:space="preserve">4.5  Per-school quick reference</w:t>
      </w:r>
    </w:p>
    <w:p>
      <w:pPr>
        <w:spacing w:after="100" w:line="276"/>
      </w:pPr>
      <w:r>
        <w:rPr>
          <w:rFonts w:ascii="Arial" w:cs="Arial" w:eastAsia="Arial" w:hAnsi="Arial"/>
        </w:rPr>
        <w:t xml:space="preserve">Core prices expressed as a single annual licence for common cohort sizes (cohort = pupils doing science):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3000"/>
        <w:gridCol w:w="3000"/>
      </w:tblGrid>
      <w:tr>
        <w:trPr>
          <w:tblHeader/>
        </w:trPr>
        <w:tc>
          <w:tcPr>
            <w:tcW w:type="dxa" w:w="302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Science cohort</w:t>
            </w:r>
          </w:p>
        </w:tc>
        <w:tc>
          <w:tcPr>
            <w:tcW w:type="dxa" w:w="30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Band rate</w:t>
            </w:r>
          </w:p>
        </w:tc>
        <w:tc>
          <w:tcPr>
            <w:tcW w:type="dxa" w:w="30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Annual licence</w:t>
            </w:r>
          </w:p>
        </w:tc>
      </w:tr>
      <w:tr>
        <w:trPr>
          <w:tblHeader w:val="false"/>
        </w:trPr>
        <w:tc>
          <w:tcPr>
            <w:tcW w:type="dxa" w:w="302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200 pupils</w:t>
            </w:r>
          </w:p>
        </w:tc>
        <w:tc>
          <w:tcPr>
            <w:tcW w:type="dxa" w:w="30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£4.95</w:t>
            </w:r>
          </w:p>
        </w:tc>
        <w:tc>
          <w:tcPr>
            <w:tcW w:type="dxa" w:w="30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£990</w:t>
            </w:r>
          </w:p>
        </w:tc>
      </w:tr>
      <w:tr>
        <w:trPr>
          <w:tblHeader w:val="false"/>
        </w:trPr>
        <w:tc>
          <w:tcPr>
            <w:tcW w:type="dxa" w:w="302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400 pupils</w:t>
            </w:r>
          </w:p>
        </w:tc>
        <w:tc>
          <w:tcPr>
            <w:tcW w:type="dxa" w:w="30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£4.50</w:t>
            </w:r>
          </w:p>
        </w:tc>
        <w:tc>
          <w:tcPr>
            <w:tcW w:type="dxa" w:w="30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£1,800</w:t>
            </w:r>
          </w:p>
        </w:tc>
      </w:tr>
      <w:tr>
        <w:trPr>
          <w:tblHeader w:val="false"/>
        </w:trPr>
        <w:tc>
          <w:tcPr>
            <w:tcW w:type="dxa" w:w="302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700 pupils</w:t>
            </w:r>
          </w:p>
        </w:tc>
        <w:tc>
          <w:tcPr>
            <w:tcW w:type="dxa" w:w="30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£3.95</w:t>
            </w:r>
          </w:p>
        </w:tc>
        <w:tc>
          <w:tcPr>
            <w:tcW w:type="dxa" w:w="30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£2,765</w:t>
            </w:r>
          </w:p>
        </w:tc>
      </w:tr>
      <w:tr>
        <w:trPr>
          <w:tblHeader w:val="false"/>
        </w:trPr>
        <w:tc>
          <w:tcPr>
            <w:tcW w:type="dxa" w:w="302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1,000 pupils</w:t>
            </w:r>
          </w:p>
        </w:tc>
        <w:tc>
          <w:tcPr>
            <w:tcW w:type="dxa" w:w="30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£3.50</w:t>
            </w:r>
          </w:p>
        </w:tc>
        <w:tc>
          <w:tcPr>
            <w:tcW w:type="dxa" w:w="30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£3,500</w:t>
            </w:r>
          </w:p>
        </w:tc>
      </w:tr>
      <w:tr>
        <w:trPr>
          <w:tblHeader w:val="false"/>
        </w:trPr>
        <w:tc>
          <w:tcPr>
            <w:tcW w:type="dxa" w:w="302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1,400 pupils</w:t>
            </w:r>
          </w:p>
        </w:tc>
        <w:tc>
          <w:tcPr>
            <w:tcW w:type="dxa" w:w="30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£3.50</w:t>
            </w:r>
          </w:p>
        </w:tc>
        <w:tc>
          <w:tcPr>
            <w:tcW w:type="dxa" w:w="30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£4,900</w:t>
            </w:r>
          </w:p>
        </w:tc>
      </w:tr>
      <w:tr>
        <w:trPr>
          <w:tblHeader w:val="false"/>
        </w:trPr>
        <w:tc>
          <w:tcPr>
            <w:tcW w:type="dxa" w:w="302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1,800 pupils</w:t>
            </w:r>
          </w:p>
        </w:tc>
        <w:tc>
          <w:tcPr>
            <w:tcW w:type="dxa" w:w="30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£2.95</w:t>
            </w:r>
          </w:p>
        </w:tc>
        <w:tc>
          <w:tcPr>
            <w:tcW w:type="dxa" w:w="30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£5,310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4.6  Single-cohort option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License one year group only — typically an exam cohort. </w:t>
      </w:r>
      <w:r>
        <w:rPr>
          <w:rFonts w:ascii="Arial" w:cs="Arial" w:eastAsia="Arial" w:hAnsi="Arial"/>
          <w:b/>
          <w:bCs/>
        </w:rPr>
        <w:t xml:space="preserve">£8.95 per pupil per year</w:t>
      </w:r>
      <w:r>
        <w:rPr>
          <w:rFonts w:ascii="Arial" w:cs="Arial" w:eastAsia="Arial" w:hAnsi="Arial"/>
        </w:rPr>
        <w:t xml:space="preserve"> (minimum £450). Higher per pupil than the whole-school rate, but a lower total commitment and a natural entry point: a 200-pupil Year 11 is £1,790. Schools routinely expand to whole-school the following year.</w:t>
      </w:r>
    </w:p>
    <w:p>
      <w:pPr>
        <w:pStyle w:val="Heading2"/>
      </w:pPr>
      <w:r>
        <w:rPr>
          <w:rFonts w:ascii="Arial" w:cs="Arial" w:eastAsia="Arial" w:hAnsi="Arial"/>
        </w:rPr>
        <w:t xml:space="preserve">4.7  Discounts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6000"/>
      </w:tblGrid>
      <w:tr>
        <w:trPr>
          <w:tblHeader/>
        </w:trPr>
        <w:tc>
          <w:tcPr>
            <w:tcW w:type="dxa" w:w="302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Discount</w:t>
            </w:r>
          </w:p>
        </w:tc>
        <w:tc>
          <w:tcPr>
            <w:tcW w:type="dxa" w:w="60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Terms</w:t>
            </w:r>
          </w:p>
        </w:tc>
      </w:tr>
      <w:tr>
        <w:trPr>
          <w:tblHeader w:val="false"/>
        </w:trPr>
        <w:tc>
          <w:tcPr>
            <w:tcW w:type="dxa" w:w="302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Multi-academy trust</w:t>
            </w:r>
          </w:p>
        </w:tc>
        <w:tc>
          <w:tcPr>
            <w:tcW w:type="dxa" w:w="60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3–9 schools −15% · 10+ schools −25% (applied to combined order)</w:t>
            </w:r>
          </w:p>
        </w:tc>
      </w:tr>
      <w:tr>
        <w:trPr>
          <w:tblHeader w:val="false"/>
        </w:trPr>
        <w:tc>
          <w:tcPr>
            <w:tcW w:type="dxa" w:w="302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Multi-year</w:t>
            </w:r>
          </w:p>
        </w:tc>
        <w:tc>
          <w:tcPr>
            <w:tcW w:type="dxa" w:w="60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2-year −10% · 3-year −15%, price-locked for the term</w:t>
            </w:r>
          </w:p>
        </w:tc>
      </w:tr>
      <w:tr>
        <w:trPr>
          <w:tblHeader w:val="false"/>
        </w:trPr>
        <w:tc>
          <w:tcPr>
            <w:tcW w:type="dxa" w:w="302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Pilot</w:t>
            </w:r>
          </w:p>
        </w:tc>
        <w:tc>
          <w:tcPr>
            <w:tcW w:type="dxa" w:w="60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One cohort or one half-term free, no card required</w:t>
            </w:r>
          </w:p>
        </w:tc>
      </w:tr>
      <w:tr>
        <w:trPr>
          <w:tblHeader w:val="false"/>
        </w:trPr>
        <w:tc>
          <w:tcPr>
            <w:tcW w:type="dxa" w:w="302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Mid-year start</w:t>
            </w:r>
          </w:p>
        </w:tc>
        <w:tc>
          <w:tcPr>
            <w:tcW w:type="dxa" w:w="60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Pro-rated to the end of the school year (31 July)</w:t>
            </w:r>
          </w:p>
        </w:tc>
      </w:tr>
      <w:tr>
        <w:trPr>
          <w:tblHeader w:val="false"/>
        </w:trPr>
        <w:tc>
          <w:tcPr>
            <w:tcW w:type="dxa" w:w="302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Hardship</w:t>
            </w:r>
          </w:p>
        </w:tc>
        <w:tc>
          <w:tcPr>
            <w:tcW w:type="dxa" w:w="60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Case-by-case for schools with high pupil-premium / disadvantage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Discounts stack multiplicatively (e.g. a 3-year trust order = −25% × −15%). The minimum spend still applies after discount.</w:t>
      </w:r>
    </w:p>
    <w:p>
      <w:pPr>
        <w:pStyle w:val="Heading2"/>
      </w:pPr>
      <w:r>
        <w:rPr>
          <w:rFonts w:ascii="Arial" w:cs="Arial" w:eastAsia="Arial" w:hAnsi="Arial"/>
        </w:rPr>
        <w:t xml:space="preserve">4.8  Fair use &amp; overage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</w:rPr>
        <w:t xml:space="preserve">Included: </w:t>
      </w:r>
      <w:r>
        <w:rPr>
          <w:rFonts w:ascii="Arial" w:cs="Arial" w:eastAsia="Arial" w:hAnsi="Arial"/>
        </w:rPr>
        <w:t xml:space="preserve">Core — 1,500 AI-marked answers per pupil/yr (~40/week, generous). Essentials — 250,000 AI-marked answers/yr per school.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</w:rPr>
        <w:t xml:space="preserve">Not counted: </w:t>
      </w:r>
      <w:r>
        <w:rPr>
          <w:rFonts w:ascii="Arial" w:cs="Arial" w:eastAsia="Arial" w:hAnsi="Arial"/>
        </w:rPr>
        <w:t xml:space="preserve">answers handled by the free deterministic shortcuts (identical, numeric, or cache-confirmed) do not count toward the cap.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</w:rPr>
        <w:t xml:space="preserve">Soft cap: </w:t>
      </w:r>
      <w:r>
        <w:rPr>
          <w:rFonts w:ascii="Arial" w:cs="Arial" w:eastAsia="Arial" w:hAnsi="Arial"/>
        </w:rPr>
        <w:t xml:space="preserve">marking is never blocked. If a school consistently exceeds the allowance we flag it and agree an uplift to the next band — protecting margin without a hard wall for pupils.</w:t>
      </w:r>
    </w:p>
    <w:p>
      <w:pPr>
        <w:pStyle w:val="Heading2"/>
      </w:pPr>
      <w:r>
        <w:rPr>
          <w:rFonts w:ascii="Arial" w:cs="Arial" w:eastAsia="Arial" w:hAnsi="Arial"/>
        </w:rPr>
        <w:t xml:space="preserve">4.9  What’s included — and what isn’t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Core includes: </w:t>
      </w:r>
      <w:r>
        <w:rPr>
          <w:rFonts w:ascii="Arial" w:cs="Arial" w:eastAsia="Arial" w:hAnsi="Arial"/>
        </w:rPr>
        <w:t xml:space="preserve">all science subjects and key stages, unlimited teachers and classes, AI short-answer marking, retrieval scheduling, teacher / HoD / leadership dashboards, the shared question bank plus school-authored questions, termly updates, email support, GDPR / DPA.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Add-ons (optional): </w:t>
      </w:r>
      <w:r>
        <w:rPr>
          <w:rFonts w:ascii="Arial" w:cs="Arial" w:eastAsia="Arial" w:hAnsi="Arial"/>
        </w:rPr>
        <w:t xml:space="preserve">MIS / SSO integration £250/yr · bespoke question authoring (price on application) · other departments or subjects (separate licence) · white-label.</w:t>
      </w:r>
    </w:p>
    <w:p>
      <w:pPr>
        <w:pStyle w:val="Heading2"/>
      </w:pPr>
      <w:r>
        <w:rPr>
          <w:rFonts w:ascii="Arial" w:cs="Arial" w:eastAsia="Arial" w:hAnsi="Arial"/>
        </w:rPr>
        <w:t xml:space="preserve">4.10  Billing &amp; terms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</w:rPr>
        <w:t xml:space="preserve">Annual invoice, in advance, 30-day terms; school purchase-order accepted.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</w:rPr>
        <w:t xml:space="preserve">All prices exclude VAT (schools budget for or reclaim it).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</w:rPr>
        <w:t xml:space="preserve">Cohort count is set at the start of the year; mid-year growth is added at renewal.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</w:rPr>
        <w:t xml:space="preserve">12-month term, auto-renewing with 60 days’ notice to cancel.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5. Margin analysis</w:t>
      </w:r>
    </w:p>
    <w:p>
      <w:pPr>
        <w:spacing w:after="100" w:line="276"/>
      </w:pPr>
      <w:r>
        <w:rPr>
          <w:rFonts w:ascii="Arial" w:cs="Arial" w:eastAsia="Arial" w:hAnsi="Arial"/>
        </w:rPr>
        <w:t xml:space="preserve">Gross margin is computed on the </w:t>
      </w:r>
      <w:r>
        <w:rPr>
          <w:rFonts w:ascii="Arial" w:cs="Arial" w:eastAsia="Arial" w:hAnsi="Arial"/>
          <w:b/>
          <w:bCs/>
        </w:rPr>
        <w:t xml:space="preserve">variable</w:t>
      </w:r>
      <w:r>
        <w:rPr>
          <w:rFonts w:ascii="Arial" w:cs="Arial" w:eastAsia="Arial" w:hAnsi="Arial"/>
        </w:rPr>
        <w:t xml:space="preserve"> (marginal) AI-marking cost — £0.30/pupil at typical use, £0.85 at the heavy cap. The ~£430/yr platform infrastructure is a single shared cost covered by the first school, so it is not loaded per-pupil here. Even the heavy-usage figures stay within or above normal SaaS territory: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1100"/>
        <w:gridCol w:w="1400"/>
        <w:gridCol w:w="1388"/>
        <w:gridCol w:w="1388"/>
      </w:tblGrid>
      <w:tr>
        <w:trPr>
          <w:tblHeader/>
        </w:trPr>
        <w:tc>
          <w:tcPr>
            <w:tcW w:type="dxa" w:w="27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11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Pupils</w:t>
            </w:r>
          </w:p>
        </w:tc>
        <w:tc>
          <w:tcPr>
            <w:tcW w:type="dxa" w:w="14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Revenue</w:t>
            </w:r>
          </w:p>
        </w:tc>
        <w:tc>
          <w:tcPr>
            <w:tcW w:type="dxa" w:w="1388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Margin (typical)</w:t>
            </w:r>
          </w:p>
        </w:tc>
        <w:tc>
          <w:tcPr>
            <w:tcW w:type="dxa" w:w="1388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Margin (heavy)</w:t>
            </w:r>
          </w:p>
        </w:tc>
      </w:tr>
      <w:tr>
        <w:trPr>
          <w:tblHeader w:val="false"/>
        </w:trPr>
        <w:tc>
          <w:tcPr>
            <w:tcW w:type="dxa" w:w="27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Essentials @ £890 flat (capped)</w:t>
            </w:r>
          </w:p>
        </w:tc>
        <w:tc>
          <w:tcPr>
            <w:tcW w:type="dxa" w:w="11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≤600</w:t>
            </w:r>
          </w:p>
        </w:tc>
        <w:tc>
          <w:tcPr>
            <w:tcW w:type="dxa" w:w="14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£890</w:t>
            </w:r>
          </w:p>
        </w:tc>
        <w:tc>
          <w:tcPr>
            <w:tcW w:type="dxa" w:w="1388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E7F4E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83%</w:t>
            </w:r>
          </w:p>
        </w:tc>
        <w:tc>
          <w:tcPr>
            <w:tcW w:type="dxa" w:w="1388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E7F4E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83%</w:t>
            </w:r>
          </w:p>
        </w:tc>
      </w:tr>
      <w:tr>
        <w:trPr>
          <w:tblHeader w:val="false"/>
        </w:trPr>
        <w:tc>
          <w:tcPr>
            <w:tcW w:type="dxa" w:w="27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Small school @ £4.95</w:t>
            </w:r>
          </w:p>
        </w:tc>
        <w:tc>
          <w:tcPr>
            <w:tcW w:type="dxa" w:w="11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200</w:t>
            </w:r>
          </w:p>
        </w:tc>
        <w:tc>
          <w:tcPr>
            <w:tcW w:type="dxa" w:w="14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£990</w:t>
            </w:r>
          </w:p>
        </w:tc>
        <w:tc>
          <w:tcPr>
            <w:tcW w:type="dxa" w:w="1388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E7F4E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94%</w:t>
            </w:r>
          </w:p>
        </w:tc>
        <w:tc>
          <w:tcPr>
            <w:tcW w:type="dxa" w:w="1388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E7F4E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83%</w:t>
            </w:r>
          </w:p>
        </w:tc>
      </w:tr>
      <w:tr>
        <w:trPr>
          <w:tblHeader w:val="false"/>
        </w:trPr>
        <w:tc>
          <w:tcPr>
            <w:tcW w:type="dxa" w:w="27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Medium school @ £3.95</w:t>
            </w:r>
          </w:p>
        </w:tc>
        <w:tc>
          <w:tcPr>
            <w:tcW w:type="dxa" w:w="11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700</w:t>
            </w:r>
          </w:p>
        </w:tc>
        <w:tc>
          <w:tcPr>
            <w:tcW w:type="dxa" w:w="14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£2,765</w:t>
            </w:r>
          </w:p>
        </w:tc>
        <w:tc>
          <w:tcPr>
            <w:tcW w:type="dxa" w:w="1388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E7F4E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92%</w:t>
            </w:r>
          </w:p>
        </w:tc>
        <w:tc>
          <w:tcPr>
            <w:tcW w:type="dxa" w:w="1388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E7F4E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78%</w:t>
            </w:r>
          </w:p>
        </w:tc>
      </w:tr>
      <w:tr>
        <w:trPr>
          <w:tblHeader w:val="false"/>
        </w:trPr>
        <w:tc>
          <w:tcPr>
            <w:tcW w:type="dxa" w:w="27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Large school @ £3.50</w:t>
            </w:r>
          </w:p>
        </w:tc>
        <w:tc>
          <w:tcPr>
            <w:tcW w:type="dxa" w:w="11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1,200</w:t>
            </w:r>
          </w:p>
        </w:tc>
        <w:tc>
          <w:tcPr>
            <w:tcW w:type="dxa" w:w="14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£4,200</w:t>
            </w:r>
          </w:p>
        </w:tc>
        <w:tc>
          <w:tcPr>
            <w:tcW w:type="dxa" w:w="1388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E7F4E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91%</w:t>
            </w:r>
          </w:p>
        </w:tc>
        <w:tc>
          <w:tcPr>
            <w:tcW w:type="dxa" w:w="1388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BF1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76%</w:t>
            </w:r>
          </w:p>
        </w:tc>
      </w:tr>
      <w:tr>
        <w:trPr>
          <w:tblHeader w:val="false"/>
        </w:trPr>
        <w:tc>
          <w:tcPr>
            <w:tcW w:type="dxa" w:w="27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Single cohort @ £8.95</w:t>
            </w:r>
          </w:p>
        </w:tc>
        <w:tc>
          <w:tcPr>
            <w:tcW w:type="dxa" w:w="11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200</w:t>
            </w:r>
          </w:p>
        </w:tc>
        <w:tc>
          <w:tcPr>
            <w:tcW w:type="dxa" w:w="14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£1,790</w:t>
            </w:r>
          </w:p>
        </w:tc>
        <w:tc>
          <w:tcPr>
            <w:tcW w:type="dxa" w:w="1388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E7F4E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97%</w:t>
            </w:r>
          </w:p>
        </w:tc>
        <w:tc>
          <w:tcPr>
            <w:tcW w:type="dxa" w:w="1388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E7F4E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90%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Reading it: </w:t>
      </w:r>
      <w:r>
        <w:rPr>
          <w:rFonts w:ascii="Arial" w:cs="Arial" w:eastAsia="Arial" w:hAnsi="Arial"/>
        </w:rPr>
        <w:t xml:space="preserve">at typical usage every tier clears ~83–97% gross margin; even an all-school-at-the-cap worst case stays ≥76%. Essentials is a deliberately keen, flat-fee on-ramp — its 250,000-mark cap is what keeps its margin healthy at a flat price. Per-pupil Core tiers self-protect because revenue scales with the pupil count that drives cost.</w:t>
      </w:r>
    </w:p>
    <w:p>
      <w:pPr>
        <w:pStyle w:val="Heading1"/>
      </w:pPr>
      <w:r>
        <w:rPr>
          <w:rFonts w:ascii="Arial" w:cs="Arial" w:eastAsia="Arial" w:hAnsi="Arial"/>
        </w:rPr>
        <w:t xml:space="preserve">6. Positioning &amp; rationale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</w:rPr>
        <w:t xml:space="preserve">Win the budget buyer and the value buyer. </w:t>
      </w:r>
      <w:r>
        <w:rPr>
          <w:rFonts w:ascii="Arial" w:cs="Arial" w:eastAsia="Arial" w:hAnsi="Arial"/>
        </w:rPr>
        <w:t xml:space="preserve">Essentials meets Educake at £890 head-to-head (with AI marking as the upgrade); Core captures schools that want unlimited scale and full features at a Tassomai-level price.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</w:rPr>
        <w:t xml:space="preserve">Priced on value, not on inputs. </w:t>
      </w:r>
      <w:r>
        <w:rPr>
          <w:rFonts w:ascii="Arial" w:cs="Arial" w:eastAsia="Arial" w:hAnsi="Arial"/>
        </w:rPr>
        <w:t xml:space="preserve">AI marking of written answers saves teacher marking time — the thing schools actually pay for — which justifies pricing alongside Tassomai / Sparx rather than the budget per-subject tools.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</w:rPr>
        <w:t xml:space="preserve">At or below the nearest value competitor. </w:t>
      </w:r>
      <w:r>
        <w:rPr>
          <w:rFonts w:ascii="Arial" w:cs="Arial" w:eastAsia="Arial" w:hAnsi="Arial"/>
        </w:rPr>
        <w:t xml:space="preserve">£4.95 falling to £2.95 sits at or under Tassomai’s ≤£5 whole-cohort cap, and well below GCSEPod (~£8) and Sparx (~£6).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</w:rPr>
        <w:t xml:space="preserve">A real free tier. </w:t>
      </w:r>
      <w:r>
        <w:rPr>
          <w:rFonts w:ascii="Arial" w:cs="Arial" w:eastAsia="Arial" w:hAnsi="Arial"/>
        </w:rPr>
        <w:t xml:space="preserve">Both closest competitors (Carousel, Seneca) lead with free; a capped free starter drives adoption and costs almost nothing to run.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</w:rPr>
        <w:t xml:space="preserve">Margin protected by design. </w:t>
      </w:r>
      <w:r>
        <w:rPr>
          <w:rFonts w:ascii="Arial" w:cs="Arial" w:eastAsia="Arial" w:hAnsi="Arial"/>
        </w:rPr>
        <w:t xml:space="preserve">Per-pupil pricing plus fair-use caps keep revenue tracking the usage-driven cost, so a heavy school can’t quietly turn into a loss.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</w:rPr>
        <w:t xml:space="preserve">Cheaper to serve at scale. </w:t>
      </w:r>
      <w:r>
        <w:rPr>
          <w:rFonts w:ascii="Arial" w:cs="Arial" w:eastAsia="Arial" w:hAnsi="Arial"/>
        </w:rPr>
        <w:t xml:space="preserve">Shared-cache economics mean the more the platform is used, the lower the cost per mark — margins improve as you grow.</w:t>
      </w:r>
    </w:p>
    <w:p>
      <w:pPr>
        <w:pStyle w:val="Heading1"/>
      </w:pPr>
      <w:r>
        <w:rPr>
          <w:rFonts w:ascii="Arial" w:cs="Arial" w:eastAsia="Arial" w:hAnsi="Arial"/>
        </w:rPr>
        <w:t xml:space="preserve">7. Go-to-market &amp; review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</w:rPr>
        <w:t xml:space="preserve">Land with pilots. </w:t>
      </w:r>
      <w:r>
        <w:rPr>
          <w:rFonts w:ascii="Arial" w:cs="Arial" w:eastAsia="Arial" w:hAnsi="Arial"/>
        </w:rPr>
        <w:t xml:space="preserve">Offer a free half-term or single cohort; convert on the marking-time saved and the dashboards.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</w:rPr>
        <w:t xml:space="preserve">Lead small schools with Essentials, large schools with Core. </w:t>
      </w:r>
      <w:r>
        <w:rPr>
          <w:rFonts w:ascii="Arial" w:cs="Arial" w:eastAsia="Arial" w:hAnsi="Arial"/>
        </w:rPr>
        <w:t xml:space="preserve">Use the flat fee where you’re competing on price, the per-pupil licence where you’re competing on value.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</w:rPr>
        <w:t xml:space="preserve">Sell whole-science, upsell from single-cohort. </w:t>
      </w:r>
      <w:r>
        <w:rPr>
          <w:rFonts w:ascii="Arial" w:cs="Arial" w:eastAsia="Arial" w:hAnsi="Arial"/>
        </w:rPr>
        <w:t xml:space="preserve">Year-11-first is an easy first cheque that naturally expands.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</w:rPr>
        <w:t xml:space="preserve">Trusts are the multiplier. </w:t>
      </w:r>
      <w:r>
        <w:rPr>
          <w:rFonts w:ascii="Arial" w:cs="Arial" w:eastAsia="Arial" w:hAnsi="Arial"/>
        </w:rPr>
        <w:t xml:space="preserve">One MAT relationship is many schools; the −15/−25% tiers are designed for that conversation.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</w:rPr>
        <w:t xml:space="preserve">Re-price from data, annually. </w:t>
      </w:r>
      <w:r>
        <w:rPr>
          <w:rFonts w:ascii="Arial" w:cs="Arial" w:eastAsia="Arial" w:hAnsi="Arial"/>
        </w:rPr>
        <w:t xml:space="preserve">The admin cost dashboard now reports real per-pupil COGS, the free-vs-AI blend, and the annual run-rate — use it at each renewal to confirm the caps and bands against actual usage, replacing the assumptions in this document with measured numbers.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Appendix — assumptions &amp; sources</w:t>
      </w:r>
    </w:p>
    <w:p>
      <w:pPr>
        <w:pStyle w:val="Heading2"/>
      </w:pPr>
      <w:r>
        <w:rPr>
          <w:rFonts w:ascii="Arial" w:cs="Arial" w:eastAsia="Arial" w:hAnsi="Arial"/>
        </w:rPr>
        <w:t xml:space="preserve">Cost assumptions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</w:rPr>
        <w:t xml:space="preserve">Model: Claude Haiku 4.5 at $1/1M input, $5/1M output, cache read $0.10/1M, cache write $1.25/1M; USD→GBP 0.79.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</w:rPr>
        <w:t xml:space="preserve">Measured per-AI-mark cost ~£0.0006 (warm cache). 50–70% of answers skip the AI via deterministic shortcuts — measured live.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</w:rPr>
        <w:t xml:space="preserve">Typical usage ~600 marks/pupil/yr; heavy usage at the 1,500 fair-use cap. Fixed infrastructure ~£430/yr (Supabase Pro + Vercel Pro), shared across all schools.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</w:rPr>
        <w:t xml:space="preserve">COGS and margin figures are point estimates; the live dashboard supersedes them once a term of real data exists.</w:t>
      </w:r>
    </w:p>
    <w:p>
      <w:pPr>
        <w:pStyle w:val="Heading2"/>
      </w:pPr>
      <w:r>
        <w:rPr>
          <w:rFonts w:ascii="Arial" w:cs="Arial" w:eastAsia="Arial" w:hAnsi="Arial"/>
        </w:rPr>
        <w:t xml:space="preserve">Competitor sources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</w:rPr>
        <w:t xml:space="preserve">Educake — educake.co.uk/pricing; structured-learning.com review.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</w:rPr>
        <w:t xml:space="preserve">Carousel — carousel-learning.zendesk.com (FAQ).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</w:rPr>
        <w:t xml:space="preserve">Tassomai — tassomai.com/teachers.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</w:rPr>
        <w:t xml:space="preserve">Seneca — help.senecalearning.com.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</w:rPr>
        <w:t xml:space="preserve">Sparx Science — support.sparxscience.com (single school case study, estimate).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</w:rPr>
        <w:t xml:space="preserve">GCSEPod — theaccessgroup.com (vendor blog); third-party 2026 estimates.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</w:rPr>
        <w:t xml:space="preserve">Bedrock — edtechimpact.com; help.bedrocklearning.org.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</w:rPr>
        <w:t xml:space="preserve">Margin benchmarks — Benchmarkit 2025 SaaS metrics; CloudZero SaaS gross-margin bands.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Competitor prices are a mix of vendor-published figures and third-party estimates (UK ed-tech is often quote-only); confirm on the live vendor pages before quoting externally.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4E2" w:sz="4" w:space="6"/>
      </w:pBdr>
      <w:tabs>
        <w:tab w:val="right" w:pos="9026"/>
      </w:tabs>
    </w:pPr>
    <w:r>
      <w:rPr>
        <w:rFonts w:ascii="Arial" w:cs="Arial" w:eastAsia="Arial" w:hAnsi="Arial"/>
        <w:color w:val="9AA5B1"/>
        <w:sz w:val="16"/>
        <w:szCs w:val="16"/>
      </w:rPr>
      <w:t xml:space="preserve">Feynman Education — Pricing Structure · Commercial-in-confidence</w:t>
    </w:r>
    <w:r>
      <w:rPr>
        <w:rFonts w:ascii="Arial" w:cs="Arial" w:eastAsia="Arial" w:hAnsi="Arial"/>
        <w:color w:val="9AA5B1"/>
        <w:sz w:val="16"/>
        <w:szCs w:val="16"/>
      </w:rPr>
      <w:t xml:space="preserve">	Page </w:t>
    </w:r>
    <w:r>
      <w:rPr>
        <w:rFonts w:ascii="Arial" w:cs="Arial" w:eastAsia="Arial" w:hAnsi="Arial"/>
        <w:color w:val="9AA5B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AA5B1"/>
        <w:sz w:val="16"/>
        <w:szCs w:val="16"/>
      </w:rPr>
      <w:t xml:space="preserve"> of </w:t>
    </w:r>
    <w:r>
      <w:rPr>
        <w:rFonts w:ascii="Arial" w:cs="Arial" w:eastAsia="Arial" w:hAnsi="Arial"/>
        <w:color w:val="9AA5B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2E6FB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9D4E2" w:sz="4" w:space="6"/>
      </w:pBdr>
      <w:spacing w:after="140" w:before="32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Arial" w:cs="Arial" w:eastAsia="Arial" w:hAnsi="Arial"/>
      <w:b/>
      <w:bCs/>
      <w:color w:val="2E6FB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Pricing Structure</dc:title>
  <dc:creator>Feynman Education</dc:creator>
  <cp:lastModifiedBy>Un-named</cp:lastModifiedBy>
  <cp:revision>1</cp:revision>
  <dcterms:created xsi:type="dcterms:W3CDTF">2026-06-14T12:02:42.888Z</dcterms:created>
  <dcterms:modified xsi:type="dcterms:W3CDTF">2026-06-14T12:02:42.889Z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