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52"/>
        </w:rPr>
        <w:t>The Brilliant Teacher</w:t>
      </w:r>
    </w:p>
    <w:p>
      <w:pPr>
        <w:spacing w:after="160"/>
      </w:pPr>
      <w:r>
        <w:rPr>
          <w:i/>
          <w:color w:val="666666"/>
          <w:sz w:val="24"/>
        </w:rPr>
        <w:t>A complete, evidence-grounded guide</w:t>
      </w:r>
    </w:p>
    <w:tbl>
      <w:tblPr>
        <w:tblStyle w:val="TableGrid"/>
        <w:tblW w:type="auto" w:w="0"/>
        <w:tblLook w:firstColumn="1" w:firstRow="1" w:lastColumn="0" w:lastRow="0" w:noHBand="0" w:noVBand="1" w:val="04A0"/>
      </w:tblPr>
      <w:tblGrid>
        <w:gridCol w:w="8640"/>
      </w:tblGrid>
      <w:tr>
        <w:tc>
          <w:tcPr>
            <w:tcW w:type="dxa" w:w="8640"/>
            <w:shd w:val="clear" w:fill="1F3A5F"/>
          </w:tcPr>
          <w:p>
            <w:pPr>
              <w:spacing w:after="40"/>
            </w:pPr>
            <w:r>
              <w:rPr>
                <w:b/>
                <w:color w:val="FFFFFF"/>
                <w:sz w:val="21"/>
              </w:rPr>
              <w:t>Brilliant teachers build trusting relationships, run calm and predictable rooms, explain with relentless clarity, make students think hard about the right things, check what has actually landed, and keep getting better on purpose — sustainably.</w:t>
            </w:r>
          </w:p>
        </w:tc>
      </w:tr>
    </w:tbl>
    <w:p>
      <w:pPr>
        <w:spacing w:after="40"/>
      </w:pPr>
    </w:p>
    <w:p>
      <w:pPr>
        <w:spacing w:after="120"/>
      </w:pPr>
      <w:r>
        <w:rPr>
          <w:b w:val="0"/>
          <w:i/>
          <w:color w:val="666666"/>
          <w:sz w:val="21"/>
        </w:rPr>
        <w:t>No one masters all of this at once — and you should not try. Pick ONE domain per term, practise it deliberately until it is automatic, then layer the next.</w:t>
      </w:r>
    </w:p>
    <w:p>
      <w:pPr>
        <w:spacing w:before="240" w:after="60"/>
        <w:pBdr>
          <w:bottom w:val="single" w:sz="6" w:space="2" w:color="0F766E"/>
        </w:pBdr>
      </w:pPr>
      <w:r>
        <w:rPr>
          <w:b/>
          <w:color w:val="1F3A5F"/>
          <w:sz w:val="30"/>
        </w:rPr>
        <w:t>The 10 domains at a glance</w:t>
      </w:r>
    </w:p>
    <w:tbl>
      <w:tblPr>
        <w:tblStyle w:val="TableGrid"/>
        <w:tblW w:type="auto" w:w="0"/>
        <w:tblLook w:firstColumn="1" w:firstRow="1" w:lastColumn="0" w:lastRow="0" w:noHBand="0" w:noVBand="1" w:val="04A0"/>
      </w:tblPr>
      <w:tblGrid>
        <w:gridCol w:w="4320"/>
        <w:gridCol w:w="4320"/>
      </w:tblGrid>
      <w:tr>
        <w:tc>
          <w:tcPr>
            <w:tcW w:type="dxa" w:w="2880"/>
          </w:tcPr>
          <w:p>
            <w:pPr>
              <w:spacing w:after="20"/>
            </w:pPr>
            <w:r>
              <w:rPr>
                <w:b/>
                <w:color w:val="0F766E"/>
                <w:sz w:val="19"/>
              </w:rPr>
              <w:t>1. Identity &amp; mindset</w:t>
            </w:r>
          </w:p>
        </w:tc>
        <w:tc>
          <w:tcPr>
            <w:tcW w:type="dxa" w:w="6768"/>
          </w:tcPr>
          <w:p>
            <w:pPr>
              <w:spacing w:after="20"/>
            </w:pPr>
            <w:r>
              <w:rPr>
                <w:color w:val="333333"/>
                <w:sz w:val="19"/>
              </w:rPr>
              <w:t>Warm + strict. You set the emotional weather. High expectations as belief.</w:t>
            </w:r>
          </w:p>
        </w:tc>
      </w:tr>
      <w:tr>
        <w:tc>
          <w:tcPr>
            <w:tcW w:type="dxa" w:w="2880"/>
          </w:tcPr>
          <w:p>
            <w:pPr>
              <w:spacing w:after="20"/>
            </w:pPr>
            <w:r>
              <w:rPr>
                <w:b/>
                <w:color w:val="0F766E"/>
                <w:sz w:val="19"/>
              </w:rPr>
              <w:t>2. Relationships &amp; climate</w:t>
            </w:r>
          </w:p>
        </w:tc>
        <w:tc>
          <w:tcPr>
            <w:tcW w:type="dxa" w:w="6768"/>
          </w:tcPr>
          <w:p>
            <w:pPr>
              <w:spacing w:after="20"/>
            </w:pPr>
            <w:r>
              <w:rPr>
                <w:color w:val="333333"/>
                <w:sz w:val="19"/>
              </w:rPr>
              <w:t>Relatedness, competence, autonomy. Names, door-greeting, fairness, repair.</w:t>
            </w:r>
          </w:p>
        </w:tc>
      </w:tr>
      <w:tr>
        <w:tc>
          <w:tcPr>
            <w:tcW w:type="dxa" w:w="2880"/>
          </w:tcPr>
          <w:p>
            <w:pPr>
              <w:spacing w:after="20"/>
            </w:pPr>
            <w:r>
              <w:rPr>
                <w:b/>
                <w:color w:val="0F766E"/>
                <w:sz w:val="19"/>
              </w:rPr>
              <w:t>3. Behaviour &amp; routines</w:t>
            </w:r>
          </w:p>
        </w:tc>
        <w:tc>
          <w:tcPr>
            <w:tcW w:type="dxa" w:w="6768"/>
          </w:tcPr>
          <w:p>
            <w:pPr>
              <w:spacing w:after="20"/>
            </w:pPr>
            <w:r>
              <w:rPr>
                <w:color w:val="333333"/>
                <w:sz w:val="19"/>
              </w:rPr>
              <w:t>Withitness, routines over rules, least-invasive correction, calm wins.</w:t>
            </w:r>
          </w:p>
        </w:tc>
      </w:tr>
      <w:tr>
        <w:tc>
          <w:tcPr>
            <w:tcW w:type="dxa" w:w="2880"/>
          </w:tcPr>
          <w:p>
            <w:pPr>
              <w:spacing w:after="20"/>
            </w:pPr>
            <w:r>
              <w:rPr>
                <w:b/>
                <w:color w:val="0F766E"/>
                <w:sz w:val="19"/>
              </w:rPr>
              <w:t>4. Explanation &amp; instruction</w:t>
            </w:r>
          </w:p>
        </w:tc>
        <w:tc>
          <w:tcPr>
            <w:tcW w:type="dxa" w:w="6768"/>
          </w:tcPr>
          <w:p>
            <w:pPr>
              <w:spacing w:after="20"/>
            </w:pPr>
            <w:r>
              <w:rPr>
                <w:color w:val="333333"/>
                <w:sz w:val="19"/>
              </w:rPr>
              <w:t>Cognitive load + Rosenshine: small steps, worked examples, high success rate.</w:t>
            </w:r>
          </w:p>
        </w:tc>
      </w:tr>
      <w:tr>
        <w:tc>
          <w:tcPr>
            <w:tcW w:type="dxa" w:w="2880"/>
          </w:tcPr>
          <w:p>
            <w:pPr>
              <w:spacing w:after="20"/>
            </w:pPr>
            <w:r>
              <w:rPr>
                <w:b/>
                <w:color w:val="0F766E"/>
                <w:sz w:val="19"/>
              </w:rPr>
              <w:t>5. Voice &amp; communication</w:t>
            </w:r>
          </w:p>
        </w:tc>
        <w:tc>
          <w:tcPr>
            <w:tcW w:type="dxa" w:w="6768"/>
          </w:tcPr>
          <w:p>
            <w:pPr>
              <w:spacing w:after="20"/>
            </w:pPr>
            <w:r>
              <w:rPr>
                <w:color w:val="333333"/>
                <w:sz w:val="19"/>
              </w:rPr>
              <w:t>Falling intonation, lower pitch, pauses, variety, eye contact. Protect the voice.</w:t>
            </w:r>
          </w:p>
        </w:tc>
      </w:tr>
      <w:tr>
        <w:tc>
          <w:tcPr>
            <w:tcW w:type="dxa" w:w="2880"/>
          </w:tcPr>
          <w:p>
            <w:pPr>
              <w:spacing w:after="20"/>
            </w:pPr>
            <w:r>
              <w:rPr>
                <w:b/>
                <w:color w:val="0F766E"/>
                <w:sz w:val="19"/>
              </w:rPr>
              <w:t>6. Questioning &amp; checking</w:t>
            </w:r>
          </w:p>
        </w:tc>
        <w:tc>
          <w:tcPr>
            <w:tcW w:type="dxa" w:w="6768"/>
          </w:tcPr>
          <w:p>
            <w:pPr>
              <w:spacing w:after="20"/>
            </w:pPr>
            <w:r>
              <w:rPr>
                <w:color w:val="333333"/>
                <w:sz w:val="19"/>
              </w:rPr>
              <w:t>Cold-call, wait time, hinge questions — check the whole room, not the keen hand.</w:t>
            </w:r>
          </w:p>
        </w:tc>
      </w:tr>
      <w:tr>
        <w:tc>
          <w:tcPr>
            <w:tcW w:type="dxa" w:w="2880"/>
          </w:tcPr>
          <w:p>
            <w:pPr>
              <w:spacing w:after="20"/>
            </w:pPr>
            <w:r>
              <w:rPr>
                <w:b/>
                <w:color w:val="0F766E"/>
                <w:sz w:val="19"/>
              </w:rPr>
              <w:t>7. Practice, retrieval &amp; memory</w:t>
            </w:r>
          </w:p>
        </w:tc>
        <w:tc>
          <w:tcPr>
            <w:tcW w:type="dxa" w:w="6768"/>
          </w:tcPr>
          <w:p>
            <w:pPr>
              <w:spacing w:after="20"/>
            </w:pPr>
            <w:r>
              <w:rPr>
                <w:color w:val="333333"/>
                <w:sz w:val="19"/>
              </w:rPr>
              <w:t>Retrieval practice, spacing, interleaving. Performance is not learning.</w:t>
            </w:r>
          </w:p>
        </w:tc>
      </w:tr>
      <w:tr>
        <w:tc>
          <w:tcPr>
            <w:tcW w:type="dxa" w:w="2880"/>
          </w:tcPr>
          <w:p>
            <w:pPr>
              <w:spacing w:after="20"/>
            </w:pPr>
            <w:r>
              <w:rPr>
                <w:b/>
                <w:color w:val="0F766E"/>
                <w:sz w:val="19"/>
              </w:rPr>
              <w:t>8. Feedback &amp; assessment</w:t>
            </w:r>
          </w:p>
        </w:tc>
        <w:tc>
          <w:tcPr>
            <w:tcW w:type="dxa" w:w="6768"/>
          </w:tcPr>
          <w:p>
            <w:pPr>
              <w:spacing w:after="20"/>
            </w:pPr>
            <w:r>
              <w:rPr>
                <w:color w:val="333333"/>
                <w:sz w:val="19"/>
              </w:rPr>
              <w:t>Feedback that causes thinking and is acted on. Separate grades from comments.</w:t>
            </w:r>
          </w:p>
        </w:tc>
      </w:tr>
      <w:tr>
        <w:tc>
          <w:tcPr>
            <w:tcW w:type="dxa" w:w="2880"/>
          </w:tcPr>
          <w:p>
            <w:pPr>
              <w:spacing w:after="20"/>
            </w:pPr>
            <w:r>
              <w:rPr>
                <w:b/>
                <w:color w:val="0F766E"/>
                <w:sz w:val="19"/>
              </w:rPr>
              <w:t>9. Motivation &amp; engagement</w:t>
            </w:r>
          </w:p>
        </w:tc>
        <w:tc>
          <w:tcPr>
            <w:tcW w:type="dxa" w:w="6768"/>
          </w:tcPr>
          <w:p>
            <w:pPr>
              <w:spacing w:after="20"/>
            </w:pPr>
            <w:r>
              <w:rPr>
                <w:color w:val="333333"/>
                <w:sz w:val="19"/>
              </w:rPr>
              <w:t>Engineer success; meaningful work; specific process praise. Engagement is a means.</w:t>
            </w:r>
          </w:p>
        </w:tc>
      </w:tr>
      <w:tr>
        <w:tc>
          <w:tcPr>
            <w:tcW w:type="dxa" w:w="2880"/>
          </w:tcPr>
          <w:p>
            <w:pPr>
              <w:spacing w:after="20"/>
            </w:pPr>
            <w:r>
              <w:rPr>
                <w:b/>
                <w:color w:val="0F766E"/>
                <w:sz w:val="19"/>
              </w:rPr>
              <w:t>10. Growth &amp; sustainability</w:t>
            </w:r>
          </w:p>
        </w:tc>
        <w:tc>
          <w:tcPr>
            <w:tcW w:type="dxa" w:w="6768"/>
          </w:tcPr>
          <w:p>
            <w:pPr>
              <w:spacing w:after="20"/>
            </w:pPr>
            <w:r>
              <w:rPr>
                <w:color w:val="333333"/>
                <w:sz w:val="19"/>
              </w:rPr>
              <w:t>Deliberate practice on one thing. Protect time, voice, evenings. Find your people.</w:t>
            </w:r>
          </w:p>
        </w:tc>
      </w:tr>
    </w:tbl>
    <w:p>
      <w:pPr>
        <w:spacing w:after="40"/>
      </w:pPr>
    </w:p>
    <w:p>
      <w:pPr>
        <w:spacing w:before="240" w:after="60"/>
        <w:pBdr>
          <w:bottom w:val="single" w:sz="6" w:space="2" w:color="0F766E"/>
        </w:pBdr>
      </w:pPr>
      <w:r>
        <w:rPr>
          <w:b/>
          <w:color w:val="1F3A5F"/>
          <w:sz w:val="30"/>
        </w:rPr>
        <w:t>1. Identity &amp; mindset</w:t>
      </w:r>
    </w:p>
    <w:p>
      <w:pPr>
        <w:spacing w:after="80"/>
      </w:pPr>
      <w:r>
        <w:rPr>
          <w:b w:val="0"/>
          <w:i w:val="0"/>
          <w:color w:val="333333"/>
          <w:sz w:val="21"/>
        </w:rPr>
        <w:t>Students read YOU before they read your lesson.</w:t>
      </w:r>
    </w:p>
    <w:p>
      <w:pPr>
        <w:pStyle w:val="ListBullet"/>
        <w:spacing w:after="40"/>
      </w:pPr>
      <w:r>
        <w:rPr>
          <w:b/>
          <w:color w:val="1F3A5F"/>
          <w:sz w:val="20"/>
        </w:rPr>
        <w:t xml:space="preserve">Warm + strict, not either/or — </w:t>
      </w:r>
      <w:r>
        <w:rPr>
          <w:color w:val="333333"/>
          <w:sz w:val="20"/>
        </w:rPr>
        <w:t>caring and demanding are a pair, not a trade-off.</w:t>
      </w:r>
    </w:p>
    <w:p>
      <w:pPr>
        <w:pStyle w:val="ListBullet"/>
        <w:spacing w:after="40"/>
      </w:pPr>
      <w:r>
        <w:rPr>
          <w:b/>
          <w:color w:val="1F3A5F"/>
          <w:sz w:val="20"/>
        </w:rPr>
        <w:t xml:space="preserve">You set the emotional weather — </w:t>
      </w:r>
      <w:r>
        <w:rPr>
          <w:color w:val="333333"/>
          <w:sz w:val="20"/>
        </w:rPr>
        <w:t>the room regulates to your calm; regulate yourself first.</w:t>
      </w:r>
    </w:p>
    <w:p>
      <w:pPr>
        <w:pStyle w:val="ListBullet"/>
        <w:spacing w:after="40"/>
      </w:pPr>
      <w:r>
        <w:rPr>
          <w:b/>
          <w:color w:val="1F3A5F"/>
          <w:sz w:val="20"/>
        </w:rPr>
        <w:t xml:space="preserve">High expectations as belief — </w:t>
      </w:r>
      <w:r>
        <w:rPr>
          <w:color w:val="333333"/>
          <w:sz w:val="20"/>
        </w:rPr>
        <w:t>"this is hard, I know you can do it, I will get you there."</w:t>
      </w:r>
    </w:p>
    <w:p>
      <w:pPr>
        <w:pStyle w:val="ListBullet"/>
        <w:spacing w:after="40"/>
      </w:pPr>
      <w:r>
        <w:rPr>
          <w:b/>
          <w:color w:val="1F3A5F"/>
          <w:sz w:val="20"/>
        </w:rPr>
        <w:t xml:space="preserve">Be the most reliable adult in the building — </w:t>
      </w:r>
      <w:r>
        <w:rPr>
          <w:color w:val="333333"/>
          <w:sz w:val="20"/>
        </w:rPr>
        <w:t>consistency buys more authority than charisma.</w:t>
      </w:r>
    </w:p>
    <w:p>
      <w:pPr>
        <w:spacing w:before="240" w:after="60"/>
        <w:pBdr>
          <w:bottom w:val="single" w:sz="6" w:space="2" w:color="0F766E"/>
        </w:pBdr>
      </w:pPr>
      <w:r>
        <w:rPr>
          <w:b/>
          <w:color w:val="1F3A5F"/>
          <w:sz w:val="30"/>
        </w:rPr>
        <w:t>2. Relationships &amp; climate</w:t>
      </w:r>
    </w:p>
    <w:p>
      <w:pPr>
        <w:spacing w:after="80"/>
      </w:pPr>
      <w:r>
        <w:rPr>
          <w:b w:val="0"/>
          <w:i w:val="0"/>
          <w:color w:val="333333"/>
          <w:sz w:val="21"/>
        </w:rPr>
        <w:t>Nothing else works without safety, belonging, and a standard. Students engage when three needs are met: relatedness (you are on their side), competence (success that makes effort feel worth it), autonomy (genuine ownership).</w:t>
      </w:r>
    </w:p>
    <w:p>
      <w:pPr>
        <w:pStyle w:val="ListBullet"/>
        <w:spacing w:after="40"/>
      </w:pPr>
      <w:r>
        <w:rPr>
          <w:b/>
          <w:color w:val="1F3A5F"/>
          <w:sz w:val="20"/>
        </w:rPr>
        <w:t>Learn names fast</w:t>
      </w:r>
      <w:r>
        <w:rPr>
          <w:color w:val="333333"/>
          <w:sz w:val="20"/>
        </w:rPr>
        <w:t xml:space="preserve"> and use them warmly. Greet at the door.</w:t>
      </w:r>
    </w:p>
    <w:p>
      <w:pPr>
        <w:pStyle w:val="ListBullet"/>
        <w:spacing w:after="40"/>
      </w:pPr>
      <w:r>
        <w:rPr>
          <w:b/>
          <w:color w:val="1F3A5F"/>
          <w:sz w:val="20"/>
        </w:rPr>
        <w:t>Name effort specifically</w:t>
      </w:r>
      <w:r>
        <w:rPr>
          <w:color w:val="333333"/>
          <w:sz w:val="20"/>
        </w:rPr>
        <w:t xml:space="preserve"> — not generic praise.</w:t>
      </w:r>
    </w:p>
    <w:p>
      <w:pPr>
        <w:pStyle w:val="ListBullet"/>
        <w:spacing w:after="40"/>
      </w:pPr>
      <w:r>
        <w:rPr>
          <w:b/>
          <w:color w:val="1F3A5F"/>
          <w:sz w:val="20"/>
        </w:rPr>
        <w:t>Repair, do not just sanction</w:t>
      </w:r>
      <w:r>
        <w:rPr>
          <w:color w:val="333333"/>
          <w:sz w:val="20"/>
        </w:rPr>
        <w:t xml:space="preserve"> — reconnect after a correction.</w:t>
      </w:r>
    </w:p>
    <w:p>
      <w:pPr>
        <w:pStyle w:val="ListBullet"/>
        <w:spacing w:after="40"/>
      </w:pPr>
      <w:r>
        <w:rPr>
          <w:b/>
          <w:color w:val="1F3A5F"/>
          <w:sz w:val="20"/>
        </w:rPr>
        <w:t>Be relentlessly fair</w:t>
      </w:r>
      <w:r>
        <w:rPr>
          <w:color w:val="333333"/>
          <w:sz w:val="20"/>
        </w:rPr>
        <w:t xml:space="preserve"> — teens have radar for inconsistency.</w:t>
      </w:r>
    </w:p>
    <w:tbl>
      <w:tblPr>
        <w:tblStyle w:val="TableGrid"/>
        <w:tblW w:type="auto" w:w="0"/>
        <w:tblLook w:firstColumn="1" w:firstRow="1" w:lastColumn="0" w:lastRow="0" w:noHBand="0" w:noVBand="1" w:val="04A0"/>
      </w:tblPr>
      <w:tblGrid>
        <w:gridCol w:w="8640"/>
      </w:tblGrid>
      <w:tr>
        <w:tc>
          <w:tcPr>
            <w:tcW w:type="dxa" w:w="8640"/>
            <w:shd w:val="clear" w:fill="F0F6F5"/>
          </w:tcPr>
          <w:p>
            <w:pPr>
              <w:spacing w:after="40"/>
            </w:pPr>
            <w:r>
              <w:rPr>
                <w:b/>
                <w:color w:val="1F3A5F"/>
                <w:sz w:val="21"/>
              </w:rPr>
              <w:t>Tone matters as much as words. Tested on ages 10–16: a controlling/pressuring tone lowers trust and cooperation EVEN WHEN THE WORDS ARE IDENTICAL. Be firm about the task, warm about the person.</w:t>
            </w:r>
          </w:p>
        </w:tc>
      </w:tr>
    </w:tbl>
    <w:p>
      <w:pPr>
        <w:spacing w:after="40"/>
      </w:pPr>
    </w:p>
    <w:p>
      <w:pPr>
        <w:spacing w:before="240" w:after="60"/>
        <w:pBdr>
          <w:bottom w:val="single" w:sz="6" w:space="2" w:color="0F766E"/>
        </w:pBdr>
      </w:pPr>
      <w:r>
        <w:rPr>
          <w:b/>
          <w:color w:val="1F3A5F"/>
          <w:sz w:val="30"/>
        </w:rPr>
        <w:t>3. Behaviour &amp; routines</w:t>
      </w:r>
    </w:p>
    <w:p>
      <w:pPr>
        <w:spacing w:after="80"/>
      </w:pPr>
      <w:r>
        <w:rPr>
          <w:b w:val="0"/>
          <w:i w:val="0"/>
          <w:color w:val="333333"/>
          <w:sz w:val="21"/>
        </w:rPr>
        <w:t>You cannot teach a room you do not have. Good behaviour is designed in advance, not imposed in the moment.</w:t>
      </w:r>
    </w:p>
    <w:p>
      <w:pPr>
        <w:spacing w:before="140" w:after="20"/>
      </w:pPr>
      <w:r>
        <w:rPr>
          <w:b/>
          <w:color w:val="0F766E"/>
          <w:sz w:val="23"/>
        </w:rPr>
        <w:t>Kounin's essentials</w:t>
      </w:r>
    </w:p>
    <w:p>
      <w:pPr>
        <w:pStyle w:val="ListBullet"/>
        <w:spacing w:after="40"/>
      </w:pPr>
      <w:r>
        <w:rPr>
          <w:b/>
          <w:color w:val="1F3A5F"/>
          <w:sz w:val="20"/>
        </w:rPr>
        <w:t>Withitness</w:t>
      </w:r>
      <w:r>
        <w:rPr>
          <w:color w:val="333333"/>
          <w:sz w:val="20"/>
        </w:rPr>
        <w:t xml:space="preserve"> — show you see everything; address the first small thing early.</w:t>
      </w:r>
    </w:p>
    <w:p>
      <w:pPr>
        <w:pStyle w:val="ListBullet"/>
        <w:spacing w:after="40"/>
      </w:pPr>
      <w:r>
        <w:rPr>
          <w:b/>
          <w:color w:val="1F3A5F"/>
          <w:sz w:val="20"/>
        </w:rPr>
        <w:t>Overlapping</w:t>
      </w:r>
      <w:r>
        <w:rPr>
          <w:color w:val="333333"/>
          <w:sz w:val="20"/>
        </w:rPr>
        <w:t xml:space="preserve"> — handle two things at once. </w:t>
      </w:r>
    </w:p>
    <w:p>
      <w:pPr>
        <w:pStyle w:val="ListBullet"/>
        <w:spacing w:after="40"/>
      </w:pPr>
      <w:r>
        <w:rPr>
          <w:b/>
          <w:color w:val="1F3A5F"/>
          <w:sz w:val="20"/>
        </w:rPr>
        <w:t>Momentum &amp; smoothness</w:t>
      </w:r>
      <w:r>
        <w:rPr>
          <w:color w:val="333333"/>
          <w:sz w:val="20"/>
        </w:rPr>
        <w:t xml:space="preserve"> — transitions are where disorder breeds.</w:t>
      </w:r>
    </w:p>
    <w:p>
      <w:pPr>
        <w:spacing w:before="140" w:after="20"/>
      </w:pPr>
      <w:r>
        <w:rPr>
          <w:b/>
          <w:color w:val="0F766E"/>
          <w:sz w:val="23"/>
        </w:rPr>
        <w:t>Make it work</w:t>
      </w:r>
    </w:p>
    <w:p>
      <w:pPr>
        <w:pStyle w:val="ListBullet"/>
        <w:spacing w:after="40"/>
      </w:pPr>
      <w:r>
        <w:rPr>
          <w:b/>
          <w:color w:val="1F3A5F"/>
          <w:sz w:val="20"/>
        </w:rPr>
        <w:t>Routines beat rules</w:t>
      </w:r>
      <w:r>
        <w:rPr>
          <w:color w:val="333333"/>
          <w:sz w:val="20"/>
        </w:rPr>
        <w:t xml:space="preserve"> — few rules, many routines, explicitly taught and practised until automatic.</w:t>
      </w:r>
    </w:p>
    <w:p>
      <w:pPr>
        <w:pStyle w:val="ListBullet"/>
        <w:spacing w:after="40"/>
      </w:pPr>
      <w:r>
        <w:rPr>
          <w:b/>
          <w:color w:val="1F3A5F"/>
          <w:sz w:val="20"/>
        </w:rPr>
        <w:t>Least-invasive first</w:t>
      </w:r>
      <w:r>
        <w:rPr>
          <w:color w:val="333333"/>
          <w:sz w:val="20"/>
        </w:rPr>
        <w:t xml:space="preserve"> — proximity &gt; a look &gt; a quiet word &gt; a named reminder &gt; a consequence.</w:t>
      </w:r>
    </w:p>
    <w:p>
      <w:pPr>
        <w:pStyle w:val="ListBullet"/>
        <w:spacing w:after="40"/>
      </w:pPr>
      <w:r>
        <w:rPr>
          <w:b/>
          <w:color w:val="1F3A5F"/>
          <w:sz w:val="20"/>
        </w:rPr>
        <w:t>Calm and quiet wins</w:t>
      </w:r>
      <w:r>
        <w:rPr>
          <w:color w:val="333333"/>
          <w:sz w:val="20"/>
        </w:rPr>
        <w:t xml:space="preserve"> — lower your volume when behaviour slips; never shout over noise.</w:t>
      </w:r>
    </w:p>
    <w:p>
      <w:pPr>
        <w:pStyle w:val="ListBullet"/>
        <w:spacing w:after="40"/>
      </w:pPr>
      <w:r>
        <w:rPr>
          <w:b/>
          <w:color w:val="1F3A5F"/>
          <w:sz w:val="20"/>
        </w:rPr>
        <w:t>Certainty over severity</w:t>
      </w:r>
      <w:r>
        <w:rPr>
          <w:color w:val="333333"/>
          <w:sz w:val="20"/>
        </w:rPr>
        <w:t xml:space="preserve"> — small consequences that always happen beat dramatic ones that rarely do.</w:t>
      </w:r>
    </w:p>
    <w:p>
      <w:pPr>
        <w:spacing w:after="80"/>
      </w:pPr>
      <w:r>
        <w:rPr>
          <w:b w:val="0"/>
          <w:i/>
          <w:color w:val="B02A2A"/>
          <w:sz w:val="20"/>
        </w:rPr>
        <w:t>Avoid: arguing in the moment, whole-class punishment, inconsistency.</w:t>
      </w:r>
    </w:p>
    <w:p>
      <w:pPr>
        <w:spacing w:before="240" w:after="60"/>
        <w:pBdr>
          <w:bottom w:val="single" w:sz="6" w:space="2" w:color="0F766E"/>
        </w:pBdr>
      </w:pPr>
      <w:r>
        <w:rPr>
          <w:b/>
          <w:color w:val="1F3A5F"/>
          <w:sz w:val="30"/>
        </w:rPr>
        <w:t>4. Explanation &amp; instruction</w:t>
      </w:r>
    </w:p>
    <w:p>
      <w:pPr>
        <w:spacing w:after="80"/>
      </w:pPr>
      <w:r>
        <w:rPr>
          <w:b w:val="0"/>
          <w:i w:val="0"/>
          <w:color w:val="333333"/>
          <w:sz w:val="21"/>
        </w:rPr>
        <w:t>Working memory is tiny; learning is the slow building of schemas in long-term memory. Manage load so the right things get encoded.</w:t>
      </w:r>
    </w:p>
    <w:p>
      <w:pPr>
        <w:spacing w:before="140" w:after="20"/>
      </w:pPr>
      <w:r>
        <w:rPr>
          <w:b/>
          <w:color w:val="0F766E"/>
          <w:sz w:val="23"/>
        </w:rPr>
        <w:t>Rosenshine's principles (the most useful framework)</w:t>
      </w:r>
    </w:p>
    <w:p>
      <w:pPr>
        <w:pStyle w:val="ListBullet"/>
        <w:spacing w:after="20"/>
      </w:pPr>
      <w:r>
        <w:rPr>
          <w:color w:val="333333"/>
          <w:sz w:val="20"/>
        </w:rPr>
        <w:t>Short daily review of prior learning.</w:t>
      </w:r>
    </w:p>
    <w:p>
      <w:pPr>
        <w:pStyle w:val="ListBullet"/>
        <w:spacing w:after="20"/>
      </w:pPr>
      <w:r>
        <w:rPr>
          <w:color w:val="333333"/>
          <w:sz w:val="20"/>
        </w:rPr>
        <w:t>New material in small steps, with practice after each.</w:t>
      </w:r>
    </w:p>
    <w:p>
      <w:pPr>
        <w:pStyle w:val="ListBullet"/>
        <w:spacing w:after="20"/>
      </w:pPr>
      <w:r>
        <w:rPr>
          <w:color w:val="333333"/>
          <w:sz w:val="20"/>
        </w:rPr>
        <w:t>Ask many questions; check ALL students.</w:t>
      </w:r>
    </w:p>
    <w:p>
      <w:pPr>
        <w:pStyle w:val="ListBullet"/>
        <w:spacing w:after="20"/>
      </w:pPr>
      <w:r>
        <w:rPr>
          <w:color w:val="333333"/>
          <w:sz w:val="20"/>
        </w:rPr>
        <w:t>Provide models and worked examples.</w:t>
      </w:r>
    </w:p>
    <w:p>
      <w:pPr>
        <w:pStyle w:val="ListBullet"/>
        <w:spacing w:after="20"/>
      </w:pPr>
      <w:r>
        <w:rPr>
          <w:color w:val="333333"/>
          <w:sz w:val="20"/>
        </w:rPr>
        <w:t>Guide practice; aim for ~80% success before moving on.</w:t>
      </w:r>
    </w:p>
    <w:p>
      <w:pPr>
        <w:pStyle w:val="ListBullet"/>
        <w:spacing w:after="20"/>
      </w:pPr>
      <w:r>
        <w:rPr>
          <w:color w:val="333333"/>
          <w:sz w:val="20"/>
        </w:rPr>
        <w:t>Scaffold hard tasks, then remove the scaffolds.</w:t>
      </w:r>
    </w:p>
    <w:p>
      <w:pPr>
        <w:pStyle w:val="ListBullet"/>
        <w:spacing w:after="20"/>
      </w:pPr>
      <w:r>
        <w:rPr>
          <w:color w:val="333333"/>
          <w:sz w:val="20"/>
        </w:rPr>
        <w:t>Independent practice + weekly/monthly review.</w:t>
      </w:r>
    </w:p>
    <w:p>
      <w:pPr>
        <w:spacing w:before="140" w:after="20"/>
      </w:pPr>
      <w:r>
        <w:rPr>
          <w:b/>
          <w:color w:val="0F766E"/>
          <w:sz w:val="23"/>
        </w:rPr>
        <w:t>Make explanations land</w:t>
      </w:r>
    </w:p>
    <w:p>
      <w:pPr>
        <w:pStyle w:val="ListBullet"/>
        <w:spacing w:after="40"/>
      </w:pPr>
      <w:r>
        <w:rPr>
          <w:b/>
          <w:color w:val="1F3A5F"/>
          <w:sz w:val="20"/>
        </w:rPr>
        <w:t>Worked examples first</w:t>
      </w:r>
      <w:r>
        <w:rPr>
          <w:color w:val="333333"/>
          <w:sz w:val="20"/>
        </w:rPr>
        <w:t>, then fade: "I do -&gt; we do -&gt; you do."</w:t>
      </w:r>
    </w:p>
    <w:p>
      <w:pPr>
        <w:pStyle w:val="ListBullet"/>
        <w:spacing w:after="40"/>
      </w:pPr>
      <w:r>
        <w:rPr>
          <w:b/>
          <w:color w:val="1F3A5F"/>
          <w:sz w:val="20"/>
        </w:rPr>
        <w:t>Concrete before abstract</w:t>
      </w:r>
      <w:r>
        <w:rPr>
          <w:color w:val="333333"/>
          <w:sz w:val="20"/>
        </w:rPr>
        <w:t>; one idea at a time.</w:t>
      </w:r>
    </w:p>
    <w:p>
      <w:pPr>
        <w:pStyle w:val="ListBullet"/>
        <w:spacing w:after="40"/>
      </w:pPr>
      <w:r>
        <w:rPr>
          <w:b/>
          <w:color w:val="1F3A5F"/>
          <w:sz w:val="20"/>
        </w:rPr>
        <w:t>Feynman test</w:t>
      </w:r>
      <w:r>
        <w:rPr>
          <w:color w:val="333333"/>
          <w:sz w:val="20"/>
        </w:rPr>
        <w:t xml:space="preserve"> — explain it to a beginner in plain language; the moment you need jargon, you have found a gap to close.</w:t>
      </w:r>
    </w:p>
    <w:p>
      <w:pPr>
        <w:pStyle w:val="ListBullet"/>
        <w:spacing w:after="40"/>
      </w:pPr>
      <w:r>
        <w:rPr>
          <w:b/>
          <w:color w:val="1F3A5F"/>
          <w:sz w:val="20"/>
        </w:rPr>
        <w:t>Dual coding &amp; story</w:t>
      </w:r>
      <w:r>
        <w:rPr>
          <w:color w:val="333333"/>
          <w:sz w:val="20"/>
        </w:rPr>
        <w:t xml:space="preserve"> — clear words + a simple visual; carry the concept inside a short true story.</w:t>
      </w:r>
    </w:p>
    <w:p>
      <w:pPr>
        <w:spacing w:after="80"/>
      </w:pPr>
      <w:r>
        <w:rPr>
          <w:b w:val="0"/>
          <w:i/>
          <w:color w:val="B02A2A"/>
          <w:sz w:val="20"/>
        </w:rPr>
        <w:t>Avoid: talking too long without a check; "discovery" tasks for novices on new content; mistaking engagement for learning.</w:t>
      </w:r>
    </w:p>
    <w:p>
      <w:pPr>
        <w:spacing w:before="240" w:after="60"/>
        <w:pBdr>
          <w:bottom w:val="single" w:sz="6" w:space="2" w:color="0F766E"/>
        </w:pBdr>
      </w:pPr>
      <w:r>
        <w:rPr>
          <w:b/>
          <w:color w:val="1F3A5F"/>
          <w:sz w:val="30"/>
        </w:rPr>
        <w:t>5. Voice &amp; communication</w:t>
      </w:r>
    </w:p>
    <w:p>
      <w:pPr>
        <w:spacing w:after="80"/>
      </w:pPr>
      <w:r>
        <w:rPr>
          <w:b w:val="0"/>
          <w:i w:val="0"/>
          <w:color w:val="333333"/>
          <w:sz w:val="21"/>
        </w:rPr>
        <w:t>You talk for hours a day; small changes compound. (Full detail in the companion voice doc.)</w:t>
      </w:r>
    </w:p>
    <w:p>
      <w:pPr>
        <w:pStyle w:val="ListBullet"/>
        <w:spacing w:after="40"/>
      </w:pPr>
      <w:r>
        <w:rPr>
          <w:b/>
          <w:color w:val="1F3A5F"/>
          <w:sz w:val="20"/>
        </w:rPr>
        <w:t>Sound confident</w:t>
      </w:r>
      <w:r>
        <w:rPr>
          <w:color w:val="333333"/>
          <w:sz w:val="20"/>
        </w:rPr>
        <w:t xml:space="preserve"> — moderately faster pace, FALLING intonation (no uptalk), slightly lower pitch, deliberate pauses, varied pitch/volume.</w:t>
      </w:r>
    </w:p>
    <w:p>
      <w:pPr>
        <w:pStyle w:val="ListBullet"/>
        <w:spacing w:after="40"/>
      </w:pPr>
      <w:r>
        <w:rPr>
          <w:b/>
          <w:color w:val="1F3A5F"/>
          <w:sz w:val="20"/>
        </w:rPr>
        <w:t>Pause with power</w:t>
      </w:r>
      <w:r>
        <w:rPr>
          <w:color w:val="333333"/>
          <w:sz w:val="20"/>
        </w:rPr>
        <w:t xml:space="preserve"> — 2-second silence before the key word, held with eye contact.</w:t>
      </w:r>
    </w:p>
    <w:p>
      <w:pPr>
        <w:pStyle w:val="ListBullet"/>
        <w:spacing w:after="40"/>
      </w:pPr>
      <w:r>
        <w:rPr>
          <w:b/>
          <w:color w:val="1F3A5F"/>
          <w:sz w:val="20"/>
        </w:rPr>
        <w:t>Eye contact in zones</w:t>
      </w:r>
      <w:r>
        <w:rPr>
          <w:color w:val="333333"/>
          <w:sz w:val="20"/>
        </w:rPr>
        <w:t xml:space="preserve"> — 4–5 zones, rest on a real face 2–3 sec, rotate.</w:t>
      </w:r>
    </w:p>
    <w:p>
      <w:pPr>
        <w:pStyle w:val="ListBullet"/>
        <w:spacing w:after="40"/>
      </w:pPr>
      <w:r>
        <w:rPr>
          <w:b/>
          <w:color w:val="1F3A5F"/>
          <w:sz w:val="20"/>
        </w:rPr>
        <w:t>Protect the instrument</w:t>
      </w:r>
      <w:r>
        <w:rPr>
          <w:color w:val="333333"/>
          <w:sz w:val="20"/>
        </w:rPr>
        <w:t xml:space="preserve"> — hydrate, warm up, project from breath not throat, rest when hoarse.</w:t>
      </w:r>
    </w:p>
    <w:p>
      <w:pPr>
        <w:spacing w:before="240" w:after="60"/>
        <w:pBdr>
          <w:bottom w:val="single" w:sz="6" w:space="2" w:color="0F766E"/>
        </w:pBdr>
      </w:pPr>
      <w:r>
        <w:rPr>
          <w:b/>
          <w:color w:val="1F3A5F"/>
          <w:sz w:val="30"/>
        </w:rPr>
        <w:t>6. Questioning &amp; checking for understanding</w:t>
      </w:r>
    </w:p>
    <w:p>
      <w:pPr>
        <w:pStyle w:val="ListBullet"/>
        <w:spacing w:after="40"/>
      </w:pPr>
      <w:r>
        <w:rPr>
          <w:b/>
          <w:color w:val="1F3A5F"/>
          <w:sz w:val="20"/>
        </w:rPr>
        <w:t>Cold-call (with warmth)</w:t>
      </w:r>
      <w:r>
        <w:rPr>
          <w:color w:val="333333"/>
          <w:sz w:val="20"/>
        </w:rPr>
        <w:t xml:space="preserve"> — beats hands-up; tells you what the median student understands.</w:t>
      </w:r>
    </w:p>
    <w:p>
      <w:pPr>
        <w:pStyle w:val="ListBullet"/>
        <w:spacing w:after="40"/>
      </w:pPr>
      <w:r>
        <w:rPr>
          <w:b/>
          <w:color w:val="1F3A5F"/>
          <w:sz w:val="20"/>
        </w:rPr>
        <w:t>Wait time</w:t>
      </w:r>
      <w:r>
        <w:rPr>
          <w:color w:val="333333"/>
          <w:sz w:val="20"/>
        </w:rPr>
        <w:t xml:space="preserve"> — count to 3 after asking AND after they answer.</w:t>
      </w:r>
    </w:p>
    <w:p>
      <w:pPr>
        <w:pStyle w:val="ListBullet"/>
        <w:spacing w:after="40"/>
      </w:pPr>
      <w:r>
        <w:rPr>
          <w:b/>
          <w:color w:val="1F3A5F"/>
          <w:sz w:val="20"/>
        </w:rPr>
        <w:t>Check the whole room</w:t>
      </w:r>
      <w:r>
        <w:rPr>
          <w:color w:val="333333"/>
          <w:sz w:val="20"/>
        </w:rPr>
        <w:t xml:space="preserve"> — mini-whiteboards, hinge questions, all-respond.</w:t>
      </w:r>
    </w:p>
    <w:p>
      <w:pPr>
        <w:pStyle w:val="ListBullet"/>
        <w:spacing w:after="40"/>
      </w:pPr>
      <w:r>
        <w:rPr>
          <w:b/>
          <w:color w:val="1F3A5F"/>
          <w:sz w:val="20"/>
        </w:rPr>
        <w:t>No opt-out + "say it again, better"</w:t>
      </w:r>
      <w:r>
        <w:rPr>
          <w:color w:val="333333"/>
          <w:sz w:val="20"/>
        </w:rPr>
        <w:t xml:space="preserve"> — push for full, precise answers.</w:t>
      </w:r>
    </w:p>
    <w:tbl>
      <w:tblPr>
        <w:tblStyle w:val="TableGrid"/>
        <w:tblW w:type="auto" w:w="0"/>
        <w:tblLook w:firstColumn="1" w:firstRow="1" w:lastColumn="0" w:lastRow="0" w:noHBand="0" w:noVBand="1" w:val="04A0"/>
      </w:tblPr>
      <w:tblGrid>
        <w:gridCol w:w="8640"/>
      </w:tblGrid>
      <w:tr>
        <w:tc>
          <w:tcPr>
            <w:tcW w:type="dxa" w:w="8640"/>
            <w:shd w:val="clear" w:fill="FBEAEA"/>
          </w:tcPr>
          <w:p>
            <w:pPr>
              <w:spacing w:after="40"/>
            </w:pPr>
            <w:r>
              <w:rPr>
                <w:b/>
                <w:color w:val="B02A2A"/>
                <w:sz w:val="21"/>
              </w:rPr>
              <w:t>Never ask "Does everyone understand?" or "Any questions?" — these check confidence, not understanding. The students who need help are the least likely to raise a hand.</w:t>
            </w:r>
          </w:p>
        </w:tc>
      </w:tr>
    </w:tbl>
    <w:p>
      <w:pPr>
        <w:spacing w:after="40"/>
      </w:pPr>
    </w:p>
    <w:p>
      <w:pPr>
        <w:spacing w:before="240" w:after="60"/>
        <w:pBdr>
          <w:bottom w:val="single" w:sz="6" w:space="2" w:color="0F766E"/>
        </w:pBdr>
      </w:pPr>
      <w:r>
        <w:rPr>
          <w:b/>
          <w:color w:val="1F3A5F"/>
          <w:sz w:val="30"/>
        </w:rPr>
        <w:t>7. Practice, retrieval &amp; memory</w:t>
      </w:r>
    </w:p>
    <w:p>
      <w:pPr>
        <w:spacing w:after="80"/>
      </w:pPr>
      <w:r>
        <w:rPr>
          <w:b w:val="0"/>
          <w:i w:val="0"/>
          <w:color w:val="333333"/>
          <w:sz w:val="21"/>
        </w:rPr>
        <w:t>Performance during learning is a poor index of long-term learning — easy, fluent lessons often build fragile memories. The biggest gains come from how students practise.</w:t>
      </w:r>
    </w:p>
    <w:p>
      <w:pPr>
        <w:pStyle w:val="ListBullet"/>
        <w:spacing w:after="40"/>
      </w:pPr>
      <w:r>
        <w:rPr>
          <w:b/>
          <w:color w:val="1F3A5F"/>
          <w:sz w:val="20"/>
        </w:rPr>
        <w:t>Retrieval practice</w:t>
      </w:r>
      <w:r>
        <w:rPr>
          <w:color w:val="333333"/>
          <w:sz w:val="20"/>
        </w:rPr>
        <w:t xml:space="preserve"> — recall from memory (quizzing, brain-dumps). The best-supported technique there is.</w:t>
      </w:r>
    </w:p>
    <w:p>
      <w:pPr>
        <w:pStyle w:val="ListBullet"/>
        <w:spacing w:after="40"/>
      </w:pPr>
      <w:r>
        <w:rPr>
          <w:b/>
          <w:color w:val="1F3A5F"/>
          <w:sz w:val="20"/>
        </w:rPr>
        <w:t>Spacing</w:t>
      </w:r>
      <w:r>
        <w:rPr>
          <w:color w:val="333333"/>
          <w:sz w:val="20"/>
        </w:rPr>
        <w:t xml:space="preserve"> — revisit topics days and weeks later, not once.</w:t>
      </w:r>
    </w:p>
    <w:p>
      <w:pPr>
        <w:pStyle w:val="ListBullet"/>
        <w:spacing w:after="40"/>
      </w:pPr>
      <w:r>
        <w:rPr>
          <w:b/>
          <w:color w:val="1F3A5F"/>
          <w:sz w:val="20"/>
        </w:rPr>
        <w:t>Interleaving</w:t>
      </w:r>
      <w:r>
        <w:rPr>
          <w:color w:val="333333"/>
          <w:sz w:val="20"/>
        </w:rPr>
        <w:t xml:space="preserve"> — mix problem types; the "desirable difficulty" builds flexible knowledge.</w:t>
      </w:r>
    </w:p>
    <w:p>
      <w:pPr>
        <w:pStyle w:val="ListBullet"/>
        <w:spacing w:after="40"/>
      </w:pPr>
      <w:r>
        <w:rPr>
          <w:b/>
          <w:color w:val="1F3A5F"/>
          <w:sz w:val="20"/>
        </w:rPr>
        <w:t>Elaboration</w:t>
      </w:r>
      <w:r>
        <w:rPr>
          <w:color w:val="333333"/>
          <w:sz w:val="20"/>
        </w:rPr>
        <w:t xml:space="preserve"> — make students explain WHY and connect ideas.</w:t>
      </w:r>
    </w:p>
    <w:p>
      <w:pPr>
        <w:spacing w:after="80"/>
      </w:pPr>
      <w:r>
        <w:rPr>
          <w:b w:val="0"/>
          <w:i/>
          <w:color w:val="B02A2A"/>
          <w:sz w:val="20"/>
        </w:rPr>
        <w:t>Avoid: re-reading as revision (false fluency); blocked practice only; "learning styles" — matching to visual/auditory/kinaesthetic styles does NOT improve learning. It is a myth.</w:t>
      </w:r>
    </w:p>
    <w:p>
      <w:pPr>
        <w:spacing w:before="240" w:after="60"/>
        <w:pBdr>
          <w:bottom w:val="single" w:sz="6" w:space="2" w:color="0F766E"/>
        </w:pBdr>
      </w:pPr>
      <w:r>
        <w:rPr>
          <w:b/>
          <w:color w:val="1F3A5F"/>
          <w:sz w:val="30"/>
        </w:rPr>
        <w:t>8. Feedback &amp; assessment</w:t>
      </w:r>
    </w:p>
    <w:p>
      <w:pPr>
        <w:spacing w:after="80"/>
      </w:pPr>
      <w:r>
        <w:rPr>
          <w:b w:val="0"/>
          <w:i w:val="0"/>
          <w:color w:val="333333"/>
          <w:sz w:val="21"/>
        </w:rPr>
        <w:t>Assessment is the steering wheel, not the thing at the end. Feedback should change what the student does next.</w:t>
      </w:r>
    </w:p>
    <w:p>
      <w:pPr>
        <w:pStyle w:val="ListBullet"/>
        <w:spacing w:after="40"/>
      </w:pPr>
      <w:r>
        <w:rPr>
          <w:b/>
          <w:color w:val="1F3A5F"/>
          <w:sz w:val="20"/>
        </w:rPr>
        <w:t>Cause thinking, not receiving</w:t>
      </w:r>
      <w:r>
        <w:rPr>
          <w:color w:val="333333"/>
          <w:sz w:val="20"/>
        </w:rPr>
        <w:t xml:space="preserve"> — comments acted on beat marks merely read.</w:t>
      </w:r>
    </w:p>
    <w:p>
      <w:pPr>
        <w:pStyle w:val="ListBullet"/>
        <w:spacing w:after="40"/>
      </w:pPr>
      <w:r>
        <w:rPr>
          <w:b/>
          <w:color w:val="1F3A5F"/>
          <w:sz w:val="20"/>
        </w:rPr>
        <w:t>Specific and forward-looking</w:t>
      </w:r>
      <w:r>
        <w:rPr>
          <w:color w:val="333333"/>
          <w:sz w:val="20"/>
        </w:rPr>
        <w:t xml:space="preserve"> — "rewrite the conclusion to answer 'so what?'" beats "develop further."</w:t>
      </w:r>
    </w:p>
    <w:p>
      <w:pPr>
        <w:pStyle w:val="ListBullet"/>
        <w:spacing w:after="40"/>
      </w:pPr>
      <w:r>
        <w:rPr>
          <w:b/>
          <w:color w:val="1F3A5F"/>
          <w:sz w:val="20"/>
        </w:rPr>
        <w:t>Timely beats elaborate</w:t>
      </w:r>
      <w:r>
        <w:rPr>
          <w:color w:val="333333"/>
          <w:sz w:val="20"/>
        </w:rPr>
        <w:t>; less acted-on beats more ignored.</w:t>
      </w:r>
    </w:p>
    <w:p>
      <w:pPr>
        <w:pStyle w:val="ListBullet"/>
        <w:spacing w:after="40"/>
      </w:pPr>
      <w:r>
        <w:rPr>
          <w:b/>
          <w:color w:val="1F3A5F"/>
          <w:sz w:val="20"/>
        </w:rPr>
        <w:t>Whole-class feedback</w:t>
      </w:r>
      <w:r>
        <w:rPr>
          <w:color w:val="333333"/>
          <w:sz w:val="20"/>
        </w:rPr>
        <w:t xml:space="preserve"> on common errors — efficient AND effective.</w:t>
      </w:r>
    </w:p>
    <w:tbl>
      <w:tblPr>
        <w:tblStyle w:val="TableGrid"/>
        <w:tblW w:type="auto" w:w="0"/>
        <w:tblLook w:firstColumn="1" w:firstRow="1" w:lastColumn="0" w:lastRow="0" w:noHBand="0" w:noVBand="1" w:val="04A0"/>
      </w:tblPr>
      <w:tblGrid>
        <w:gridCol w:w="8640"/>
      </w:tblGrid>
      <w:tr>
        <w:tc>
          <w:tcPr>
            <w:tcW w:type="dxa" w:w="8640"/>
            <w:shd w:val="clear" w:fill="FBEAEA"/>
          </w:tcPr>
          <w:p>
            <w:pPr>
              <w:spacing w:after="40"/>
            </w:pPr>
            <w:r>
              <w:rPr>
                <w:b/>
                <w:color w:val="B02A2A"/>
                <w:sz w:val="21"/>
              </w:rPr>
              <w:t>Grades + comments together = students read the grade and ignore the comment. Separate them, or give comment-only.</w:t>
            </w:r>
          </w:p>
        </w:tc>
      </w:tr>
    </w:tbl>
    <w:p>
      <w:pPr>
        <w:spacing w:after="40"/>
      </w:pPr>
    </w:p>
    <w:p>
      <w:pPr>
        <w:spacing w:before="240" w:after="60"/>
        <w:pBdr>
          <w:bottom w:val="single" w:sz="6" w:space="2" w:color="0F766E"/>
        </w:pBdr>
      </w:pPr>
      <w:r>
        <w:rPr>
          <w:b/>
          <w:color w:val="1F3A5F"/>
          <w:sz w:val="30"/>
        </w:rPr>
        <w:t>9. Motivation &amp; engagement</w:t>
      </w:r>
    </w:p>
    <w:p>
      <w:pPr>
        <w:spacing w:after="80"/>
      </w:pPr>
      <w:r>
        <w:rPr>
          <w:b w:val="0"/>
          <w:i w:val="0"/>
          <w:color w:val="333333"/>
          <w:sz w:val="21"/>
        </w:rPr>
        <w:t>Sustainable motivation comes from competence, autonomy, and relatedness — not gimmicks. Engagement is a means to thinking, never the goal.</w:t>
      </w:r>
    </w:p>
    <w:p>
      <w:pPr>
        <w:pStyle w:val="ListBullet"/>
        <w:spacing w:after="40"/>
      </w:pPr>
      <w:r>
        <w:rPr>
          <w:b/>
          <w:color w:val="1F3A5F"/>
          <w:sz w:val="20"/>
        </w:rPr>
        <w:t>Engineer success</w:t>
      </w:r>
      <w:r>
        <w:rPr>
          <w:color w:val="333333"/>
          <w:sz w:val="20"/>
        </w:rPr>
        <w:t xml:space="preserve"> — nothing motivates like getting better at something hard (~80% success, then stretch).</w:t>
      </w:r>
    </w:p>
    <w:p>
      <w:pPr>
        <w:pStyle w:val="ListBullet"/>
        <w:spacing w:after="40"/>
      </w:pPr>
      <w:r>
        <w:rPr>
          <w:b/>
          <w:color w:val="1F3A5F"/>
          <w:sz w:val="20"/>
        </w:rPr>
        <w:t>Make work meaningful</w:t>
      </w:r>
      <w:r>
        <w:rPr>
          <w:color w:val="333333"/>
          <w:sz w:val="20"/>
        </w:rPr>
        <w:t xml:space="preserve"> and give real autonomy where it is real.</w:t>
      </w:r>
    </w:p>
    <w:p>
      <w:pPr>
        <w:pStyle w:val="ListBullet"/>
        <w:spacing w:after="40"/>
      </w:pPr>
      <w:r>
        <w:rPr>
          <w:b/>
          <w:color w:val="1F3A5F"/>
          <w:sz w:val="20"/>
        </w:rPr>
        <w:t>Praise the process, specifically</w:t>
      </w:r>
      <w:r>
        <w:rPr>
          <w:color w:val="333333"/>
          <w:sz w:val="20"/>
        </w:rPr>
        <w:t xml:space="preserve"> — effort and strategy, not "you're so clever."</w:t>
      </w:r>
    </w:p>
    <w:p>
      <w:pPr>
        <w:spacing w:after="80"/>
      </w:pPr>
      <w:r>
        <w:rPr>
          <w:b w:val="0"/>
          <w:i/>
          <w:color w:val="666666"/>
          <w:sz w:val="20"/>
        </w:rPr>
        <w:t>Growth mindset: the core message (ability grows with effort + strategy) is worth modelling, but research effects are modest and inconsistent — it is not a substitute for good teaching.</w:t>
      </w:r>
    </w:p>
    <w:p>
      <w:pPr>
        <w:spacing w:before="240" w:after="60"/>
        <w:pBdr>
          <w:bottom w:val="single" w:sz="6" w:space="2" w:color="0F766E"/>
        </w:pBdr>
      </w:pPr>
      <w:r>
        <w:rPr>
          <w:b/>
          <w:color w:val="1F3A5F"/>
          <w:sz w:val="30"/>
        </w:rPr>
        <w:t>10. Growth &amp; sustainability</w:t>
      </w:r>
    </w:p>
    <w:p>
      <w:pPr>
        <w:spacing w:before="140" w:after="20"/>
      </w:pPr>
      <w:r>
        <w:rPr>
          <w:b/>
          <w:color w:val="0F766E"/>
          <w:sz w:val="23"/>
        </w:rPr>
        <w:t>Get better on purpose</w:t>
      </w:r>
    </w:p>
    <w:p>
      <w:pPr>
        <w:pStyle w:val="ListBullet"/>
        <w:spacing w:after="40"/>
      </w:pPr>
      <w:r>
        <w:rPr>
          <w:b/>
          <w:color w:val="1F3A5F"/>
          <w:sz w:val="20"/>
        </w:rPr>
        <w:t>One small specific thing at a time</w:t>
      </w:r>
      <w:r>
        <w:rPr>
          <w:color w:val="333333"/>
          <w:sz w:val="20"/>
        </w:rPr>
        <w:t xml:space="preserve"> — "improve my wait time," not "be better."</w:t>
      </w:r>
    </w:p>
    <w:p>
      <w:pPr>
        <w:pStyle w:val="ListBullet"/>
        <w:spacing w:after="40"/>
      </w:pPr>
      <w:r>
        <w:rPr>
          <w:b/>
          <w:color w:val="1F3A5F"/>
          <w:sz w:val="20"/>
        </w:rPr>
        <w:t>Specific feedback</w:t>
      </w:r>
      <w:r>
        <w:rPr>
          <w:color w:val="333333"/>
          <w:sz w:val="20"/>
        </w:rPr>
        <w:t xml:space="preserve"> — record yourself; invite a colleague to watch one technique; steal concrete moves from great teachers.</w:t>
      </w:r>
    </w:p>
    <w:p>
      <w:pPr>
        <w:pStyle w:val="ListBullet"/>
        <w:spacing w:after="40"/>
      </w:pPr>
      <w:r>
        <w:rPr>
          <w:b/>
          <w:color w:val="1F3A5F"/>
          <w:sz w:val="20"/>
        </w:rPr>
        <w:t>Rehearse, do not just reflect</w:t>
      </w:r>
      <w:r>
        <w:rPr>
          <w:color w:val="333333"/>
          <w:sz w:val="20"/>
        </w:rPr>
        <w:t xml:space="preserve"> — practise the move out loud before the lesson.</w:t>
      </w:r>
    </w:p>
    <w:p>
      <w:pPr>
        <w:spacing w:before="140" w:after="20"/>
      </w:pPr>
      <w:r>
        <w:rPr>
          <w:b/>
          <w:color w:val="0F766E"/>
          <w:sz w:val="23"/>
        </w:rPr>
        <w:t>Stay well (professional, not optional)</w:t>
      </w:r>
    </w:p>
    <w:p>
      <w:pPr>
        <w:pStyle w:val="ListBullet"/>
        <w:spacing w:after="40"/>
      </w:pPr>
      <w:r>
        <w:rPr>
          <w:b/>
          <w:color w:val="1F3A5F"/>
          <w:sz w:val="20"/>
        </w:rPr>
        <w:t>Protect time ruthlessly</w:t>
      </w:r>
      <w:r>
        <w:rPr>
          <w:color w:val="333333"/>
          <w:sz w:val="20"/>
        </w:rPr>
        <w:t xml:space="preserve"> — cap marking/planning; whole-class feedback and shared resources are sustainability tools.</w:t>
      </w:r>
    </w:p>
    <w:p>
      <w:pPr>
        <w:pStyle w:val="ListBullet"/>
        <w:spacing w:after="40"/>
      </w:pPr>
      <w:r>
        <w:rPr>
          <w:b/>
          <w:color w:val="1F3A5F"/>
          <w:sz w:val="20"/>
        </w:rPr>
        <w:t>"Good enough" on low-stakes tasks</w:t>
      </w:r>
      <w:r>
        <w:rPr>
          <w:color w:val="333333"/>
          <w:sz w:val="20"/>
        </w:rPr>
        <w:t xml:space="preserve"> — save energy for explaining, relationships, feedback that is acted on.</w:t>
      </w:r>
    </w:p>
    <w:p>
      <w:pPr>
        <w:pStyle w:val="ListBullet"/>
        <w:spacing w:after="40"/>
      </w:pPr>
      <w:r>
        <w:rPr>
          <w:b/>
          <w:color w:val="1F3A5F"/>
          <w:sz w:val="20"/>
        </w:rPr>
        <w:t>Find your people</w:t>
      </w:r>
      <w:r>
        <w:rPr>
          <w:color w:val="333333"/>
          <w:sz w:val="20"/>
        </w:rPr>
        <w:t xml:space="preserve"> — a couple of trusted colleagues is the best buffer against burnout.</w:t>
      </w:r>
    </w:p>
    <w:p>
      <w:pPr>
        <w:spacing w:before="240" w:after="60"/>
        <w:pBdr>
          <w:bottom w:val="single" w:sz="6" w:space="2" w:color="0F766E"/>
        </w:pBdr>
      </w:pPr>
      <w:r>
        <w:rPr>
          <w:b/>
          <w:color w:val="1F3A5F"/>
          <w:sz w:val="30"/>
        </w:rPr>
        <w:t>The brilliant-teacher checklist</w:t>
      </w:r>
    </w:p>
    <w:p>
      <w:pPr>
        <w:spacing w:before="140" w:after="20"/>
      </w:pPr>
      <w:r>
        <w:rPr>
          <w:b/>
          <w:color w:val="0F766E"/>
          <w:sz w:val="23"/>
        </w:rPr>
        <w:t>Every lesson</w:t>
      </w:r>
    </w:p>
    <w:p>
      <w:pPr>
        <w:spacing w:after="20"/>
      </w:pPr>
      <w:r>
        <w:rPr>
          <w:color w:val="333333"/>
          <w:sz w:val="19"/>
        </w:rPr>
        <w:t>☐  Calm, warm entry; students know how to start (retrieval do-now)</w:t>
      </w:r>
    </w:p>
    <w:p>
      <w:pPr>
        <w:spacing w:after="20"/>
      </w:pPr>
      <w:r>
        <w:rPr>
          <w:color w:val="333333"/>
          <w:sz w:val="19"/>
        </w:rPr>
        <w:t>☐  Clear small-step explanation with a worked example</w:t>
      </w:r>
    </w:p>
    <w:p>
      <w:pPr>
        <w:spacing w:after="20"/>
      </w:pPr>
      <w:r>
        <w:rPr>
          <w:color w:val="333333"/>
          <w:sz w:val="19"/>
        </w:rPr>
        <w:t>☐  Frequent checks of the WHOLE class (not "any questions?")</w:t>
      </w:r>
    </w:p>
    <w:p>
      <w:pPr>
        <w:spacing w:after="20"/>
      </w:pPr>
      <w:r>
        <w:rPr>
          <w:color w:val="333333"/>
          <w:sz w:val="19"/>
        </w:rPr>
        <w:t>☐  Guided then independent practice at ~80% success</w:t>
      </w:r>
    </w:p>
    <w:p>
      <w:pPr>
        <w:spacing w:after="20"/>
      </w:pPr>
      <w:r>
        <w:rPr>
          <w:color w:val="333333"/>
          <w:sz w:val="19"/>
        </w:rPr>
        <w:t>☐  Cold-call + real wait time; "say it again, better"</w:t>
      </w:r>
    </w:p>
    <w:p>
      <w:pPr>
        <w:spacing w:after="20"/>
      </w:pPr>
      <w:r>
        <w:rPr>
          <w:color w:val="333333"/>
          <w:sz w:val="19"/>
        </w:rPr>
        <w:t>☐  Smooth transitions, withit scanning, least-invasive corrections</w:t>
      </w:r>
    </w:p>
    <w:p>
      <w:pPr>
        <w:spacing w:after="20"/>
      </w:pPr>
      <w:r>
        <w:rPr>
          <w:color w:val="333333"/>
          <w:sz w:val="19"/>
        </w:rPr>
        <w:t>☐  Exit ticket that tells you what to do tomorrow</w:t>
      </w:r>
    </w:p>
    <w:p>
      <w:pPr>
        <w:spacing w:before="140" w:after="20"/>
      </w:pPr>
      <w:r>
        <w:rPr>
          <w:b/>
          <w:color w:val="0F766E"/>
          <w:sz w:val="23"/>
        </w:rPr>
        <w:t>Every week</w:t>
      </w:r>
    </w:p>
    <w:p>
      <w:pPr>
        <w:spacing w:after="20"/>
      </w:pPr>
      <w:r>
        <w:rPr>
          <w:color w:val="333333"/>
          <w:sz w:val="19"/>
        </w:rPr>
        <w:t>☐  Cumulative retrieval of older material (spacing)</w:t>
      </w:r>
    </w:p>
    <w:p>
      <w:pPr>
        <w:spacing w:after="20"/>
      </w:pPr>
      <w:r>
        <w:rPr>
          <w:color w:val="333333"/>
          <w:sz w:val="19"/>
        </w:rPr>
        <w:t>☐  Whole-class feedback students act on</w:t>
      </w:r>
    </w:p>
    <w:p>
      <w:pPr>
        <w:spacing w:after="20"/>
      </w:pPr>
      <w:r>
        <w:rPr>
          <w:color w:val="333333"/>
          <w:sz w:val="19"/>
        </w:rPr>
        <w:t>☐  One technique I am deliberately practising</w:t>
      </w:r>
    </w:p>
    <w:p>
      <w:pPr>
        <w:spacing w:after="20"/>
      </w:pPr>
      <w:r>
        <w:rPr>
          <w:color w:val="333333"/>
          <w:sz w:val="19"/>
        </w:rPr>
        <w:t>☐  Relationship repair where needed; effort named specifically</w:t>
      </w:r>
    </w:p>
    <w:p>
      <w:pPr>
        <w:spacing w:before="240" w:after="60"/>
        <w:pBdr>
          <w:bottom w:val="single" w:sz="6" w:space="2" w:color="0F766E"/>
        </w:pBdr>
      </w:pPr>
      <w:r>
        <w:rPr>
          <w:b/>
          <w:color w:val="1F3A5F"/>
          <w:sz w:val="30"/>
        </w:rPr>
        <w:t>Solid vs. contested (so you calibrate)</w:t>
      </w:r>
    </w:p>
    <w:p>
      <w:pPr>
        <w:pStyle w:val="ListBullet"/>
        <w:spacing w:after="40"/>
      </w:pPr>
      <w:r>
        <w:rPr>
          <w:b/>
          <w:color w:val="0F766E"/>
          <w:sz w:val="20"/>
        </w:rPr>
        <w:t xml:space="preserve">Strongly evidenced: </w:t>
      </w:r>
      <w:r>
        <w:rPr>
          <w:color w:val="333333"/>
          <w:sz w:val="20"/>
        </w:rPr>
        <w:t>retrieval practice, spacing, worked examples, formative assessment, Rosenshine, routines/withitness, wait time, supportive vs. controlling tone.</w:t>
      </w:r>
    </w:p>
    <w:p>
      <w:pPr>
        <w:pStyle w:val="ListBullet"/>
        <w:spacing w:after="40"/>
      </w:pPr>
      <w:r>
        <w:rPr>
          <w:b/>
          <w:color w:val="1F3A5F"/>
          <w:sz w:val="20"/>
        </w:rPr>
        <w:t xml:space="preserve">Sound with caveats: </w:t>
      </w:r>
      <w:r>
        <w:rPr>
          <w:color w:val="333333"/>
          <w:sz w:val="20"/>
        </w:rPr>
        <w:t>Feynman technique (craft wisdom), growth mindset (modest effects), storytelling (load tradeoff), vocal confidence cues (mostly adult studies).</w:t>
      </w:r>
    </w:p>
    <w:p>
      <w:pPr>
        <w:pStyle w:val="ListBullet"/>
        <w:spacing w:after="40"/>
      </w:pPr>
      <w:r>
        <w:rPr>
          <w:b/>
          <w:color w:val="B02A2A"/>
          <w:sz w:val="20"/>
        </w:rPr>
        <w:t xml:space="preserve">Myths to drop: </w:t>
      </w:r>
      <w:r>
        <w:rPr>
          <w:color w:val="333333"/>
          <w:sz w:val="20"/>
        </w:rPr>
        <w:t>learning styles; "engagement = learning"; "great teachers are born, not built."</w:t>
      </w:r>
    </w:p>
    <w:p>
      <w:pPr>
        <w:spacing w:before="240" w:after="60"/>
        <w:pBdr>
          <w:bottom w:val="single" w:sz="6" w:space="2" w:color="0F766E"/>
        </w:pBdr>
      </w:pPr>
      <w:r>
        <w:rPr>
          <w:b/>
          <w:color w:val="1F3A5F"/>
          <w:sz w:val="30"/>
        </w:rPr>
        <w:t>Further reading</w:t>
      </w:r>
    </w:p>
    <w:p>
      <w:pPr>
        <w:pStyle w:val="ListBullet"/>
        <w:spacing w:after="20"/>
      </w:pPr>
      <w:r>
        <w:rPr>
          <w:color w:val="333333"/>
          <w:sz w:val="19"/>
        </w:rPr>
        <w:t>Barak Rosenshine — Principles of Instruction (free; best 20-page start)</w:t>
      </w:r>
    </w:p>
    <w:p>
      <w:pPr>
        <w:pStyle w:val="ListBullet"/>
        <w:spacing w:after="20"/>
      </w:pPr>
      <w:r>
        <w:rPr>
          <w:color w:val="333333"/>
          <w:sz w:val="19"/>
        </w:rPr>
        <w:t>Tom Sherrington — Rosenshine's Principles in Action</w:t>
      </w:r>
    </w:p>
    <w:p>
      <w:pPr>
        <w:pStyle w:val="ListBullet"/>
        <w:spacing w:after="20"/>
      </w:pPr>
      <w:r>
        <w:rPr>
          <w:color w:val="333333"/>
          <w:sz w:val="19"/>
        </w:rPr>
        <w:t>Doug Lemov — Teach Like a Champion</w:t>
      </w:r>
    </w:p>
    <w:p>
      <w:pPr>
        <w:pStyle w:val="ListBullet"/>
        <w:spacing w:after="20"/>
      </w:pPr>
      <w:r>
        <w:rPr>
          <w:color w:val="333333"/>
          <w:sz w:val="19"/>
        </w:rPr>
        <w:t>Dylan Wiliam — Embedded Formative Assessment</w:t>
      </w:r>
    </w:p>
    <w:p>
      <w:pPr>
        <w:pStyle w:val="ListBullet"/>
        <w:spacing w:after="20"/>
      </w:pPr>
      <w:r>
        <w:rPr>
          <w:color w:val="333333"/>
          <w:sz w:val="19"/>
        </w:rPr>
        <w:t>Daniel Willingham — Why Don't Students Like School?</w:t>
      </w:r>
    </w:p>
    <w:p>
      <w:pPr>
        <w:pStyle w:val="ListBullet"/>
        <w:spacing w:after="20"/>
      </w:pPr>
      <w:r>
        <w:rPr>
          <w:color w:val="333333"/>
          <w:sz w:val="19"/>
        </w:rPr>
        <w:t>Peps Mccrea — Motivated Teaching / Memorable Teaching</w:t>
      </w:r>
    </w:p>
    <w:p>
      <w:pPr>
        <w:pStyle w:val="ListBullet"/>
        <w:spacing w:after="20"/>
      </w:pPr>
      <w:r>
        <w:rPr>
          <w:color w:val="333333"/>
          <w:sz w:val="19"/>
        </w:rPr>
        <w:t>The Learning Scientists — retrieval, spacing, interleaving (free)</w:t>
      </w:r>
    </w:p>
    <w:p>
      <w:pPr>
        <w:spacing w:before="160"/>
      </w:pPr>
      <w:r>
        <w:rPr>
          <w:i/>
          <w:color w:val="666666"/>
          <w:sz w:val="16"/>
        </w:rPr>
        <w:t>Synthesises established education and cognitive-science research with classroom craft. A practical orientation, not a substitute for your judgement, your context, or your school's policies — always adapt the principle to the actual children in the actual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