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pPr>
      <w:r>
        <w:rPr>
          <w:rFonts w:ascii="Calibri" w:cs="Calibri" w:eastAsia="Calibri" w:hAnsi="Calibri"/>
          <w:b/>
          <w:bCs/>
          <w:color w:val="1F4E5C"/>
          <w:sz w:val="52"/>
          <w:szCs w:val="52"/>
        </w:rPr>
        <w:t xml:space="preserve">HOW PALANTIR WORKS</w:t>
      </w:r>
    </w:p>
    <w:p>
      <w:pPr>
        <w:spacing w:after="320"/>
      </w:pPr>
      <w:r>
        <w:rPr>
          <w:rFonts w:ascii="Calibri" w:cs="Calibri" w:eastAsia="Calibri" w:hAnsi="Calibri"/>
          <w:color w:val="5A6672"/>
          <w:sz w:val="28"/>
          <w:szCs w:val="28"/>
        </w:rPr>
        <w:t xml:space="preserve">A technical teardown — and what it means for education software</w:t>
      </w:r>
    </w:p>
    <w:p>
      <w:pPr>
        <w:pBdr>
          <w:bottom w:val="single" w:color="1F4E5C" w:sz="12"/>
        </w:pBdr>
        <w:spacing w:after="300"/>
      </w:pPr>
    </w:p>
    <w:p>
      <w:pPr>
        <w:spacing w:after="160" w:line="288"/>
      </w:pPr>
      <w:r>
        <w:rPr>
          <w:rFonts w:ascii="Calibri" w:cs="Calibri" w:eastAsia="Calibri" w:hAnsi="Calibri"/>
          <w:color w:val="5A6672"/>
          <w:sz w:val="22"/>
          <w:szCs w:val="22"/>
        </w:rPr>
        <w:t xml:space="preserve">Prepared for </w:t>
      </w:r>
      <w:r>
        <w:rPr>
          <w:rFonts w:ascii="Calibri" w:cs="Calibri" w:eastAsia="Calibri" w:hAnsi="Calibri"/>
          <w:b/>
          <w:bCs/>
          <w:sz w:val="22"/>
          <w:szCs w:val="22"/>
        </w:rPr>
        <w:t xml:space="preserve">Adam Houchell</w:t>
      </w:r>
      <w:r>
        <w:rPr>
          <w:rFonts w:ascii="Calibri" w:cs="Calibri" w:eastAsia="Calibri" w:hAnsi="Calibri"/>
          <w:color w:val="5A6672"/>
          <w:sz w:val="22"/>
          <w:szCs w:val="22"/>
        </w:rPr>
        <w:t xml:space="preserve">  ·  27 July 2026</w:t>
      </w:r>
    </w:p>
    <w:p>
      <w:pPr>
        <w:spacing w:after="160" w:line="288"/>
      </w:pPr>
      <w:r>
        <w:rPr>
          <w:rFonts w:ascii="Calibri" w:cs="Calibri" w:eastAsia="Calibri" w:hAnsi="Calibri"/>
          <w:color w:val="5A6672"/>
          <w:sz w:val="22"/>
          <w:szCs w:val="22"/>
        </w:rPr>
        <w:t xml:space="preserve">Research basis: </w:t>
      </w:r>
      <w:r>
        <w:rPr>
          <w:rFonts w:ascii="Calibri" w:cs="Calibri" w:eastAsia="Calibri" w:hAnsi="Calibri"/>
          <w:color w:val="5A6672"/>
          <w:sz w:val="22"/>
          <w:szCs w:val="22"/>
        </w:rPr>
        <w:t xml:space="preserve">Palantir product documentation, SEC 10-K filings, the UK G-Cloud service definition, Palantir’s engineering blog, academic literature, and critical coverage of the NHS Federated Data Platform. Roughly twenty primary sources; all claims traceable to the underlying research file.</w:t>
      </w:r>
    </w:p>
    <w:p>
      <w:pPr>
        <w:spacing w:after="400"/>
      </w:pPr>
    </w:p>
    <w:tbl>
      <w:tblPr>
        <w:tblW w:type="dxa" w:w="9360"/>
        <w:tblBorders>
          <w:top w:val="single" w:color="C9D3D9" w:sz="2"/>
          <w:left w:val="single" w:color="1F4E5C" w:sz="18"/>
          <w:bottom w:val="single" w:color="C9D3D9" w:sz="2"/>
          <w:right w:val="single" w:color="C9D3D9" w:sz="2"/>
          <w:insideH w:val="none" w:color="FFFFFF" w:sz="0"/>
          <w:insideV w:val="none" w:color="FFFFFF" w:sz="0"/>
        </w:tblBorders>
      </w:tblPr>
      <w:tblGrid>
        <w:gridCol w:w="9360"/>
      </w:tblGrid>
      <w:tr>
        <w:tc>
          <w:tcPr>
            <w:tcW w:type="dxa" w:w="9360"/>
            <w:shd w:fill="F2F6F8" w:val="clear"/>
            <w:tcMar>
              <w:top w:type="dxa" w:w="180"/>
              <w:left w:type="dxa" w:w="240"/>
              <w:bottom w:type="dxa" w:w="180"/>
              <w:right w:type="dxa" w:w="240"/>
            </w:tcMar>
          </w:tcPr>
          <w:p>
            <w:pPr>
              <w:spacing w:after="80"/>
            </w:pPr>
            <w:r>
              <w:rPr>
                <w:rFonts w:ascii="Calibri" w:cs="Calibri" w:eastAsia="Calibri" w:hAnsi="Calibri"/>
                <w:b/>
                <w:bCs/>
                <w:color w:val="1F4E5C"/>
                <w:sz w:val="22"/>
                <w:szCs w:val="22"/>
              </w:rPr>
              <w:t xml:space="preserve">The one-sentence version</w:t>
            </w:r>
          </w:p>
          <w:p>
            <w:pPr>
              <w:spacing w:after="60" w:line="276"/>
            </w:pPr>
            <w:r>
              <w:rPr>
                <w:rFonts w:ascii="Calibri" w:cs="Calibri" w:eastAsia="Calibri" w:hAnsi="Calibri"/>
                <w:sz w:val="21"/>
                <w:szCs w:val="21"/>
              </w:rPr>
              <w:t xml:space="preserve">Palantir’s durable invention is the Ontology: a single, governed, versioned model of the things an organisation cares about — with the actions people may take on them built into the same layer. Everything else the company sells is plumbing around that idea, and most of the plumbing is now available for free.</w:t>
            </w:r>
          </w:p>
        </w:tc>
      </w:tr>
    </w:tbl>
    <w:p>
      <w:r>
        <w:br w:type="page"/>
      </w:r>
    </w:p>
    <w:p>
      <w:pPr>
        <w:pStyle w:val="Heading1"/>
        <w:spacing w:after="200" w:before="480"/>
      </w:pPr>
      <w:r>
        <w:rPr>
          <w:rFonts w:ascii="Calibri" w:cs="Calibri" w:eastAsia="Calibri" w:hAnsi="Calibri"/>
          <w:b/>
          <w:bCs/>
          <w:color w:val="1F4E5C"/>
          <w:sz w:val="34"/>
          <w:szCs w:val="34"/>
        </w:rPr>
        <w:t xml:space="preserve">Contents</w:t>
      </w:r>
    </w:p>
    <w:p>
      <w:pPr>
        <w:spacing w:after="160" w:line="288"/>
      </w:pPr>
      <w:r>
        <w:rPr>
          <w:rFonts w:ascii="Calibri" w:cs="Calibri" w:eastAsia="Calibri" w:hAnsi="Calibri"/>
          <w:b/>
          <w:bCs/>
          <w:sz w:val="22"/>
          <w:szCs w:val="22"/>
        </w:rPr>
        <w:t xml:space="preserve">1.  The shape of the company</w:t>
      </w:r>
      <w:r>
        <w:rPr>
          <w:rFonts w:ascii="Calibri" w:cs="Calibri" w:eastAsia="Calibri" w:hAnsi="Calibri"/>
          <w:sz w:val="22"/>
          <w:szCs w:val="22"/>
        </w:rPr>
        <w:t xml:space="preserve"> — four platforms, and which two matter</w:t>
      </w:r>
    </w:p>
    <w:p>
      <w:pPr>
        <w:spacing w:after="160" w:line="288"/>
      </w:pPr>
      <w:r>
        <w:rPr>
          <w:rFonts w:ascii="Calibri" w:cs="Calibri" w:eastAsia="Calibri" w:hAnsi="Calibri"/>
          <w:b/>
          <w:bCs/>
          <w:sz w:val="22"/>
          <w:szCs w:val="22"/>
        </w:rPr>
        <w:t xml:space="preserve">2.  Gotham</w:t>
      </w:r>
      <w:r>
        <w:rPr>
          <w:rFonts w:ascii="Calibri" w:cs="Calibri" w:eastAsia="Calibri" w:hAnsi="Calibri"/>
          <w:sz w:val="22"/>
          <w:szCs w:val="22"/>
        </w:rPr>
        <w:t xml:space="preserve"> — the investigative one, and why its interface feels like a game</w:t>
      </w:r>
    </w:p>
    <w:p>
      <w:pPr>
        <w:spacing w:after="160" w:line="288"/>
      </w:pPr>
      <w:r>
        <w:rPr>
          <w:rFonts w:ascii="Calibri" w:cs="Calibri" w:eastAsia="Calibri" w:hAnsi="Calibri"/>
          <w:b/>
          <w:bCs/>
          <w:sz w:val="22"/>
          <w:szCs w:val="22"/>
        </w:rPr>
        <w:t xml:space="preserve">3.  Foundry</w:t>
      </w:r>
      <w:r>
        <w:rPr>
          <w:rFonts w:ascii="Calibri" w:cs="Calibri" w:eastAsia="Calibri" w:hAnsi="Calibri"/>
          <w:sz w:val="22"/>
          <w:szCs w:val="22"/>
        </w:rPr>
        <w:t xml:space="preserve"> — the enterprise one, and how it differs from a warehouse plus BI</w:t>
      </w:r>
    </w:p>
    <w:p>
      <w:pPr>
        <w:spacing w:after="160" w:line="288"/>
      </w:pPr>
      <w:r>
        <w:rPr>
          <w:rFonts w:ascii="Calibri" w:cs="Calibri" w:eastAsia="Calibri" w:hAnsi="Calibri"/>
          <w:b/>
          <w:bCs/>
          <w:sz w:val="22"/>
          <w:szCs w:val="22"/>
        </w:rPr>
        <w:t xml:space="preserve">4.  The Ontology</w:t>
      </w:r>
      <w:r>
        <w:rPr>
          <w:rFonts w:ascii="Calibri" w:cs="Calibri" w:eastAsia="Calibri" w:hAnsi="Calibri"/>
          <w:sz w:val="22"/>
          <w:szCs w:val="22"/>
        </w:rPr>
        <w:t xml:space="preserve"> — the part that actually matters, with a worked education example</w:t>
      </w:r>
    </w:p>
    <w:p>
      <w:pPr>
        <w:spacing w:after="160" w:line="288"/>
      </w:pPr>
      <w:r>
        <w:rPr>
          <w:rFonts w:ascii="Calibri" w:cs="Calibri" w:eastAsia="Calibri" w:hAnsi="Calibri"/>
          <w:b/>
          <w:bCs/>
          <w:sz w:val="22"/>
          <w:szCs w:val="22"/>
        </w:rPr>
        <w:t xml:space="preserve">5.  AIP</w:t>
      </w:r>
      <w:r>
        <w:rPr>
          <w:rFonts w:ascii="Calibri" w:cs="Calibri" w:eastAsia="Calibri" w:hAnsi="Calibri"/>
          <w:sz w:val="22"/>
          <w:szCs w:val="22"/>
        </w:rPr>
        <w:t xml:space="preserve"> — how they put an LLM on top without it going wrong</w:t>
      </w:r>
    </w:p>
    <w:p>
      <w:pPr>
        <w:spacing w:after="160" w:line="288"/>
      </w:pPr>
      <w:r>
        <w:rPr>
          <w:rFonts w:ascii="Calibri" w:cs="Calibri" w:eastAsia="Calibri" w:hAnsi="Calibri"/>
          <w:b/>
          <w:bCs/>
          <w:sz w:val="22"/>
          <w:szCs w:val="22"/>
        </w:rPr>
        <w:t xml:space="preserve">6.  Security and governance</w:t>
      </w:r>
      <w:r>
        <w:rPr>
          <w:rFonts w:ascii="Calibri" w:cs="Calibri" w:eastAsia="Calibri" w:hAnsi="Calibri"/>
          <w:sz w:val="22"/>
          <w:szCs w:val="22"/>
        </w:rPr>
        <w:t xml:space="preserve"> — the genuinely world-class part</w:t>
      </w:r>
    </w:p>
    <w:p>
      <w:pPr>
        <w:spacing w:after="160" w:line="288"/>
      </w:pPr>
      <w:r>
        <w:rPr>
          <w:rFonts w:ascii="Calibri" w:cs="Calibri" w:eastAsia="Calibri" w:hAnsi="Calibri"/>
          <w:b/>
          <w:bCs/>
          <w:sz w:val="22"/>
          <w:szCs w:val="22"/>
        </w:rPr>
        <w:t xml:space="preserve">7.  The criticisms</w:t>
      </w:r>
      <w:r>
        <w:rPr>
          <w:rFonts w:ascii="Calibri" w:cs="Calibri" w:eastAsia="Calibri" w:hAnsi="Calibri"/>
          <w:sz w:val="22"/>
          <w:szCs w:val="22"/>
        </w:rPr>
        <w:t xml:space="preserve"> — cost, lock-in, the NHS, civil liberties</w:t>
      </w:r>
    </w:p>
    <w:p>
      <w:pPr>
        <w:spacing w:after="160" w:line="288"/>
      </w:pPr>
      <w:r>
        <w:rPr>
          <w:rFonts w:ascii="Calibri" w:cs="Calibri" w:eastAsia="Calibri" w:hAnsi="Calibri"/>
          <w:b/>
          <w:bCs/>
          <w:sz w:val="22"/>
          <w:szCs w:val="22"/>
        </w:rPr>
        <w:t xml:space="preserve">8.  What is transferable</w:t>
      </w:r>
      <w:r>
        <w:rPr>
          <w:rFonts w:ascii="Calibri" w:cs="Calibri" w:eastAsia="Calibri" w:hAnsi="Calibri"/>
          <w:sz w:val="22"/>
          <w:szCs w:val="22"/>
        </w:rPr>
        <w:t xml:space="preserve"> — steal these ten things; ignore these ten</w:t>
      </w:r>
    </w:p>
    <w:p>
      <w:pPr>
        <w:spacing w:after="160" w:line="288"/>
      </w:pPr>
      <w:r>
        <w:rPr>
          <w:rFonts w:ascii="Calibri" w:cs="Calibri" w:eastAsia="Calibri" w:hAnsi="Calibri"/>
          <w:b/>
          <w:bCs/>
          <w:sz w:val="22"/>
          <w:szCs w:val="22"/>
        </w:rPr>
        <w:t xml:space="preserve">9.  Open-source equivalents</w:t>
      </w:r>
      <w:r>
        <w:rPr>
          <w:rFonts w:ascii="Calibri" w:cs="Calibri" w:eastAsia="Calibri" w:hAnsi="Calibri"/>
          <w:sz w:val="22"/>
          <w:szCs w:val="22"/>
        </w:rPr>
        <w:t xml:space="preserve"> — what you can assemble instead</w:t>
      </w:r>
    </w:p>
    <w:p>
      <w:r>
        <w:br w:type="page"/>
      </w:r>
    </w:p>
    <w:p>
      <w:pPr>
        <w:pStyle w:val="Heading1"/>
        <w:spacing w:after="200" w:before="480"/>
      </w:pPr>
      <w:r>
        <w:rPr>
          <w:rFonts w:ascii="Calibri" w:cs="Calibri" w:eastAsia="Calibri" w:hAnsi="Calibri"/>
          <w:b/>
          <w:bCs/>
          <w:color w:val="1F4E5C"/>
          <w:sz w:val="34"/>
          <w:szCs w:val="34"/>
        </w:rPr>
        <w:t xml:space="preserve">1.  The shape of the company</w:t>
      </w:r>
    </w:p>
    <w:p>
      <w:pPr>
        <w:spacing w:after="160" w:line="288"/>
      </w:pPr>
      <w:r>
        <w:rPr>
          <w:rFonts w:ascii="Calibri" w:cs="Calibri" w:eastAsia="Calibri" w:hAnsi="Calibri"/>
          <w:sz w:val="22"/>
          <w:szCs w:val="22"/>
        </w:rPr>
        <w:t xml:space="preserve">Palantir’s own annual report describes four platforms. It is worth knowing which is which, because the marketing blurs them constantly.</w:t>
      </w:r>
    </w:p>
    <w:tbl>
      <w:tblPr>
        <w:tblW w:type="dxa" w:w="9360"/>
        <w:tblBorders>
          <w:top w:val="single" w:color="C9D3D9" w:sz="2"/>
          <w:left w:val="single" w:color="C9D3D9" w:sz="2"/>
          <w:bottom w:val="single" w:color="C9D3D9" w:sz="2"/>
          <w:right w:val="single" w:color="C9D3D9" w:sz="2"/>
          <w:insideH w:val="single" w:color="C9D3D9" w:sz="2"/>
          <w:insideV w:val="single" w:color="C9D3D9" w:sz="2"/>
        </w:tblBorders>
      </w:tblPr>
      <w:tblGrid>
        <w:gridCol w:w="1700"/>
        <w:gridCol w:w="7660"/>
      </w:tblGrid>
      <w:tr>
        <w:trPr>
          <w:tblHeader/>
        </w:trPr>
        <w:tc>
          <w:tcPr>
            <w:tcW w:type="dxa" w:w="1700"/>
            <w:shd w:fill="1F4E5C" w:val="clear"/>
            <w:tcMar>
              <w:top w:type="dxa" w:w="100"/>
              <w:left w:type="dxa" w:w="140"/>
              <w:bottom w:type="dxa" w:w="100"/>
              <w:right w:type="dxa" w:w="140"/>
            </w:tcMar>
          </w:tcPr>
          <w:p>
            <w:pPr>
              <w:spacing w:after="0" w:line="264"/>
            </w:pPr>
            <w:r>
              <w:rPr>
                <w:rFonts w:ascii="Calibri" w:cs="Calibri" w:eastAsia="Calibri" w:hAnsi="Calibri"/>
                <w:b/>
                <w:bCs/>
                <w:color w:val="FFFFFF"/>
                <w:sz w:val="20"/>
                <w:szCs w:val="20"/>
              </w:rPr>
              <w:t xml:space="preserve">Platform</w:t>
            </w:r>
          </w:p>
        </w:tc>
        <w:tc>
          <w:tcPr>
            <w:tcW w:type="dxa" w:w="7660"/>
            <w:shd w:fill="1F4E5C" w:val="clear"/>
            <w:tcMar>
              <w:top w:type="dxa" w:w="100"/>
              <w:left w:type="dxa" w:w="140"/>
              <w:bottom w:type="dxa" w:w="100"/>
              <w:right w:type="dxa" w:w="140"/>
            </w:tcMar>
          </w:tcPr>
          <w:p>
            <w:pPr>
              <w:spacing w:after="0" w:line="264"/>
            </w:pPr>
            <w:r>
              <w:rPr>
                <w:rFonts w:ascii="Calibri" w:cs="Calibri" w:eastAsia="Calibri" w:hAnsi="Calibri"/>
                <w:b/>
                <w:bCs/>
                <w:color w:val="FFFFFF"/>
                <w:sz w:val="20"/>
                <w:szCs w:val="20"/>
              </w:rPr>
              <w:t xml:space="preserve">What it actually is</w:t>
            </w:r>
          </w:p>
        </w:tc>
      </w:tr>
      <w:tr>
        <w:tc>
          <w:tcPr>
            <w:tcW w:type="dxa" w:w="1700"/>
            <w:shd w:fill="FFFFFF" w:val="clear"/>
            <w:tcMar>
              <w:top w:type="dxa" w:w="100"/>
              <w:left w:type="dxa" w:w="140"/>
              <w:bottom w:type="dxa" w:w="100"/>
              <w:right w:type="dxa" w:w="140"/>
            </w:tcMar>
          </w:tcPr>
          <w:p>
            <w:pPr>
              <w:spacing w:after="0" w:line="264"/>
            </w:pPr>
            <w:r>
              <w:rPr>
                <w:rFonts w:ascii="Calibri" w:cs="Calibri" w:eastAsia="Calibri" w:hAnsi="Calibri"/>
                <w:b/>
                <w:bCs/>
                <w:color w:val="222222"/>
                <w:sz w:val="20"/>
                <w:szCs w:val="20"/>
              </w:rPr>
              <w:t xml:space="preserve">Gotham</w:t>
            </w:r>
          </w:p>
        </w:tc>
        <w:tc>
          <w:tcPr>
            <w:tcW w:type="dxa" w:w="7660"/>
            <w:shd w:fill="FFFFFF" w:val="clear"/>
            <w:tcMar>
              <w:top w:type="dxa" w:w="100"/>
              <w:left w:type="dxa" w:w="140"/>
              <w:bottom w:type="dxa" w:w="100"/>
              <w:right w:type="dxa" w:w="140"/>
            </w:tcMar>
          </w:tcPr>
          <w:p>
            <w:pPr>
              <w:spacing w:after="0" w:line="264"/>
            </w:pPr>
            <w:r>
              <w:rPr>
                <w:rFonts w:ascii="Calibri" w:cs="Calibri" w:eastAsia="Calibri" w:hAnsi="Calibri"/>
                <w:b w:val="false"/>
                <w:bCs w:val="false"/>
                <w:color w:val="222222"/>
                <w:sz w:val="20"/>
                <w:szCs w:val="20"/>
              </w:rPr>
              <w:t xml:space="preserve">The original. An object-graph investigation tool built for intelligence analysts. Fuses many databases into one navigable graph of people, places and events.</w:t>
            </w:r>
          </w:p>
        </w:tc>
      </w:tr>
      <w:tr>
        <w:tc>
          <w:tcPr>
            <w:tcW w:type="dxa" w:w="1700"/>
            <w:shd w:fill="F4F7F9" w:val="clear"/>
            <w:tcMar>
              <w:top w:type="dxa" w:w="100"/>
              <w:left w:type="dxa" w:w="140"/>
              <w:bottom w:type="dxa" w:w="100"/>
              <w:right w:type="dxa" w:w="140"/>
            </w:tcMar>
          </w:tcPr>
          <w:p>
            <w:pPr>
              <w:spacing w:after="0" w:line="264"/>
            </w:pPr>
            <w:r>
              <w:rPr>
                <w:rFonts w:ascii="Calibri" w:cs="Calibri" w:eastAsia="Calibri" w:hAnsi="Calibri"/>
                <w:b/>
                <w:bCs/>
                <w:color w:val="222222"/>
                <w:sz w:val="20"/>
                <w:szCs w:val="20"/>
              </w:rPr>
              <w:t xml:space="preserve">Foundry</w:t>
            </w:r>
          </w:p>
        </w:tc>
        <w:tc>
          <w:tcPr>
            <w:tcW w:type="dxa" w:w="7660"/>
            <w:shd w:fill="F4F7F9" w:val="clear"/>
            <w:tcMar>
              <w:top w:type="dxa" w:w="100"/>
              <w:left w:type="dxa" w:w="140"/>
              <w:bottom w:type="dxa" w:w="100"/>
              <w:right w:type="dxa" w:w="140"/>
            </w:tcMar>
          </w:tcPr>
          <w:p>
            <w:pPr>
              <w:spacing w:after="0" w:line="264"/>
            </w:pPr>
            <w:r>
              <w:rPr>
                <w:rFonts w:ascii="Calibri" w:cs="Calibri" w:eastAsia="Calibri" w:hAnsi="Calibri"/>
                <w:b w:val="false"/>
                <w:bCs w:val="false"/>
                <w:color w:val="222222"/>
                <w:sz w:val="20"/>
                <w:szCs w:val="20"/>
              </w:rPr>
              <w:t xml:space="preserve">The commercial sibling. Same ontology idea, but with a serious data-engineering stack underneath and app-building tools on top.</w:t>
            </w:r>
          </w:p>
        </w:tc>
      </w:tr>
      <w:tr>
        <w:tc>
          <w:tcPr>
            <w:tcW w:type="dxa" w:w="1700"/>
            <w:shd w:fill="FFFFFF" w:val="clear"/>
            <w:tcMar>
              <w:top w:type="dxa" w:w="100"/>
              <w:left w:type="dxa" w:w="140"/>
              <w:bottom w:type="dxa" w:w="100"/>
              <w:right w:type="dxa" w:w="140"/>
            </w:tcMar>
          </w:tcPr>
          <w:p>
            <w:pPr>
              <w:spacing w:after="0" w:line="264"/>
            </w:pPr>
            <w:r>
              <w:rPr>
                <w:rFonts w:ascii="Calibri" w:cs="Calibri" w:eastAsia="Calibri" w:hAnsi="Calibri"/>
                <w:b/>
                <w:bCs/>
                <w:color w:val="222222"/>
                <w:sz w:val="20"/>
                <w:szCs w:val="20"/>
              </w:rPr>
              <w:t xml:space="preserve">Apollo</w:t>
            </w:r>
          </w:p>
        </w:tc>
        <w:tc>
          <w:tcPr>
            <w:tcW w:type="dxa" w:w="7660"/>
            <w:shd w:fill="FFFFFF" w:val="clear"/>
            <w:tcMar>
              <w:top w:type="dxa" w:w="100"/>
              <w:left w:type="dxa" w:w="140"/>
              <w:bottom w:type="dxa" w:w="100"/>
              <w:right w:type="dxa" w:w="140"/>
            </w:tcMar>
          </w:tcPr>
          <w:p>
            <w:pPr>
              <w:spacing w:after="0" w:line="264"/>
            </w:pPr>
            <w:r>
              <w:rPr>
                <w:rFonts w:ascii="Calibri" w:cs="Calibri" w:eastAsia="Calibri" w:hAnsi="Calibri"/>
                <w:b w:val="false"/>
                <w:bCs w:val="false"/>
                <w:color w:val="222222"/>
                <w:sz w:val="20"/>
                <w:szCs w:val="20"/>
              </w:rPr>
              <w:t xml:space="preserve">Deployment plumbing. A cloud-agnostic delivery system that ships software updates into air-gapped and classified environments.</w:t>
            </w:r>
          </w:p>
        </w:tc>
      </w:tr>
      <w:tr>
        <w:tc>
          <w:tcPr>
            <w:tcW w:type="dxa" w:w="1700"/>
            <w:shd w:fill="F4F7F9" w:val="clear"/>
            <w:tcMar>
              <w:top w:type="dxa" w:w="100"/>
              <w:left w:type="dxa" w:w="140"/>
              <w:bottom w:type="dxa" w:w="100"/>
              <w:right w:type="dxa" w:w="140"/>
            </w:tcMar>
          </w:tcPr>
          <w:p>
            <w:pPr>
              <w:spacing w:after="0" w:line="264"/>
            </w:pPr>
            <w:r>
              <w:rPr>
                <w:rFonts w:ascii="Calibri" w:cs="Calibri" w:eastAsia="Calibri" w:hAnsi="Calibri"/>
                <w:b/>
                <w:bCs/>
                <w:color w:val="222222"/>
                <w:sz w:val="20"/>
                <w:szCs w:val="20"/>
              </w:rPr>
              <w:t xml:space="preserve">AIP</w:t>
            </w:r>
          </w:p>
        </w:tc>
        <w:tc>
          <w:tcPr>
            <w:tcW w:type="dxa" w:w="7660"/>
            <w:shd w:fill="F4F7F9" w:val="clear"/>
            <w:tcMar>
              <w:top w:type="dxa" w:w="100"/>
              <w:left w:type="dxa" w:w="140"/>
              <w:bottom w:type="dxa" w:w="100"/>
              <w:right w:type="dxa" w:w="140"/>
            </w:tcMar>
          </w:tcPr>
          <w:p>
            <w:pPr>
              <w:spacing w:after="0" w:line="264"/>
            </w:pPr>
            <w:r>
              <w:rPr>
                <w:rFonts w:ascii="Calibri" w:cs="Calibri" w:eastAsia="Calibri" w:hAnsi="Calibri"/>
                <w:b w:val="false"/>
                <w:bCs w:val="false"/>
                <w:color w:val="222222"/>
                <w:sz w:val="20"/>
                <w:szCs w:val="20"/>
              </w:rPr>
              <w:t xml:space="preserve">The LLM layer added on top of Gotham and Foundry from 2023 onward.</w:t>
            </w:r>
          </w:p>
        </w:tc>
      </w:tr>
    </w:tbl>
    <w:p>
      <w:pPr>
        <w:spacing w:after="200"/>
      </w:pPr>
    </w:p>
    <w:p>
      <w:pPr>
        <w:spacing w:after="160" w:line="288"/>
      </w:pPr>
      <w:r>
        <w:rPr>
          <w:rFonts w:ascii="Calibri" w:cs="Calibri" w:eastAsia="Calibri" w:hAnsi="Calibri"/>
          <w:sz w:val="22"/>
          <w:szCs w:val="22"/>
        </w:rPr>
        <w:t xml:space="preserve">Revenue in 2025 split roughly 54% government, 46% commercial. Founded in 2003; the first outside money came from In-Q-Tel, the CIA’s venture arm, in 2004.</w:t>
      </w:r>
    </w:p>
    <w:tbl>
      <w:tblPr>
        <w:tblW w:type="dxa" w:w="9360"/>
        <w:tblBorders>
          <w:top w:val="single" w:color="C9D3D9" w:sz="2"/>
          <w:left w:val="single" w:color="1F4E5C" w:sz="18"/>
          <w:bottom w:val="single" w:color="C9D3D9" w:sz="2"/>
          <w:right w:val="single" w:color="C9D3D9" w:sz="2"/>
          <w:insideH w:val="none" w:color="FFFFFF" w:sz="0"/>
          <w:insideV w:val="none" w:color="FFFFFF" w:sz="0"/>
        </w:tblBorders>
      </w:tblPr>
      <w:tblGrid>
        <w:gridCol w:w="9360"/>
      </w:tblGrid>
      <w:tr>
        <w:tc>
          <w:tcPr>
            <w:tcW w:type="dxa" w:w="9360"/>
            <w:shd w:fill="F2F6F8" w:val="clear"/>
            <w:tcMar>
              <w:top w:type="dxa" w:w="180"/>
              <w:left w:type="dxa" w:w="240"/>
              <w:bottom w:type="dxa" w:w="180"/>
              <w:right w:type="dxa" w:w="240"/>
            </w:tcMar>
          </w:tcPr>
          <w:p>
            <w:pPr>
              <w:spacing w:after="80"/>
            </w:pPr>
            <w:r>
              <w:rPr>
                <w:rFonts w:ascii="Calibri" w:cs="Calibri" w:eastAsia="Calibri" w:hAnsi="Calibri"/>
                <w:b/>
                <w:bCs/>
                <w:color w:val="1F4E5C"/>
                <w:sz w:val="22"/>
                <w:szCs w:val="22"/>
              </w:rPr>
              <w:t xml:space="preserve">The founding premise still shapes the product</w:t>
            </w:r>
          </w:p>
          <w:p>
            <w:pPr>
              <w:spacing w:after="60" w:line="276"/>
            </w:pPr>
            <w:r>
              <w:rPr>
                <w:rFonts w:ascii="Calibri" w:cs="Calibri" w:eastAsia="Calibri" w:hAnsi="Calibri"/>
                <w:sz w:val="21"/>
                <w:szCs w:val="21"/>
              </w:rPr>
              <w:t xml:space="preserve">Gotham was never designed as an algorithm that finds terrorists. It was designed as an interface that lets a human analyst traverse a fused graph fast enough to form and test hypotheses. That human-in-the-loop DNA is visible throughout the product twenty years later — and it is the right instinct for education software too.</w:t>
            </w:r>
          </w:p>
        </w:tc>
      </w:tr>
    </w:tbl>
    <w:p>
      <w:pPr>
        <w:pStyle w:val="Heading1"/>
        <w:spacing w:after="200" w:before="480"/>
      </w:pPr>
      <w:r>
        <w:rPr>
          <w:rFonts w:ascii="Calibri" w:cs="Calibri" w:eastAsia="Calibri" w:hAnsi="Calibri"/>
          <w:b/>
          <w:bCs/>
          <w:color w:val="1F4E5C"/>
          <w:sz w:val="34"/>
          <w:szCs w:val="34"/>
        </w:rPr>
        <w:t xml:space="preserve">2.  Gotham — the investigative one</w:t>
      </w:r>
    </w:p>
    <w:p>
      <w:pPr>
        <w:pStyle w:val="Heading2"/>
        <w:spacing w:after="140" w:before="320"/>
      </w:pPr>
      <w:r>
        <w:rPr>
          <w:rFonts w:ascii="Calibri" w:cs="Calibri" w:eastAsia="Calibri" w:hAnsi="Calibri"/>
          <w:b/>
          <w:bCs/>
          <w:color w:val="1F4E5C"/>
          <w:sz w:val="26"/>
          <w:szCs w:val="26"/>
        </w:rPr>
        <w:t xml:space="preserve">The architecture</w:t>
      </w:r>
    </w:p>
    <w:p>
      <w:pPr>
        <w:spacing w:after="160" w:line="288"/>
      </w:pPr>
      <w:r>
        <w:rPr>
          <w:rFonts w:ascii="Calibri" w:cs="Calibri" w:eastAsia="Calibri" w:hAnsi="Calibri"/>
          <w:sz w:val="22"/>
          <w:szCs w:val="22"/>
        </w:rPr>
        <w:t xml:space="preserve">Gotham is a dynamic-ontology object graph with an investigative interface on top. Four named components do the work:</w:t>
      </w:r>
    </w:p>
    <w:p>
      <w:pPr>
        <w:pStyle w:val="ListParagraph"/>
        <w:numPr>
          <w:ilvl w:val="0"/>
          <w:numId w:val="2"/>
        </w:numPr>
        <w:spacing w:after="90" w:line="288"/>
      </w:pPr>
      <w:r>
        <w:rPr>
          <w:rFonts w:ascii="Calibri" w:cs="Calibri" w:eastAsia="Calibri" w:hAnsi="Calibri"/>
          <w:b/>
          <w:bCs/>
          <w:sz w:val="22"/>
          <w:szCs w:val="22"/>
        </w:rPr>
        <w:t xml:space="preserve">Revisioning Database (RevDB)</w:t>
      </w:r>
      <w:r>
        <w:rPr>
          <w:rFonts w:ascii="Calibri" w:cs="Calibri" w:eastAsia="Calibri" w:hAnsi="Calibri"/>
          <w:sz w:val="22"/>
          <w:szCs w:val="22"/>
        </w:rPr>
        <w:t xml:space="preserve"> — the primary store. Everything is stored as objects with full revision history. Analysts get individual sandboxes, so they can hypothesise destructively without corrupting the shared graph. This is git branching, at the object level.</w:t>
      </w:r>
    </w:p>
    <w:p>
      <w:pPr>
        <w:pStyle w:val="ListParagraph"/>
        <w:numPr>
          <w:ilvl w:val="0"/>
          <w:numId w:val="2"/>
        </w:numPr>
        <w:spacing w:after="90" w:line="288"/>
      </w:pPr>
      <w:r>
        <w:rPr>
          <w:rFonts w:ascii="Calibri" w:cs="Calibri" w:eastAsia="Calibri" w:hAnsi="Calibri"/>
          <w:b/>
          <w:bCs/>
          <w:sz w:val="22"/>
          <w:szCs w:val="22"/>
        </w:rPr>
        <w:t xml:space="preserve">Horizon</w:t>
      </w:r>
      <w:r>
        <w:rPr>
          <w:rFonts w:ascii="Calibri" w:cs="Calibri" w:eastAsia="Calibri" w:hAnsi="Calibri"/>
          <w:sz w:val="22"/>
          <w:szCs w:val="22"/>
        </w:rPr>
        <w:t xml:space="preserve"> — an in-memory distributed query engine, which Palantir itself describes as similar in design to Apache Spark. It powers the Object Explorer: query billions of objects, get results in seconds.</w:t>
      </w:r>
    </w:p>
    <w:p>
      <w:pPr>
        <w:pStyle w:val="ListParagraph"/>
        <w:numPr>
          <w:ilvl w:val="0"/>
          <w:numId w:val="2"/>
        </w:numPr>
        <w:spacing w:after="90" w:line="288"/>
      </w:pPr>
      <w:r>
        <w:rPr>
          <w:rFonts w:ascii="Calibri" w:cs="Calibri" w:eastAsia="Calibri" w:hAnsi="Calibri"/>
          <w:b/>
          <w:bCs/>
          <w:sz w:val="22"/>
          <w:szCs w:val="22"/>
        </w:rPr>
        <w:t xml:space="preserve">Phoenix</w:t>
      </w:r>
      <w:r>
        <w:rPr>
          <w:rFonts w:ascii="Calibri" w:cs="Calibri" w:eastAsia="Calibri" w:hAnsi="Calibri"/>
          <w:sz w:val="22"/>
          <w:szCs w:val="22"/>
        </w:rPr>
        <w:t xml:space="preserve"> — a clustered store for very large datasets that Gotham federates search out to, importing only relevant results on the fly. The “don’t copy the whole haystack” tier.</w:t>
      </w:r>
    </w:p>
    <w:p>
      <w:pPr>
        <w:pStyle w:val="ListParagraph"/>
        <w:numPr>
          <w:ilvl w:val="0"/>
          <w:numId w:val="2"/>
        </w:numPr>
        <w:spacing w:after="90" w:line="288"/>
      </w:pPr>
      <w:r>
        <w:rPr>
          <w:rFonts w:ascii="Calibri" w:cs="Calibri" w:eastAsia="Calibri" w:hAnsi="Calibri"/>
          <w:b/>
          <w:bCs/>
          <w:sz w:val="22"/>
          <w:szCs w:val="22"/>
        </w:rPr>
        <w:t xml:space="preserve">Nexus and Nexus Peering</w:t>
      </w:r>
      <w:r>
        <w:rPr>
          <w:rFonts w:ascii="Calibri" w:cs="Calibri" w:eastAsia="Calibri" w:hAnsi="Calibri"/>
          <w:sz w:val="22"/>
          <w:szCs w:val="22"/>
        </w:rPr>
        <w:t xml:space="preserve"> — a Nexus is a scoped body of object data; peering synchronises them between instances so field deployments in low-connectivity environments converge without conflicting copies.</w:t>
      </w:r>
    </w:p>
    <w:p>
      <w:pPr>
        <w:spacing w:after="120"/>
      </w:pPr>
    </w:p>
    <w:tbl>
      <w:tblPr>
        <w:tblW w:type="dxa" w:w="9360"/>
        <w:tblBorders>
          <w:top w:val="single" w:color="C9D3D9" w:sz="2"/>
          <w:left w:val="single" w:color="1F4E5C" w:sz="18"/>
          <w:bottom w:val="single" w:color="C9D3D9" w:sz="2"/>
          <w:right w:val="single" w:color="C9D3D9" w:sz="2"/>
          <w:insideH w:val="none" w:color="FFFFFF" w:sz="0"/>
          <w:insideV w:val="none" w:color="FFFFFF" w:sz="0"/>
        </w:tblBorders>
      </w:tblPr>
      <w:tblGrid>
        <w:gridCol w:w="9360"/>
      </w:tblGrid>
      <w:tr>
        <w:tc>
          <w:tcPr>
            <w:tcW w:type="dxa" w:w="9360"/>
            <w:shd w:fill="F2F6F8" w:val="clear"/>
            <w:tcMar>
              <w:top w:type="dxa" w:w="180"/>
              <w:left w:type="dxa" w:w="240"/>
              <w:bottom w:type="dxa" w:w="180"/>
              <w:right w:type="dxa" w:w="240"/>
            </w:tcMar>
          </w:tcPr>
          <w:p>
            <w:pPr>
              <w:spacing w:after="80"/>
            </w:pPr>
            <w:r>
              <w:rPr>
                <w:rFonts w:ascii="Calibri" w:cs="Calibri" w:eastAsia="Calibri" w:hAnsi="Calibri"/>
                <w:b/>
                <w:bCs/>
                <w:color w:val="1F4E5C"/>
                <w:sz w:val="22"/>
                <w:szCs w:val="22"/>
              </w:rPr>
              <w:t xml:space="preserve">A naming correction</w:t>
            </w:r>
          </w:p>
          <w:p>
            <w:pPr>
              <w:spacing w:after="60" w:line="276"/>
            </w:pPr>
            <w:r>
              <w:rPr>
                <w:rFonts w:ascii="Calibri" w:cs="Calibri" w:eastAsia="Calibri" w:hAnsi="Calibri"/>
                <w:sz w:val="21"/>
                <w:szCs w:val="21"/>
              </w:rPr>
              <w:t xml:space="preserve">“Nexus Peabody” is not a Palantir term and appears nowhere in their materials. The real terms are Nexus and Nexus Peering. Worth knowing before repeating it in a meeting.</w:t>
            </w:r>
          </w:p>
        </w:tc>
      </w:tr>
    </w:tbl>
    <w:p>
      <w:pPr>
        <w:pStyle w:val="Heading2"/>
        <w:spacing w:after="140" w:before="320"/>
      </w:pPr>
      <w:r>
        <w:rPr>
          <w:rFonts w:ascii="Calibri" w:cs="Calibri" w:eastAsia="Calibri" w:hAnsi="Calibri"/>
          <w:b/>
          <w:bCs/>
          <w:color w:val="1F4E5C"/>
          <w:sz w:val="26"/>
          <w:szCs w:val="26"/>
        </w:rPr>
        <w:t xml:space="preserve">Entity resolution — the load-bearing, under-marketed part</w:t>
      </w:r>
    </w:p>
    <w:p>
      <w:pPr>
        <w:spacing w:after="160" w:line="288"/>
      </w:pPr>
      <w:r>
        <w:rPr>
          <w:rFonts w:ascii="Calibri" w:cs="Calibri" w:eastAsia="Calibri" w:hAnsi="Calibri"/>
          <w:sz w:val="22"/>
          <w:szCs w:val="22"/>
        </w:rPr>
        <w:t xml:space="preserve">This is the piece most people miss, and it is the piece most relevant to education.</w:t>
      </w:r>
    </w:p>
    <w:p>
      <w:pPr>
        <w:spacing w:after="160" w:line="288"/>
      </w:pPr>
      <w:r>
        <w:rPr>
          <w:rFonts w:ascii="Calibri" w:cs="Calibri" w:eastAsia="Calibri" w:hAnsi="Calibri"/>
          <w:sz w:val="22"/>
          <w:szCs w:val="22"/>
        </w:rPr>
        <w:t xml:space="preserve">A </w:t>
      </w:r>
      <w:r>
        <w:rPr>
          <w:rFonts w:ascii="Calibri" w:cs="Calibri" w:eastAsia="Calibri" w:hAnsi="Calibri"/>
          <w:b/>
          <w:bCs/>
          <w:sz w:val="22"/>
          <w:szCs w:val="22"/>
        </w:rPr>
        <w:t xml:space="preserve">Person</w:t>
      </w:r>
      <w:r>
        <w:rPr>
          <w:rFonts w:ascii="Calibri" w:cs="Calibri" w:eastAsia="Calibri" w:hAnsi="Calibri"/>
          <w:sz w:val="22"/>
          <w:szCs w:val="22"/>
        </w:rPr>
        <w:t xml:space="preserve"> object in Gotham is not a database row. It is a </w:t>
      </w:r>
      <w:r>
        <w:rPr>
          <w:rFonts w:ascii="Calibri" w:cs="Calibri" w:eastAsia="Calibri" w:hAnsi="Calibri"/>
          <w:i/>
          <w:iCs/>
          <w:sz w:val="22"/>
          <w:szCs w:val="22"/>
        </w:rPr>
        <w:t xml:space="preserve">resolved entity</w:t>
      </w:r>
      <w:r>
        <w:rPr>
          <w:rFonts w:ascii="Calibri" w:cs="Calibri" w:eastAsia="Calibri" w:hAnsi="Calibri"/>
          <w:sz w:val="22"/>
          <w:szCs w:val="22"/>
        </w:rPr>
        <w:t xml:space="preserve"> — assembled from many source records (an arrest record, a phone bill, a visa application, a sensor hit) with provenance preserved back to every contributing record. Every property value carries its source.</w:t>
      </w:r>
    </w:p>
    <w:p>
      <w:pPr>
        <w:spacing w:after="160" w:line="288"/>
      </w:pPr>
      <w:r>
        <w:rPr>
          <w:rFonts w:ascii="Calibri" w:cs="Calibri" w:eastAsia="Calibri" w:hAnsi="Calibri"/>
          <w:sz w:val="22"/>
          <w:szCs w:val="22"/>
        </w:rPr>
        <w:t xml:space="preserve">So when an analyst asks </w:t>
      </w:r>
      <w:r>
        <w:rPr>
          <w:rFonts w:ascii="Calibri" w:cs="Calibri" w:eastAsia="Calibri" w:hAnsi="Calibri"/>
          <w:i/>
          <w:iCs/>
          <w:sz w:val="22"/>
          <w:szCs w:val="22"/>
        </w:rPr>
        <w:t xml:space="preserve">“why do you think this is the same person?”</w:t>
      </w:r>
      <w:r>
        <w:rPr>
          <w:rFonts w:ascii="Calibri" w:cs="Calibri" w:eastAsia="Calibri" w:hAnsi="Calibri"/>
          <w:sz w:val="22"/>
          <w:szCs w:val="22"/>
        </w:rPr>
        <w:t xml:space="preserve">, the system can show the evidence chain. That is what makes the graph trustworthy enough to act on. It is also genuinely hard engineering — and it is precisely the problem any school platform hits the moment it tries to join five systems that each hold a different version of the same child.</w:t>
      </w:r>
    </w:p>
    <w:p>
      <w:pPr>
        <w:pStyle w:val="Heading2"/>
        <w:spacing w:after="140" w:before="320"/>
      </w:pPr>
      <w:r>
        <w:rPr>
          <w:rFonts w:ascii="Calibri" w:cs="Calibri" w:eastAsia="Calibri" w:hAnsi="Calibri"/>
          <w:b/>
          <w:bCs/>
          <w:color w:val="1F4E5C"/>
          <w:sz w:val="26"/>
          <w:szCs w:val="26"/>
        </w:rPr>
        <w:t xml:space="preserve">The applications</w:t>
      </w:r>
    </w:p>
    <w:p>
      <w:pPr>
        <w:pStyle w:val="ListParagraph"/>
        <w:numPr>
          <w:ilvl w:val="0"/>
          <w:numId w:val="2"/>
        </w:numPr>
        <w:spacing w:after="90" w:line="288"/>
      </w:pPr>
      <w:r>
        <w:rPr>
          <w:rFonts w:ascii="Calibri" w:cs="Calibri" w:eastAsia="Calibri" w:hAnsi="Calibri"/>
          <w:b/>
          <w:bCs/>
          <w:sz w:val="22"/>
          <w:szCs w:val="22"/>
        </w:rPr>
        <w:t xml:space="preserve">Object Explorer</w:t>
      </w:r>
      <w:r>
        <w:rPr>
          <w:rFonts w:ascii="Calibri" w:cs="Calibri" w:eastAsia="Calibri" w:hAnsi="Calibri"/>
          <w:sz w:val="22"/>
          <w:szCs w:val="22"/>
        </w:rPr>
        <w:t xml:space="preserve"> — top-down: filter billions of objects down to an interesting subset using property histograms and facets, then push that set into another tool.</w:t>
      </w:r>
    </w:p>
    <w:p>
      <w:pPr>
        <w:pStyle w:val="ListParagraph"/>
        <w:numPr>
          <w:ilvl w:val="0"/>
          <w:numId w:val="2"/>
        </w:numPr>
        <w:spacing w:after="90" w:line="288"/>
      </w:pPr>
      <w:r>
        <w:rPr>
          <w:rFonts w:ascii="Calibri" w:cs="Calibri" w:eastAsia="Calibri" w:hAnsi="Calibri"/>
          <w:b/>
          <w:bCs/>
          <w:sz w:val="22"/>
          <w:szCs w:val="22"/>
        </w:rPr>
        <w:t xml:space="preserve">Graph</w:t>
      </w:r>
      <w:r>
        <w:rPr>
          <w:rFonts w:ascii="Calibri" w:cs="Calibri" w:eastAsia="Calibri" w:hAnsi="Calibri"/>
          <w:sz w:val="22"/>
          <w:szCs w:val="22"/>
        </w:rPr>
        <w:t xml:space="preserve"> — link analysis: expand from a node to its neighbours, find paths between two entities, annotate and share the result.</w:t>
      </w:r>
    </w:p>
    <w:p>
      <w:pPr>
        <w:pStyle w:val="ListParagraph"/>
        <w:numPr>
          <w:ilvl w:val="0"/>
          <w:numId w:val="2"/>
        </w:numPr>
        <w:spacing w:after="90" w:line="288"/>
      </w:pPr>
      <w:r>
        <w:rPr>
          <w:rFonts w:ascii="Calibri" w:cs="Calibri" w:eastAsia="Calibri" w:hAnsi="Calibri"/>
          <w:b/>
          <w:bCs/>
          <w:sz w:val="22"/>
          <w:szCs w:val="22"/>
        </w:rPr>
        <w:t xml:space="preserve">Map</w:t>
      </w:r>
      <w:r>
        <w:rPr>
          <w:rFonts w:ascii="Calibri" w:cs="Calibri" w:eastAsia="Calibri" w:hAnsi="Calibri"/>
          <w:sz w:val="22"/>
          <w:szCs w:val="22"/>
        </w:rPr>
        <w:t xml:space="preserve"> — geospatial: tracks, geofences, heatmaps, spatial joins.</w:t>
      </w:r>
    </w:p>
    <w:p>
      <w:pPr>
        <w:pStyle w:val="ListParagraph"/>
        <w:numPr>
          <w:ilvl w:val="0"/>
          <w:numId w:val="2"/>
        </w:numPr>
        <w:spacing w:after="90" w:line="288"/>
      </w:pPr>
      <w:r>
        <w:rPr>
          <w:rFonts w:ascii="Calibri" w:cs="Calibri" w:eastAsia="Calibri" w:hAnsi="Calibri"/>
          <w:b/>
          <w:bCs/>
          <w:sz w:val="22"/>
          <w:szCs w:val="22"/>
        </w:rPr>
        <w:t xml:space="preserve">Timeline</w:t>
      </w:r>
      <w:r>
        <w:rPr>
          <w:rFonts w:ascii="Calibri" w:cs="Calibri" w:eastAsia="Calibri" w:hAnsi="Calibri"/>
          <w:sz w:val="22"/>
          <w:szCs w:val="22"/>
        </w:rPr>
        <w:t xml:space="preserve"> — temporal: sequence events, find co-occurrence in time.</w:t>
      </w:r>
    </w:p>
    <w:p>
      <w:pPr>
        <w:pStyle w:val="ListParagraph"/>
        <w:numPr>
          <w:ilvl w:val="0"/>
          <w:numId w:val="2"/>
        </w:numPr>
        <w:spacing w:after="90" w:line="288"/>
      </w:pPr>
      <w:r>
        <w:rPr>
          <w:rFonts w:ascii="Calibri" w:cs="Calibri" w:eastAsia="Calibri" w:hAnsi="Calibri"/>
          <w:b/>
          <w:bCs/>
          <w:sz w:val="22"/>
          <w:szCs w:val="22"/>
        </w:rPr>
        <w:t xml:space="preserve">Dossier</w:t>
      </w:r>
      <w:r>
        <w:rPr>
          <w:rFonts w:ascii="Calibri" w:cs="Calibri" w:eastAsia="Calibri" w:hAnsi="Calibri"/>
          <w:sz w:val="22"/>
          <w:szCs w:val="22"/>
        </w:rPr>
        <w:t xml:space="preserve"> — collaborative write-ups where live objects are embedded rather than screenshotted, so the narrative stays bound to the data.</w:t>
      </w:r>
    </w:p>
    <w:p>
      <w:pPr>
        <w:pStyle w:val="ListParagraph"/>
        <w:numPr>
          <w:ilvl w:val="0"/>
          <w:numId w:val="2"/>
        </w:numPr>
        <w:spacing w:after="90" w:line="288"/>
      </w:pPr>
      <w:r>
        <w:rPr>
          <w:rFonts w:ascii="Calibri" w:cs="Calibri" w:eastAsia="Calibri" w:hAnsi="Calibri"/>
          <w:b/>
          <w:bCs/>
          <w:sz w:val="22"/>
          <w:szCs w:val="22"/>
        </w:rPr>
        <w:t xml:space="preserve">Alerting</w:t>
      </w:r>
      <w:r>
        <w:rPr>
          <w:rFonts w:ascii="Calibri" w:cs="Calibri" w:eastAsia="Calibri" w:hAnsi="Calibri"/>
          <w:sz w:val="22"/>
          <w:szCs w:val="22"/>
        </w:rPr>
        <w:t xml:space="preserve"> — standing queries over the graph that fire when new data matches a pattern, turning a one-off investigation into a monitor.</w:t>
      </w:r>
    </w:p>
    <w:p>
      <w:pPr>
        <w:pStyle w:val="Heading2"/>
        <w:spacing w:after="140" w:before="320"/>
      </w:pPr>
      <w:r>
        <w:rPr>
          <w:rFonts w:ascii="Calibri" w:cs="Calibri" w:eastAsia="Calibri" w:hAnsi="Calibri"/>
          <w:b/>
          <w:bCs/>
          <w:color w:val="1F4E5C"/>
          <w:sz w:val="26"/>
          <w:szCs w:val="26"/>
        </w:rPr>
        <w:t xml:space="preserve">What a session actually looks like</w:t>
      </w:r>
    </w:p>
    <w:p>
      <w:pPr>
        <w:spacing w:after="160" w:line="288"/>
      </w:pPr>
      <w:r>
        <w:rPr>
          <w:rFonts w:ascii="Calibri" w:cs="Calibri" w:eastAsia="Calibri" w:hAnsi="Calibri"/>
          <w:sz w:val="22"/>
          <w:szCs w:val="22"/>
        </w:rPr>
        <w:t xml:space="preserve">An analyst starts from a lead — say a phone number. Object Explorer resolves it to a Person. They open it in Graph and expand one hop to accounts, vehicles and associates. They drop the resulting set onto the Map to see where those associates cluster, then switch to Timeline to check whether meetings preceded a known incident. They prune the graph to the six nodes that matter, annotate it, save it to a Dossier, and set an alert so any new record touching those six objects notifies them.</w:t>
      </w:r>
    </w:p>
    <w:p>
      <w:pPr>
        <w:spacing w:after="160" w:line="288"/>
      </w:pPr>
      <w:r>
        <w:rPr>
          <w:rFonts w:ascii="Calibri" w:cs="Calibri" w:eastAsia="Calibri" w:hAnsi="Calibri"/>
          <w:b/>
          <w:bCs/>
          <w:sz w:val="22"/>
          <w:szCs w:val="22"/>
        </w:rPr>
        <w:t xml:space="preserve">The important detail: </w:t>
      </w:r>
      <w:r>
        <w:rPr>
          <w:rFonts w:ascii="Calibri" w:cs="Calibri" w:eastAsia="Calibri" w:hAnsi="Calibri"/>
          <w:sz w:val="22"/>
          <w:szCs w:val="22"/>
        </w:rPr>
        <w:t xml:space="preserve">every step is a set operation on the same object set, and the set carries between applications.</w:t>
      </w:r>
    </w:p>
    <w:p>
      <w:pPr>
        <w:pStyle w:val="Heading2"/>
        <w:spacing w:after="140" w:before="320"/>
      </w:pPr>
      <w:r>
        <w:rPr>
          <w:rFonts w:ascii="Calibri" w:cs="Calibri" w:eastAsia="Calibri" w:hAnsi="Calibri"/>
          <w:b/>
          <w:bCs/>
          <w:color w:val="1F4E5C"/>
          <w:sz w:val="26"/>
          <w:szCs w:val="26"/>
        </w:rPr>
        <w:t xml:space="preserve">Why the interface reads as “game-like”</w:t>
      </w:r>
    </w:p>
    <w:p>
      <w:pPr>
        <w:spacing w:after="160" w:line="288"/>
      </w:pPr>
      <w:r>
        <w:rPr>
          <w:rFonts w:ascii="Calibri" w:cs="Calibri" w:eastAsia="Calibri" w:hAnsi="Calibri"/>
          <w:sz w:val="22"/>
          <w:szCs w:val="22"/>
        </w:rPr>
        <w:t xml:space="preserve">Not because it is gamified. Because of four properties that dashboards do not have:</w:t>
      </w:r>
    </w:p>
    <w:p>
      <w:pPr>
        <w:pStyle w:val="ListParagraph"/>
        <w:numPr>
          <w:ilvl w:val="0"/>
          <w:numId w:val="3"/>
        </w:numPr>
        <w:spacing w:after="110" w:line="288"/>
      </w:pPr>
      <w:r>
        <w:rPr>
          <w:rFonts w:ascii="Calibri" w:cs="Calibri" w:eastAsia="Calibri" w:hAnsi="Calibri"/>
          <w:b/>
          <w:bCs/>
          <w:sz w:val="22"/>
          <w:szCs w:val="22"/>
        </w:rPr>
        <w:t xml:space="preserve">Direct manipulation of a persistent object set.</w:t>
      </w:r>
      <w:r>
        <w:rPr>
          <w:rFonts w:ascii="Calibri" w:cs="Calibri" w:eastAsia="Calibri" w:hAnsi="Calibri"/>
          <w:sz w:val="22"/>
          <w:szCs w:val="22"/>
        </w:rPr>
        <w:t xml:space="preserve"> You are not filtering a chart; you are carrying a selection between tools. The state is the object set, not the view.</w:t>
      </w:r>
    </w:p>
    <w:p>
      <w:pPr>
        <w:pStyle w:val="ListParagraph"/>
        <w:numPr>
          <w:ilvl w:val="0"/>
          <w:numId w:val="3"/>
        </w:numPr>
        <w:spacing w:after="110" w:line="288"/>
      </w:pPr>
      <w:r>
        <w:rPr>
          <w:rFonts w:ascii="Calibri" w:cs="Calibri" w:eastAsia="Calibri" w:hAnsi="Calibri"/>
          <w:b/>
          <w:bCs/>
          <w:sz w:val="22"/>
          <w:szCs w:val="22"/>
        </w:rPr>
        <w:t xml:space="preserve">Everything is expandable.</w:t>
      </w:r>
      <w:r>
        <w:rPr>
          <w:rFonts w:ascii="Calibri" w:cs="Calibri" w:eastAsia="Calibri" w:hAnsi="Calibri"/>
          <w:sz w:val="22"/>
          <w:szCs w:val="22"/>
        </w:rPr>
        <w:t xml:space="preserve"> Any object is a doorway one hop further. The loop is explore → expand → prune, which is structurally the same loop as an adventure-game map.</w:t>
      </w:r>
    </w:p>
    <w:p>
      <w:pPr>
        <w:pStyle w:val="ListParagraph"/>
        <w:numPr>
          <w:ilvl w:val="0"/>
          <w:numId w:val="3"/>
        </w:numPr>
        <w:spacing w:after="110" w:line="288"/>
      </w:pPr>
      <w:r>
        <w:rPr>
          <w:rFonts w:ascii="Calibri" w:cs="Calibri" w:eastAsia="Calibri" w:hAnsi="Calibri"/>
          <w:b/>
          <w:bCs/>
          <w:sz w:val="22"/>
          <w:szCs w:val="22"/>
        </w:rPr>
        <w:t xml:space="preserve">Branching without consequence.</w:t>
      </w:r>
      <w:r>
        <w:rPr>
          <w:rFonts w:ascii="Calibri" w:cs="Calibri" w:eastAsia="Calibri" w:hAnsi="Calibri"/>
          <w:sz w:val="22"/>
          <w:szCs w:val="22"/>
        </w:rPr>
        <w:t xml:space="preserve"> Sandboxes make speculative edits free and reversible — the “save scumming” affordance.</w:t>
      </w:r>
    </w:p>
    <w:p>
      <w:pPr>
        <w:pStyle w:val="ListParagraph"/>
        <w:numPr>
          <w:ilvl w:val="0"/>
          <w:numId w:val="3"/>
        </w:numPr>
        <w:spacing w:after="110" w:line="288"/>
      </w:pPr>
      <w:r>
        <w:rPr>
          <w:rFonts w:ascii="Calibri" w:cs="Calibri" w:eastAsia="Calibri" w:hAnsi="Calibri"/>
          <w:b/>
          <w:bCs/>
          <w:sz w:val="22"/>
          <w:szCs w:val="22"/>
        </w:rPr>
        <w:t xml:space="preserve">The artefact is the output.</w:t>
      </w:r>
      <w:r>
        <w:rPr>
          <w:rFonts w:ascii="Calibri" w:cs="Calibri" w:eastAsia="Calibri" w:hAnsi="Calibri"/>
          <w:sz w:val="22"/>
          <w:szCs w:val="22"/>
        </w:rPr>
        <w:t xml:space="preserve"> A graph you shaped, annotated and shared is the deliverable, not a PDF exported from it.</w:t>
      </w:r>
    </w:p>
    <w:p>
      <w:pPr>
        <w:spacing w:after="100"/>
      </w:pPr>
    </w:p>
    <w:tbl>
      <w:tblPr>
        <w:tblW w:type="dxa" w:w="9360"/>
        <w:tblBorders>
          <w:top w:val="single" w:color="C9D3D9" w:sz="2"/>
          <w:left w:val="single" w:color="1F4E5C" w:sz="18"/>
          <w:bottom w:val="single" w:color="C9D3D9" w:sz="2"/>
          <w:right w:val="single" w:color="C9D3D9" w:sz="2"/>
          <w:insideH w:val="none" w:color="FFFFFF" w:sz="0"/>
          <w:insideV w:val="none" w:color="FFFFFF" w:sz="0"/>
        </w:tblBorders>
      </w:tblPr>
      <w:tblGrid>
        <w:gridCol w:w="9360"/>
      </w:tblGrid>
      <w:tr>
        <w:tc>
          <w:tcPr>
            <w:tcW w:type="dxa" w:w="9360"/>
            <w:shd w:fill="F2F6F8" w:val="clear"/>
            <w:tcMar>
              <w:top w:type="dxa" w:w="180"/>
              <w:left w:type="dxa" w:w="240"/>
              <w:bottom w:type="dxa" w:w="180"/>
              <w:right w:type="dxa" w:w="240"/>
            </w:tcMar>
          </w:tcPr>
          <w:p>
            <w:pPr>
              <w:spacing w:after="80"/>
            </w:pPr>
            <w:r>
              <w:rPr>
                <w:rFonts w:ascii="Calibri" w:cs="Calibri" w:eastAsia="Calibri" w:hAnsi="Calibri"/>
                <w:b/>
                <w:bCs/>
                <w:color w:val="1F4E5C"/>
                <w:sz w:val="22"/>
                <w:szCs w:val="22"/>
              </w:rPr>
              <w:t xml:space="preserve">The single most transferable sentence in this document</w:t>
            </w:r>
          </w:p>
          <w:p>
            <w:pPr>
              <w:spacing w:after="60" w:line="276"/>
            </w:pPr>
            <w:r>
              <w:rPr>
                <w:rFonts w:ascii="Calibri" w:cs="Calibri" w:eastAsia="Calibri" w:hAnsi="Calibri"/>
                <w:sz w:val="21"/>
                <w:szCs w:val="21"/>
              </w:rPr>
              <w:t xml:space="preserve">Dashboards answer questions you already had. Gotham is built for questions you discover mid-session.</w:t>
            </w:r>
          </w:p>
        </w:tc>
      </w:tr>
    </w:tbl>
    <w:p>
      <w:r>
        <w:br w:type="page"/>
      </w:r>
    </w:p>
    <w:p>
      <w:pPr>
        <w:pStyle w:val="Heading1"/>
        <w:spacing w:after="200" w:before="480"/>
      </w:pPr>
      <w:r>
        <w:rPr>
          <w:rFonts w:ascii="Calibri" w:cs="Calibri" w:eastAsia="Calibri" w:hAnsi="Calibri"/>
          <w:b/>
          <w:bCs/>
          <w:color w:val="1F4E5C"/>
          <w:sz w:val="34"/>
          <w:szCs w:val="34"/>
        </w:rPr>
        <w:t xml:space="preserve">3.  Foundry — the enterprise one</w:t>
      </w:r>
    </w:p>
    <w:p>
      <w:pPr>
        <w:pStyle w:val="Heading2"/>
        <w:spacing w:after="140" w:before="320"/>
      </w:pPr>
      <w:r>
        <w:rPr>
          <w:rFonts w:ascii="Calibri" w:cs="Calibri" w:eastAsia="Calibri" w:hAnsi="Calibri"/>
          <w:b/>
          <w:bCs/>
          <w:color w:val="1F4E5C"/>
          <w:sz w:val="26"/>
          <w:szCs w:val="26"/>
        </w:rPr>
        <w:t xml:space="preserve">Datasets, transactions and branches</w:t>
      </w:r>
    </w:p>
    <w:p>
      <w:pPr>
        <w:spacing w:after="160" w:line="288"/>
      </w:pPr>
      <w:r>
        <w:rPr>
          <w:rFonts w:ascii="Calibri" w:cs="Calibri" w:eastAsia="Calibri" w:hAnsi="Calibri"/>
          <w:sz w:val="22"/>
          <w:szCs w:val="22"/>
        </w:rPr>
        <w:t xml:space="preserve">Foundry datasets are versioned file collections. The unit of change is a transaction, which Palantir explicitly analogises to a git commit: datasets, branches and transactions map to repositories, branches and commits.</w:t>
      </w:r>
    </w:p>
    <w:p>
      <w:pPr>
        <w:spacing w:after="160" w:line="288"/>
      </w:pPr>
      <w:r>
        <w:rPr>
          <w:rFonts w:ascii="Calibri" w:cs="Calibri" w:eastAsia="Calibri" w:hAnsi="Calibri"/>
          <w:sz w:val="22"/>
          <w:szCs w:val="22"/>
        </w:rPr>
        <w:t xml:space="preserve">Transforms are code — PySpark, Java, SQL, or a no-code Pipeline Builder — that produce a dataset from other datasets. Because both the code and the data are branched, you can branch logic and data together.</w:t>
      </w:r>
    </w:p>
    <w:p>
      <w:pPr>
        <w:spacing w:after="160" w:line="288"/>
      </w:pPr>
      <w:r>
        <w:rPr>
          <w:rFonts w:ascii="Calibri" w:cs="Calibri" w:eastAsia="Calibri" w:hAnsi="Calibri"/>
          <w:b/>
          <w:bCs/>
          <w:sz w:val="22"/>
          <w:szCs w:val="22"/>
        </w:rPr>
        <w:t xml:space="preserve">Global Branching</w:t>
      </w:r>
      <w:r>
        <w:rPr>
          <w:rFonts w:ascii="Calibri" w:cs="Calibri" w:eastAsia="Calibri" w:hAnsi="Calibri"/>
          <w:sz w:val="22"/>
          <w:szCs w:val="22"/>
        </w:rPr>
        <w:t xml:space="preserve"> goes further: a single branch forks datasets, code, </w:t>
      </w:r>
      <w:r>
        <w:rPr>
          <w:rFonts w:ascii="Calibri" w:cs="Calibri" w:eastAsia="Calibri" w:hAnsi="Calibri"/>
          <w:i/>
          <w:iCs/>
          <w:sz w:val="22"/>
          <w:szCs w:val="22"/>
        </w:rPr>
        <w:t xml:space="preserve">ontology resources</w:t>
      </w:r>
      <w:r>
        <w:rPr>
          <w:rFonts w:ascii="Calibri" w:cs="Calibri" w:eastAsia="Calibri" w:hAnsi="Calibri"/>
          <w:sz w:val="22"/>
          <w:szCs w:val="22"/>
        </w:rPr>
        <w:t xml:space="preserve">, applications and pipelines together, with rebase, conflict resolution, a review step, and approvals gated by policy. This is the strongest genuinely differentiated engineering in Foundry — pull-request review for an entire data platform, including its semantic model.</w:t>
      </w:r>
    </w:p>
    <w:p>
      <w:pPr>
        <w:pStyle w:val="Heading2"/>
        <w:spacing w:after="140" w:before="320"/>
      </w:pPr>
      <w:r>
        <w:rPr>
          <w:rFonts w:ascii="Calibri" w:cs="Calibri" w:eastAsia="Calibri" w:hAnsi="Calibri"/>
          <w:b/>
          <w:bCs/>
          <w:color w:val="1F4E5C"/>
          <w:sz w:val="26"/>
          <w:szCs w:val="26"/>
        </w:rPr>
        <w:t xml:space="preserve">The application layer</w:t>
      </w:r>
    </w:p>
    <w:p>
      <w:pPr>
        <w:pStyle w:val="ListParagraph"/>
        <w:numPr>
          <w:ilvl w:val="0"/>
          <w:numId w:val="2"/>
        </w:numPr>
        <w:spacing w:after="90" w:line="288"/>
      </w:pPr>
      <w:r>
        <w:rPr>
          <w:rFonts w:ascii="Calibri" w:cs="Calibri" w:eastAsia="Calibri" w:hAnsi="Calibri"/>
          <w:b/>
          <w:bCs/>
          <w:sz w:val="22"/>
          <w:szCs w:val="22"/>
        </w:rPr>
        <w:t xml:space="preserve">Contour</w:t>
      </w:r>
      <w:r>
        <w:rPr>
          <w:rFonts w:ascii="Calibri" w:cs="Calibri" w:eastAsia="Calibri" w:hAnsi="Calibri"/>
          <w:sz w:val="22"/>
          <w:szCs w:val="22"/>
        </w:rPr>
        <w:t xml:space="preserve"> — point-and-click analysis at scale; a path of stacked, inspectable steps that compiles to Spark. Excel pivot semantics, with lineage.</w:t>
      </w:r>
    </w:p>
    <w:p>
      <w:pPr>
        <w:pStyle w:val="ListParagraph"/>
        <w:numPr>
          <w:ilvl w:val="0"/>
          <w:numId w:val="2"/>
        </w:numPr>
        <w:spacing w:after="90" w:line="288"/>
      </w:pPr>
      <w:r>
        <w:rPr>
          <w:rFonts w:ascii="Calibri" w:cs="Calibri" w:eastAsia="Calibri" w:hAnsi="Calibri"/>
          <w:b/>
          <w:bCs/>
          <w:sz w:val="22"/>
          <w:szCs w:val="22"/>
        </w:rPr>
        <w:t xml:space="preserve">Quiver</w:t>
      </w:r>
      <w:r>
        <w:rPr>
          <w:rFonts w:ascii="Calibri" w:cs="Calibri" w:eastAsia="Calibri" w:hAnsi="Calibri"/>
          <w:sz w:val="22"/>
          <w:szCs w:val="22"/>
        </w:rPr>
        <w:t xml:space="preserve"> — time-series and object-centric analysis, plus embeddable read-only dashboards.</w:t>
      </w:r>
    </w:p>
    <w:p>
      <w:pPr>
        <w:pStyle w:val="ListParagraph"/>
        <w:numPr>
          <w:ilvl w:val="0"/>
          <w:numId w:val="2"/>
        </w:numPr>
        <w:spacing w:after="90" w:line="288"/>
      </w:pPr>
      <w:r>
        <w:rPr>
          <w:rFonts w:ascii="Calibri" w:cs="Calibri" w:eastAsia="Calibri" w:hAnsi="Calibri"/>
          <w:b/>
          <w:bCs/>
          <w:sz w:val="22"/>
          <w:szCs w:val="22"/>
        </w:rPr>
        <w:t xml:space="preserve">Object Views</w:t>
      </w:r>
      <w:r>
        <w:rPr>
          <w:rFonts w:ascii="Calibri" w:cs="Calibri" w:eastAsia="Calibri" w:hAnsi="Calibri"/>
          <w:sz w:val="22"/>
          <w:szCs w:val="22"/>
        </w:rPr>
        <w:t xml:space="preserve"> — a configurable profile page per object type: properties, linked objects, metrics, embedded analyses, and the actions available on it.</w:t>
      </w:r>
    </w:p>
    <w:p>
      <w:pPr>
        <w:pStyle w:val="ListParagraph"/>
        <w:numPr>
          <w:ilvl w:val="0"/>
          <w:numId w:val="2"/>
        </w:numPr>
        <w:spacing w:after="90" w:line="288"/>
      </w:pPr>
      <w:r>
        <w:rPr>
          <w:rFonts w:ascii="Calibri" w:cs="Calibri" w:eastAsia="Calibri" w:hAnsi="Calibri"/>
          <w:b/>
          <w:bCs/>
          <w:sz w:val="22"/>
          <w:szCs w:val="22"/>
        </w:rPr>
        <w:t xml:space="preserve">Workshop</w:t>
      </w:r>
      <w:r>
        <w:rPr>
          <w:rFonts w:ascii="Calibri" w:cs="Calibri" w:eastAsia="Calibri" w:hAnsi="Calibri"/>
          <w:sz w:val="22"/>
          <w:szCs w:val="22"/>
        </w:rPr>
        <w:t xml:space="preserve"> — a no-code app builder sitting natively on the Ontology.</w:t>
      </w:r>
    </w:p>
    <w:p>
      <w:pPr>
        <w:pStyle w:val="ListParagraph"/>
        <w:numPr>
          <w:ilvl w:val="0"/>
          <w:numId w:val="2"/>
        </w:numPr>
        <w:spacing w:after="90" w:line="288"/>
      </w:pPr>
      <w:r>
        <w:rPr>
          <w:rFonts w:ascii="Calibri" w:cs="Calibri" w:eastAsia="Calibri" w:hAnsi="Calibri"/>
          <w:b/>
          <w:bCs/>
          <w:sz w:val="22"/>
          <w:szCs w:val="22"/>
        </w:rPr>
        <w:t xml:space="preserve">Slate</w:t>
      </w:r>
      <w:r>
        <w:rPr>
          <w:rFonts w:ascii="Calibri" w:cs="Calibri" w:eastAsia="Calibri" w:hAnsi="Calibri"/>
          <w:sz w:val="22"/>
          <w:szCs w:val="22"/>
        </w:rPr>
        <w:t xml:space="preserve"> — a lower-level, code-ish builder for heavy customisation.</w:t>
      </w:r>
    </w:p>
    <w:p>
      <w:pPr>
        <w:pStyle w:val="ListParagraph"/>
        <w:numPr>
          <w:ilvl w:val="0"/>
          <w:numId w:val="2"/>
        </w:numPr>
        <w:spacing w:after="90" w:line="288"/>
      </w:pPr>
      <w:r>
        <w:rPr>
          <w:rFonts w:ascii="Calibri" w:cs="Calibri" w:eastAsia="Calibri" w:hAnsi="Calibri"/>
          <w:b/>
          <w:bCs/>
          <w:sz w:val="22"/>
          <w:szCs w:val="22"/>
        </w:rPr>
        <w:t xml:space="preserve">Ontology SDK (OSDK)</w:t>
      </w:r>
      <w:r>
        <w:rPr>
          <w:rFonts w:ascii="Calibri" w:cs="Calibri" w:eastAsia="Calibri" w:hAnsi="Calibri"/>
          <w:sz w:val="22"/>
          <w:szCs w:val="22"/>
        </w:rPr>
        <w:t xml:space="preserve"> — generates a typed client in TypeScript, Python or Java directly from your ontology, so external apps get first-class typed access to objects, links and actions.</w:t>
      </w:r>
    </w:p>
    <w:p>
      <w:pPr>
        <w:pStyle w:val="Heading2"/>
        <w:spacing w:after="140" w:before="320"/>
      </w:pPr>
      <w:r>
        <w:rPr>
          <w:rFonts w:ascii="Calibri" w:cs="Calibri" w:eastAsia="Calibri" w:hAnsi="Calibri"/>
          <w:b/>
          <w:bCs/>
          <w:color w:val="1F4E5C"/>
          <w:sz w:val="26"/>
          <w:szCs w:val="26"/>
        </w:rPr>
        <w:t xml:space="preserve">How this genuinely differs from a warehouse plus BI</w:t>
      </w:r>
    </w:p>
    <w:p>
      <w:pPr>
        <w:spacing w:after="160" w:line="288"/>
      </w:pPr>
      <w:r>
        <w:rPr>
          <w:rFonts w:ascii="Calibri" w:cs="Calibri" w:eastAsia="Calibri" w:hAnsi="Calibri"/>
          <w:sz w:val="22"/>
          <w:szCs w:val="22"/>
        </w:rPr>
        <w:t xml:space="preserve">A normal modern stack is warehouse → dbt → BI tool. It is read-only and it terminates in a chart. Foundry differs on exactly three axes:</w:t>
      </w:r>
    </w:p>
    <w:p>
      <w:pPr>
        <w:pStyle w:val="ListParagraph"/>
        <w:numPr>
          <w:ilvl w:val="0"/>
          <w:numId w:val="3"/>
        </w:numPr>
        <w:spacing w:after="110" w:line="288"/>
      </w:pPr>
      <w:r>
        <w:rPr>
          <w:rFonts w:ascii="Calibri" w:cs="Calibri" w:eastAsia="Calibri" w:hAnsi="Calibri"/>
          <w:b/>
          <w:bCs/>
          <w:sz w:val="22"/>
          <w:szCs w:val="22"/>
        </w:rPr>
        <w:t xml:space="preserve">Writeback.</w:t>
      </w:r>
      <w:r>
        <w:rPr>
          <w:rFonts w:ascii="Calibri" w:cs="Calibri" w:eastAsia="Calibri" w:hAnsi="Calibri"/>
          <w:sz w:val="22"/>
          <w:szCs w:val="22"/>
        </w:rPr>
        <w:t xml:space="preserve"> Actions write user decisions back into the ontology, so operational state lives in the same place as analytical state. A BI tool has no equivalent.</w:t>
      </w:r>
    </w:p>
    <w:p>
      <w:pPr>
        <w:pStyle w:val="ListParagraph"/>
        <w:numPr>
          <w:ilvl w:val="0"/>
          <w:numId w:val="3"/>
        </w:numPr>
        <w:spacing w:after="110" w:line="288"/>
      </w:pPr>
      <w:r>
        <w:rPr>
          <w:rFonts w:ascii="Calibri" w:cs="Calibri" w:eastAsia="Calibri" w:hAnsi="Calibri"/>
          <w:b/>
          <w:bCs/>
          <w:sz w:val="22"/>
          <w:szCs w:val="22"/>
        </w:rPr>
        <w:t xml:space="preserve">Versioning of the semantic model itself</w:t>
      </w:r>
      <w:r>
        <w:rPr>
          <w:rFonts w:ascii="Calibri" w:cs="Calibri" w:eastAsia="Calibri" w:hAnsi="Calibri"/>
          <w:sz w:val="22"/>
          <w:szCs w:val="22"/>
        </w:rPr>
        <w:t xml:space="preserve">, not merely of the SQL that feeds it.</w:t>
      </w:r>
    </w:p>
    <w:p>
      <w:pPr>
        <w:pStyle w:val="ListParagraph"/>
        <w:numPr>
          <w:ilvl w:val="0"/>
          <w:numId w:val="3"/>
        </w:numPr>
        <w:spacing w:after="110" w:line="288"/>
      </w:pPr>
      <w:r>
        <w:rPr>
          <w:rFonts w:ascii="Calibri" w:cs="Calibri" w:eastAsia="Calibri" w:hAnsi="Calibri"/>
          <w:b/>
          <w:bCs/>
          <w:sz w:val="22"/>
          <w:szCs w:val="22"/>
        </w:rPr>
        <w:t xml:space="preserve">Applications as first-class output.</w:t>
      </w:r>
      <w:r>
        <w:rPr>
          <w:rFonts w:ascii="Calibri" w:cs="Calibri" w:eastAsia="Calibri" w:hAnsi="Calibri"/>
          <w:sz w:val="22"/>
          <w:szCs w:val="22"/>
        </w:rPr>
        <w:t xml:space="preserve"> The intended artefact is an operational decision app — a screen someone uses to do the job, where the data and the action are the same surface. Looker cannot dispatch a truck.</w:t>
      </w:r>
    </w:p>
    <w:p>
      <w:pPr>
        <w:spacing w:after="120"/>
      </w:pPr>
    </w:p>
    <w:p>
      <w:pPr>
        <w:spacing w:after="160" w:line="288"/>
      </w:pPr>
      <w:r>
        <w:rPr>
          <w:rFonts w:ascii="Calibri" w:cs="Calibri" w:eastAsia="Calibri" w:hAnsi="Calibri"/>
          <w:b/>
          <w:bCs/>
          <w:sz w:val="22"/>
          <w:szCs w:val="22"/>
        </w:rPr>
        <w:t xml:space="preserve">That is the honest differentiation. </w:t>
      </w:r>
      <w:r>
        <w:rPr>
          <w:rFonts w:ascii="Calibri" w:cs="Calibri" w:eastAsia="Calibri" w:hAnsi="Calibri"/>
          <w:sz w:val="22"/>
          <w:szCs w:val="22"/>
        </w:rPr>
        <w:t xml:space="preserve">Everything else — Spark, Parquet, lineage, catalogues — is table stakes you can assemble from open source.</w:t>
      </w:r>
    </w:p>
    <w:p>
      <w:r>
        <w:br w:type="page"/>
      </w:r>
    </w:p>
    <w:p>
      <w:pPr>
        <w:pStyle w:val="Heading1"/>
        <w:spacing w:after="200" w:before="480"/>
      </w:pPr>
      <w:r>
        <w:rPr>
          <w:rFonts w:ascii="Calibri" w:cs="Calibri" w:eastAsia="Calibri" w:hAnsi="Calibri"/>
          <w:b/>
          <w:bCs/>
          <w:color w:val="1F4E5C"/>
          <w:sz w:val="34"/>
          <w:szCs w:val="34"/>
        </w:rPr>
        <w:t xml:space="preserve">4.  The Ontology — the part that matters</w:t>
      </w:r>
    </w:p>
    <w:p>
      <w:pPr>
        <w:spacing w:after="160" w:line="288"/>
      </w:pPr>
      <w:r>
        <w:rPr>
          <w:rFonts w:ascii="Calibri" w:cs="Calibri" w:eastAsia="Calibri" w:hAnsi="Calibri"/>
          <w:sz w:val="22"/>
          <w:szCs w:val="22"/>
        </w:rPr>
        <w:t xml:space="preserve">Palantir’s own line is that the Ontology is </w:t>
      </w:r>
      <w:r>
        <w:rPr>
          <w:rFonts w:ascii="Calibri" w:cs="Calibri" w:eastAsia="Calibri" w:hAnsi="Calibri"/>
          <w:i/>
          <w:iCs/>
          <w:sz w:val="22"/>
          <w:szCs w:val="22"/>
        </w:rPr>
        <w:t xml:space="preserve">“the digital twin of an organization”</w:t>
      </w:r>
      <w:r>
        <w:rPr>
          <w:rFonts w:ascii="Calibri" w:cs="Calibri" w:eastAsia="Calibri" w:hAnsi="Calibri"/>
          <w:sz w:val="22"/>
          <w:szCs w:val="22"/>
        </w:rPr>
        <w:t xml:space="preserve">. Strip the marketing and it is both simpler and more useful than that sounds.</w:t>
      </w:r>
    </w:p>
    <w:p>
      <w:pPr>
        <w:pStyle w:val="Heading2"/>
        <w:spacing w:after="140" w:before="320"/>
      </w:pPr>
      <w:r>
        <w:rPr>
          <w:rFonts w:ascii="Calibri" w:cs="Calibri" w:eastAsia="Calibri" w:hAnsi="Calibri"/>
          <w:b/>
          <w:bCs/>
          <w:color w:val="1F4E5C"/>
          <w:sz w:val="26"/>
          <w:szCs w:val="26"/>
        </w:rPr>
        <w:t xml:space="preserve">Three layers</w:t>
      </w:r>
    </w:p>
    <w:tbl>
      <w:tblPr>
        <w:tblW w:type="dxa" w:w="9360"/>
        <w:tblBorders>
          <w:top w:val="single" w:color="C9D3D9" w:sz="2"/>
          <w:left w:val="single" w:color="C9D3D9" w:sz="2"/>
          <w:bottom w:val="single" w:color="C9D3D9" w:sz="2"/>
          <w:right w:val="single" w:color="C9D3D9" w:sz="2"/>
          <w:insideH w:val="single" w:color="C9D3D9" w:sz="2"/>
          <w:insideV w:val="single" w:color="C9D3D9" w:sz="2"/>
        </w:tblBorders>
      </w:tblPr>
      <w:tblGrid>
        <w:gridCol w:w="1500"/>
        <w:gridCol w:w="4700"/>
        <w:gridCol w:w="3160"/>
      </w:tblGrid>
      <w:tr>
        <w:trPr>
          <w:tblHeader/>
        </w:trPr>
        <w:tc>
          <w:tcPr>
            <w:tcW w:type="dxa" w:w="1500"/>
            <w:shd w:fill="1F4E5C" w:val="clear"/>
            <w:tcMar>
              <w:top w:type="dxa" w:w="100"/>
              <w:left w:type="dxa" w:w="140"/>
              <w:bottom w:type="dxa" w:w="100"/>
              <w:right w:type="dxa" w:w="140"/>
            </w:tcMar>
          </w:tcPr>
          <w:p>
            <w:pPr>
              <w:spacing w:after="0" w:line="264"/>
            </w:pPr>
            <w:r>
              <w:rPr>
                <w:rFonts w:ascii="Calibri" w:cs="Calibri" w:eastAsia="Calibri" w:hAnsi="Calibri"/>
                <w:b/>
                <w:bCs/>
                <w:color w:val="FFFFFF"/>
                <w:sz w:val="20"/>
                <w:szCs w:val="20"/>
              </w:rPr>
              <w:t xml:space="preserve">Layer</w:t>
            </w:r>
          </w:p>
        </w:tc>
        <w:tc>
          <w:tcPr>
            <w:tcW w:type="dxa" w:w="4700"/>
            <w:shd w:fill="1F4E5C" w:val="clear"/>
            <w:tcMar>
              <w:top w:type="dxa" w:w="100"/>
              <w:left w:type="dxa" w:w="140"/>
              <w:bottom w:type="dxa" w:w="100"/>
              <w:right w:type="dxa" w:w="140"/>
            </w:tcMar>
          </w:tcPr>
          <w:p>
            <w:pPr>
              <w:spacing w:after="0" w:line="264"/>
            </w:pPr>
            <w:r>
              <w:rPr>
                <w:rFonts w:ascii="Calibri" w:cs="Calibri" w:eastAsia="Calibri" w:hAnsi="Calibri"/>
                <w:b/>
                <w:bCs/>
                <w:color w:val="FFFFFF"/>
                <w:sz w:val="20"/>
                <w:szCs w:val="20"/>
              </w:rPr>
              <w:t xml:space="preserve">What it holds</w:t>
            </w:r>
          </w:p>
        </w:tc>
        <w:tc>
          <w:tcPr>
            <w:tcW w:type="dxa" w:w="3160"/>
            <w:shd w:fill="1F4E5C" w:val="clear"/>
            <w:tcMar>
              <w:top w:type="dxa" w:w="100"/>
              <w:left w:type="dxa" w:w="140"/>
              <w:bottom w:type="dxa" w:w="100"/>
              <w:right w:type="dxa" w:w="140"/>
            </w:tcMar>
          </w:tcPr>
          <w:p>
            <w:pPr>
              <w:spacing w:after="0" w:line="264"/>
            </w:pPr>
            <w:r>
              <w:rPr>
                <w:rFonts w:ascii="Calibri" w:cs="Calibri" w:eastAsia="Calibri" w:hAnsi="Calibri"/>
                <w:b/>
                <w:bCs/>
                <w:color w:val="FFFFFF"/>
                <w:sz w:val="20"/>
                <w:szCs w:val="20"/>
              </w:rPr>
              <w:t xml:space="preserve">Who else has it</w:t>
            </w:r>
          </w:p>
        </w:tc>
      </w:tr>
      <w:tr>
        <w:tc>
          <w:tcPr>
            <w:tcW w:type="dxa" w:w="1500"/>
            <w:shd w:fill="FFFFFF" w:val="clear"/>
            <w:tcMar>
              <w:top w:type="dxa" w:w="100"/>
              <w:left w:type="dxa" w:w="140"/>
              <w:bottom w:type="dxa" w:w="100"/>
              <w:right w:type="dxa" w:w="140"/>
            </w:tcMar>
          </w:tcPr>
          <w:p>
            <w:pPr>
              <w:spacing w:after="0" w:line="264"/>
            </w:pPr>
            <w:r>
              <w:rPr>
                <w:rFonts w:ascii="Calibri" w:cs="Calibri" w:eastAsia="Calibri" w:hAnsi="Calibri"/>
                <w:b/>
                <w:bCs/>
                <w:color w:val="222222"/>
                <w:sz w:val="20"/>
                <w:szCs w:val="20"/>
              </w:rPr>
              <w:t xml:space="preserve">Semantic</w:t>
            </w:r>
          </w:p>
        </w:tc>
        <w:tc>
          <w:tcPr>
            <w:tcW w:type="dxa" w:w="4700"/>
            <w:shd w:fill="FFFFFF" w:val="clear"/>
            <w:tcMar>
              <w:top w:type="dxa" w:w="100"/>
              <w:left w:type="dxa" w:w="140"/>
              <w:bottom w:type="dxa" w:w="100"/>
              <w:right w:type="dxa" w:w="140"/>
            </w:tcMar>
          </w:tcPr>
          <w:p>
            <w:pPr>
              <w:spacing w:after="0" w:line="264"/>
            </w:pPr>
            <w:r>
              <w:rPr>
                <w:rFonts w:ascii="Calibri" w:cs="Calibri" w:eastAsia="Calibri" w:hAnsi="Calibri"/>
                <w:b w:val="false"/>
                <w:bCs w:val="false"/>
                <w:color w:val="222222"/>
                <w:sz w:val="20"/>
                <w:szCs w:val="20"/>
              </w:rPr>
              <w:t xml:space="preserve">What things are: object types, properties, link types. The nouns.</w:t>
            </w:r>
          </w:p>
        </w:tc>
        <w:tc>
          <w:tcPr>
            <w:tcW w:type="dxa" w:w="3160"/>
            <w:shd w:fill="FFFFFF" w:val="clear"/>
            <w:tcMar>
              <w:top w:type="dxa" w:w="100"/>
              <w:left w:type="dxa" w:w="140"/>
              <w:bottom w:type="dxa" w:w="100"/>
              <w:right w:type="dxa" w:w="140"/>
            </w:tcMar>
          </w:tcPr>
          <w:p>
            <w:pPr>
              <w:spacing w:after="0" w:line="264"/>
            </w:pPr>
            <w:r>
              <w:rPr>
                <w:rFonts w:ascii="Calibri" w:cs="Calibri" w:eastAsia="Calibri" w:hAnsi="Calibri"/>
                <w:b w:val="false"/>
                <w:bCs w:val="false"/>
                <w:color w:val="222222"/>
                <w:sz w:val="20"/>
                <w:szCs w:val="20"/>
              </w:rPr>
              <w:t xml:space="preserve">dbt Semantic Layer, Cube, Snowflake Semantic Views</w:t>
            </w:r>
          </w:p>
        </w:tc>
      </w:tr>
      <w:tr>
        <w:tc>
          <w:tcPr>
            <w:tcW w:type="dxa" w:w="1500"/>
            <w:shd w:fill="F4F7F9" w:val="clear"/>
            <w:tcMar>
              <w:top w:type="dxa" w:w="100"/>
              <w:left w:type="dxa" w:w="140"/>
              <w:bottom w:type="dxa" w:w="100"/>
              <w:right w:type="dxa" w:w="140"/>
            </w:tcMar>
          </w:tcPr>
          <w:p>
            <w:pPr>
              <w:spacing w:after="0" w:line="264"/>
            </w:pPr>
            <w:r>
              <w:rPr>
                <w:rFonts w:ascii="Calibri" w:cs="Calibri" w:eastAsia="Calibri" w:hAnsi="Calibri"/>
                <w:b/>
                <w:bCs/>
                <w:color w:val="222222"/>
                <w:sz w:val="20"/>
                <w:szCs w:val="20"/>
              </w:rPr>
              <w:t xml:space="preserve">Kinetic</w:t>
            </w:r>
          </w:p>
        </w:tc>
        <w:tc>
          <w:tcPr>
            <w:tcW w:type="dxa" w:w="4700"/>
            <w:shd w:fill="F4F7F9" w:val="clear"/>
            <w:tcMar>
              <w:top w:type="dxa" w:w="100"/>
              <w:left w:type="dxa" w:w="140"/>
              <w:bottom w:type="dxa" w:w="100"/>
              <w:right w:type="dxa" w:w="140"/>
            </w:tcMar>
          </w:tcPr>
          <w:p>
            <w:pPr>
              <w:spacing w:after="0" w:line="264"/>
            </w:pPr>
            <w:r>
              <w:rPr>
                <w:rFonts w:ascii="Calibri" w:cs="Calibri" w:eastAsia="Calibri" w:hAnsi="Calibri"/>
                <w:b w:val="false"/>
                <w:bCs w:val="false"/>
                <w:color w:val="222222"/>
                <w:sz w:val="20"/>
                <w:szCs w:val="20"/>
              </w:rPr>
              <w:t xml:space="preserve">What you can do: action types and functions. The verbs.</w:t>
            </w:r>
          </w:p>
        </w:tc>
        <w:tc>
          <w:tcPr>
            <w:tcW w:type="dxa" w:w="3160"/>
            <w:shd w:fill="F4F7F9" w:val="clear"/>
            <w:tcMar>
              <w:top w:type="dxa" w:w="100"/>
              <w:left w:type="dxa" w:w="140"/>
              <w:bottom w:type="dxa" w:w="100"/>
              <w:right w:type="dxa" w:w="140"/>
            </w:tcMar>
          </w:tcPr>
          <w:p>
            <w:pPr>
              <w:spacing w:after="0" w:line="264"/>
            </w:pPr>
            <w:r>
              <w:rPr>
                <w:rFonts w:ascii="Calibri" w:cs="Calibri" w:eastAsia="Calibri" w:hAnsi="Calibri"/>
                <w:b w:val="false"/>
                <w:bCs w:val="false"/>
                <w:color w:val="222222"/>
                <w:sz w:val="20"/>
                <w:szCs w:val="20"/>
              </w:rPr>
              <w:t xml:space="preserve">Nobody. This is the whitespace.</w:t>
            </w:r>
          </w:p>
        </w:tc>
      </w:tr>
      <w:tr>
        <w:tc>
          <w:tcPr>
            <w:tcW w:type="dxa" w:w="1500"/>
            <w:shd w:fill="FFFFFF" w:val="clear"/>
            <w:tcMar>
              <w:top w:type="dxa" w:w="100"/>
              <w:left w:type="dxa" w:w="140"/>
              <w:bottom w:type="dxa" w:w="100"/>
              <w:right w:type="dxa" w:w="140"/>
            </w:tcMar>
          </w:tcPr>
          <w:p>
            <w:pPr>
              <w:spacing w:after="0" w:line="264"/>
            </w:pPr>
            <w:r>
              <w:rPr>
                <w:rFonts w:ascii="Calibri" w:cs="Calibri" w:eastAsia="Calibri" w:hAnsi="Calibri"/>
                <w:b/>
                <w:bCs/>
                <w:color w:val="222222"/>
                <w:sz w:val="20"/>
                <w:szCs w:val="20"/>
              </w:rPr>
              <w:t xml:space="preserve">Dynamic</w:t>
            </w:r>
          </w:p>
        </w:tc>
        <w:tc>
          <w:tcPr>
            <w:tcW w:type="dxa" w:w="4700"/>
            <w:shd w:fill="FFFFFF" w:val="clear"/>
            <w:tcMar>
              <w:top w:type="dxa" w:w="100"/>
              <w:left w:type="dxa" w:w="140"/>
              <w:bottom w:type="dxa" w:w="100"/>
              <w:right w:type="dxa" w:w="140"/>
            </w:tcMar>
          </w:tcPr>
          <w:p>
            <w:pPr>
              <w:spacing w:after="0" w:line="264"/>
            </w:pPr>
            <w:r>
              <w:rPr>
                <w:rFonts w:ascii="Calibri" w:cs="Calibri" w:eastAsia="Calibri" w:hAnsi="Calibri"/>
                <w:b w:val="false"/>
                <w:bCs w:val="false"/>
                <w:color w:val="222222"/>
                <w:sz w:val="20"/>
                <w:szCs w:val="20"/>
              </w:rPr>
              <w:t xml:space="preserve">Granular security, governance tracking, version control over every element.</w:t>
            </w:r>
          </w:p>
        </w:tc>
        <w:tc>
          <w:tcPr>
            <w:tcW w:type="dxa" w:w="3160"/>
            <w:shd w:fill="FFFFFF" w:val="clear"/>
            <w:tcMar>
              <w:top w:type="dxa" w:w="100"/>
              <w:left w:type="dxa" w:w="140"/>
              <w:bottom w:type="dxa" w:w="100"/>
              <w:right w:type="dxa" w:w="140"/>
            </w:tcMar>
          </w:tcPr>
          <w:p>
            <w:pPr>
              <w:spacing w:after="0" w:line="264"/>
            </w:pPr>
            <w:r>
              <w:rPr>
                <w:rFonts w:ascii="Calibri" w:cs="Calibri" w:eastAsia="Calibri" w:hAnsi="Calibri"/>
                <w:b w:val="false"/>
                <w:bCs w:val="false"/>
                <w:color w:val="222222"/>
                <w:sz w:val="20"/>
                <w:szCs w:val="20"/>
              </w:rPr>
              <w:t xml:space="preserve">Partially — catalogues do some of it</w:t>
            </w:r>
          </w:p>
        </w:tc>
      </w:tr>
    </w:tbl>
    <w:p>
      <w:pPr>
        <w:spacing w:after="200"/>
      </w:pPr>
    </w:p>
    <w:p>
      <w:pPr>
        <w:pStyle w:val="Heading2"/>
        <w:spacing w:after="140" w:before="320"/>
      </w:pPr>
      <w:r>
        <w:rPr>
          <w:rFonts w:ascii="Calibri" w:cs="Calibri" w:eastAsia="Calibri" w:hAnsi="Calibri"/>
          <w:b/>
          <w:bCs/>
          <w:color w:val="1F4E5C"/>
          <w:sz w:val="26"/>
          <w:szCs w:val="26"/>
        </w:rPr>
        <w:t xml:space="preserve">The mapping table — memorise this and the mystery evaporates</w:t>
      </w:r>
    </w:p>
    <w:tbl>
      <w:tblPr>
        <w:tblW w:type="dxa" w:w="9360"/>
        <w:tblBorders>
          <w:top w:val="single" w:color="C9D3D9" w:sz="2"/>
          <w:left w:val="single" w:color="C9D3D9" w:sz="2"/>
          <w:bottom w:val="single" w:color="C9D3D9" w:sz="2"/>
          <w:right w:val="single" w:color="C9D3D9" w:sz="2"/>
          <w:insideH w:val="single" w:color="C9D3D9" w:sz="2"/>
          <w:insideV w:val="single" w:color="C9D3D9" w:sz="2"/>
        </w:tblBorders>
      </w:tblPr>
      <w:tblGrid>
        <w:gridCol w:w="4680"/>
        <w:gridCol w:w="4680"/>
      </w:tblGrid>
      <w:tr>
        <w:trPr>
          <w:tblHeader/>
        </w:trPr>
        <w:tc>
          <w:tcPr>
            <w:tcW w:type="dxa" w:w="4680"/>
            <w:shd w:fill="1F4E5C" w:val="clear"/>
            <w:tcMar>
              <w:top w:type="dxa" w:w="100"/>
              <w:left w:type="dxa" w:w="140"/>
              <w:bottom w:type="dxa" w:w="100"/>
              <w:right w:type="dxa" w:w="140"/>
            </w:tcMar>
          </w:tcPr>
          <w:p>
            <w:pPr>
              <w:spacing w:after="0" w:line="264"/>
            </w:pPr>
            <w:r>
              <w:rPr>
                <w:rFonts w:ascii="Calibri" w:cs="Calibri" w:eastAsia="Calibri" w:hAnsi="Calibri"/>
                <w:b/>
                <w:bCs/>
                <w:color w:val="FFFFFF"/>
                <w:sz w:val="20"/>
                <w:szCs w:val="20"/>
              </w:rPr>
              <w:t xml:space="preserve">In your database</w:t>
            </w:r>
          </w:p>
        </w:tc>
        <w:tc>
          <w:tcPr>
            <w:tcW w:type="dxa" w:w="4680"/>
            <w:shd w:fill="1F4E5C" w:val="clear"/>
            <w:tcMar>
              <w:top w:type="dxa" w:w="100"/>
              <w:left w:type="dxa" w:w="140"/>
              <w:bottom w:type="dxa" w:w="100"/>
              <w:right w:type="dxa" w:w="140"/>
            </w:tcMar>
          </w:tcPr>
          <w:p>
            <w:pPr>
              <w:spacing w:after="0" w:line="264"/>
            </w:pPr>
            <w:r>
              <w:rPr>
                <w:rFonts w:ascii="Calibri" w:cs="Calibri" w:eastAsia="Calibri" w:hAnsi="Calibri"/>
                <w:b/>
                <w:bCs/>
                <w:color w:val="FFFFFF"/>
                <w:sz w:val="20"/>
                <w:szCs w:val="20"/>
              </w:rPr>
              <w:t xml:space="preserve">In the Ontology</w:t>
            </w:r>
          </w:p>
        </w:tc>
      </w:tr>
      <w:tr>
        <w:tc>
          <w:tcPr>
            <w:tcW w:type="dxa" w:w="4680"/>
            <w:shd w:fill="FFFFFF" w:val="clear"/>
            <w:tcMar>
              <w:top w:type="dxa" w:w="100"/>
              <w:left w:type="dxa" w:w="140"/>
              <w:bottom w:type="dxa" w:w="100"/>
              <w:right w:type="dxa" w:w="140"/>
            </w:tcMar>
          </w:tcPr>
          <w:p>
            <w:pPr>
              <w:spacing w:after="0" w:line="264"/>
            </w:pPr>
            <w:r>
              <w:rPr>
                <w:rFonts w:ascii="Calibri" w:cs="Calibri" w:eastAsia="Calibri" w:hAnsi="Calibri"/>
                <w:b/>
                <w:bCs/>
                <w:color w:val="222222"/>
                <w:sz w:val="20"/>
                <w:szCs w:val="20"/>
              </w:rPr>
              <w:t xml:space="preserve">Table</w:t>
            </w:r>
          </w:p>
        </w:tc>
        <w:tc>
          <w:tcPr>
            <w:tcW w:type="dxa" w:w="4680"/>
            <w:shd w:fill="FFFFFF" w:val="clear"/>
            <w:tcMar>
              <w:top w:type="dxa" w:w="100"/>
              <w:left w:type="dxa" w:w="140"/>
              <w:bottom w:type="dxa" w:w="100"/>
              <w:right w:type="dxa" w:w="140"/>
            </w:tcMar>
          </w:tcPr>
          <w:p>
            <w:pPr>
              <w:spacing w:after="0" w:line="264"/>
            </w:pPr>
            <w:r>
              <w:rPr>
                <w:rFonts w:ascii="Calibri" w:cs="Calibri" w:eastAsia="Calibri" w:hAnsi="Calibri"/>
                <w:b w:val="false"/>
                <w:bCs w:val="false"/>
                <w:color w:val="222222"/>
                <w:sz w:val="20"/>
                <w:szCs w:val="20"/>
              </w:rPr>
              <w:t xml:space="preserve">Object type</w:t>
            </w:r>
          </w:p>
        </w:tc>
      </w:tr>
      <w:tr>
        <w:tc>
          <w:tcPr>
            <w:tcW w:type="dxa" w:w="4680"/>
            <w:shd w:fill="F4F7F9" w:val="clear"/>
            <w:tcMar>
              <w:top w:type="dxa" w:w="100"/>
              <w:left w:type="dxa" w:w="140"/>
              <w:bottom w:type="dxa" w:w="100"/>
              <w:right w:type="dxa" w:w="140"/>
            </w:tcMar>
          </w:tcPr>
          <w:p>
            <w:pPr>
              <w:spacing w:after="0" w:line="264"/>
            </w:pPr>
            <w:r>
              <w:rPr>
                <w:rFonts w:ascii="Calibri" w:cs="Calibri" w:eastAsia="Calibri" w:hAnsi="Calibri"/>
                <w:b/>
                <w:bCs/>
                <w:color w:val="222222"/>
                <w:sz w:val="20"/>
                <w:szCs w:val="20"/>
              </w:rPr>
              <w:t xml:space="preserve">Row</w:t>
            </w:r>
          </w:p>
        </w:tc>
        <w:tc>
          <w:tcPr>
            <w:tcW w:type="dxa" w:w="4680"/>
            <w:shd w:fill="F4F7F9" w:val="clear"/>
            <w:tcMar>
              <w:top w:type="dxa" w:w="100"/>
              <w:left w:type="dxa" w:w="140"/>
              <w:bottom w:type="dxa" w:w="100"/>
              <w:right w:type="dxa" w:w="140"/>
            </w:tcMar>
          </w:tcPr>
          <w:p>
            <w:pPr>
              <w:spacing w:after="0" w:line="264"/>
            </w:pPr>
            <w:r>
              <w:rPr>
                <w:rFonts w:ascii="Calibri" w:cs="Calibri" w:eastAsia="Calibri" w:hAnsi="Calibri"/>
                <w:b w:val="false"/>
                <w:bCs w:val="false"/>
                <w:color w:val="222222"/>
                <w:sz w:val="20"/>
                <w:szCs w:val="20"/>
              </w:rPr>
              <w:t xml:space="preserve">Object</w:t>
            </w:r>
          </w:p>
        </w:tc>
      </w:tr>
      <w:tr>
        <w:tc>
          <w:tcPr>
            <w:tcW w:type="dxa" w:w="4680"/>
            <w:shd w:fill="FFFFFF" w:val="clear"/>
            <w:tcMar>
              <w:top w:type="dxa" w:w="100"/>
              <w:left w:type="dxa" w:w="140"/>
              <w:bottom w:type="dxa" w:w="100"/>
              <w:right w:type="dxa" w:w="140"/>
            </w:tcMar>
          </w:tcPr>
          <w:p>
            <w:pPr>
              <w:spacing w:after="0" w:line="264"/>
            </w:pPr>
            <w:r>
              <w:rPr>
                <w:rFonts w:ascii="Calibri" w:cs="Calibri" w:eastAsia="Calibri" w:hAnsi="Calibri"/>
                <w:b/>
                <w:bCs/>
                <w:color w:val="222222"/>
                <w:sz w:val="20"/>
                <w:szCs w:val="20"/>
              </w:rPr>
              <w:t xml:space="preserve">Column</w:t>
            </w:r>
          </w:p>
        </w:tc>
        <w:tc>
          <w:tcPr>
            <w:tcW w:type="dxa" w:w="4680"/>
            <w:shd w:fill="FFFFFF" w:val="clear"/>
            <w:tcMar>
              <w:top w:type="dxa" w:w="100"/>
              <w:left w:type="dxa" w:w="140"/>
              <w:bottom w:type="dxa" w:w="100"/>
              <w:right w:type="dxa" w:w="140"/>
            </w:tcMar>
          </w:tcPr>
          <w:p>
            <w:pPr>
              <w:spacing w:after="0" w:line="264"/>
            </w:pPr>
            <w:r>
              <w:rPr>
                <w:rFonts w:ascii="Calibri" w:cs="Calibri" w:eastAsia="Calibri" w:hAnsi="Calibri"/>
                <w:b w:val="false"/>
                <w:bCs w:val="false"/>
                <w:color w:val="222222"/>
                <w:sz w:val="20"/>
                <w:szCs w:val="20"/>
              </w:rPr>
              <w:t xml:space="preserve">Property</w:t>
            </w:r>
          </w:p>
        </w:tc>
      </w:tr>
      <w:tr>
        <w:tc>
          <w:tcPr>
            <w:tcW w:type="dxa" w:w="4680"/>
            <w:shd w:fill="F4F7F9" w:val="clear"/>
            <w:tcMar>
              <w:top w:type="dxa" w:w="100"/>
              <w:left w:type="dxa" w:w="140"/>
              <w:bottom w:type="dxa" w:w="100"/>
              <w:right w:type="dxa" w:w="140"/>
            </w:tcMar>
          </w:tcPr>
          <w:p>
            <w:pPr>
              <w:spacing w:after="0" w:line="264"/>
            </w:pPr>
            <w:r>
              <w:rPr>
                <w:rFonts w:ascii="Calibri" w:cs="Calibri" w:eastAsia="Calibri" w:hAnsi="Calibri"/>
                <w:b/>
                <w:bCs/>
                <w:color w:val="222222"/>
                <w:sz w:val="20"/>
                <w:szCs w:val="20"/>
              </w:rPr>
              <w:t xml:space="preserve">Field value</w:t>
            </w:r>
          </w:p>
        </w:tc>
        <w:tc>
          <w:tcPr>
            <w:tcW w:type="dxa" w:w="4680"/>
            <w:shd w:fill="F4F7F9" w:val="clear"/>
            <w:tcMar>
              <w:top w:type="dxa" w:w="100"/>
              <w:left w:type="dxa" w:w="140"/>
              <w:bottom w:type="dxa" w:w="100"/>
              <w:right w:type="dxa" w:w="140"/>
            </w:tcMar>
          </w:tcPr>
          <w:p>
            <w:pPr>
              <w:spacing w:after="0" w:line="264"/>
            </w:pPr>
            <w:r>
              <w:rPr>
                <w:rFonts w:ascii="Calibri" w:cs="Calibri" w:eastAsia="Calibri" w:hAnsi="Calibri"/>
                <w:b w:val="false"/>
                <w:bCs w:val="false"/>
                <w:color w:val="222222"/>
                <w:sz w:val="20"/>
                <w:szCs w:val="20"/>
              </w:rPr>
              <w:t xml:space="preserve">Property value</w:t>
            </w:r>
          </w:p>
        </w:tc>
      </w:tr>
      <w:tr>
        <w:tc>
          <w:tcPr>
            <w:tcW w:type="dxa" w:w="4680"/>
            <w:shd w:fill="FFFFFF" w:val="clear"/>
            <w:tcMar>
              <w:top w:type="dxa" w:w="100"/>
              <w:left w:type="dxa" w:w="140"/>
              <w:bottom w:type="dxa" w:w="100"/>
              <w:right w:type="dxa" w:w="140"/>
            </w:tcMar>
          </w:tcPr>
          <w:p>
            <w:pPr>
              <w:spacing w:after="0" w:line="264"/>
            </w:pPr>
            <w:r>
              <w:rPr>
                <w:rFonts w:ascii="Calibri" w:cs="Calibri" w:eastAsia="Calibri" w:hAnsi="Calibri"/>
                <w:b/>
                <w:bCs/>
                <w:color w:val="222222"/>
                <w:sz w:val="20"/>
                <w:szCs w:val="20"/>
              </w:rPr>
              <w:t xml:space="preserve">Join</w:t>
            </w:r>
          </w:p>
        </w:tc>
        <w:tc>
          <w:tcPr>
            <w:tcW w:type="dxa" w:w="4680"/>
            <w:shd w:fill="FFFFFF" w:val="clear"/>
            <w:tcMar>
              <w:top w:type="dxa" w:w="100"/>
              <w:left w:type="dxa" w:w="140"/>
              <w:bottom w:type="dxa" w:w="100"/>
              <w:right w:type="dxa" w:w="140"/>
            </w:tcMar>
          </w:tcPr>
          <w:p>
            <w:pPr>
              <w:spacing w:after="0" w:line="264"/>
            </w:pPr>
            <w:r>
              <w:rPr>
                <w:rFonts w:ascii="Calibri" w:cs="Calibri" w:eastAsia="Calibri" w:hAnsi="Calibri"/>
                <w:b w:val="false"/>
                <w:bCs w:val="false"/>
                <w:color w:val="222222"/>
                <w:sz w:val="20"/>
                <w:szCs w:val="20"/>
              </w:rPr>
              <w:t xml:space="preserve">Link type</w:t>
            </w:r>
          </w:p>
        </w:tc>
      </w:tr>
    </w:tbl>
    <w:p>
      <w:pPr>
        <w:spacing w:after="200"/>
      </w:pPr>
    </w:p>
    <w:p>
      <w:pPr>
        <w:spacing w:after="160" w:line="288"/>
      </w:pPr>
      <w:r>
        <w:rPr>
          <w:rFonts w:ascii="Calibri" w:cs="Calibri" w:eastAsia="Calibri" w:hAnsi="Calibri"/>
          <w:sz w:val="22"/>
          <w:szCs w:val="22"/>
        </w:rPr>
        <w:t xml:space="preserve">So the Ontology is, structurally, </w:t>
      </w:r>
      <w:r>
        <w:rPr>
          <w:rFonts w:ascii="Calibri" w:cs="Calibri" w:eastAsia="Calibri" w:hAnsi="Calibri"/>
          <w:i/>
          <w:iCs/>
          <w:sz w:val="22"/>
          <w:szCs w:val="22"/>
        </w:rPr>
        <w:t xml:space="preserve">a named, governed, permissioned, API-exposed view over your database tables</w:t>
      </w:r>
      <w:r>
        <w:rPr>
          <w:rFonts w:ascii="Calibri" w:cs="Calibri" w:eastAsia="Calibri" w:hAnsi="Calibri"/>
          <w:sz w:val="22"/>
          <w:szCs w:val="22"/>
        </w:rPr>
        <w:t xml:space="preserve">. That is far less magical than the marketing — and far more useful than it sounds, because naming the entity and the join </w:t>
      </w:r>
      <w:r>
        <w:rPr>
          <w:rFonts w:ascii="Calibri" w:cs="Calibri" w:eastAsia="Calibri" w:hAnsi="Calibri"/>
          <w:b/>
          <w:bCs/>
          <w:sz w:val="22"/>
          <w:szCs w:val="22"/>
        </w:rPr>
        <w:t xml:space="preserve">once, centrally</w:t>
      </w:r>
      <w:r>
        <w:rPr>
          <w:rFonts w:ascii="Calibri" w:cs="Calibri" w:eastAsia="Calibri" w:hAnsi="Calibri"/>
          <w:sz w:val="22"/>
          <w:szCs w:val="22"/>
        </w:rPr>
        <w:t xml:space="preserve">, is exactly what stops every downstream consumer (a dashboard, an app, an LLM) from re-deriving the business logic slightly differently and disagreeing with each other.</w:t>
      </w:r>
    </w:p>
    <w:p>
      <w:pPr>
        <w:pStyle w:val="Heading2"/>
        <w:spacing w:after="140" w:before="320"/>
      </w:pPr>
      <w:r>
        <w:rPr>
          <w:rFonts w:ascii="Calibri" w:cs="Calibri" w:eastAsia="Calibri" w:hAnsi="Calibri"/>
          <w:b/>
          <w:bCs/>
          <w:color w:val="1F4E5C"/>
          <w:sz w:val="26"/>
          <w:szCs w:val="26"/>
        </w:rPr>
        <w:t xml:space="preserve">The primitives, precisely</w:t>
      </w:r>
    </w:p>
    <w:p>
      <w:pPr>
        <w:pStyle w:val="ListParagraph"/>
        <w:numPr>
          <w:ilvl w:val="0"/>
          <w:numId w:val="2"/>
        </w:numPr>
        <w:spacing w:after="90" w:line="288"/>
      </w:pPr>
      <w:r>
        <w:rPr>
          <w:rFonts w:ascii="Calibri" w:cs="Calibri" w:eastAsia="Calibri" w:hAnsi="Calibri"/>
          <w:b/>
          <w:bCs/>
          <w:sz w:val="22"/>
          <w:szCs w:val="22"/>
        </w:rPr>
        <w:t xml:space="preserve">Object type</w:t>
      </w:r>
      <w:r>
        <w:rPr>
          <w:rFonts w:ascii="Calibri" w:cs="Calibri" w:eastAsia="Calibri" w:hAnsi="Calibri"/>
          <w:sz w:val="22"/>
          <w:szCs w:val="22"/>
        </w:rPr>
        <w:t xml:space="preserve"> — the schema for a real-world entity or event. Instances are objects; collections are object sets, and object sets are the currency passed between applications.</w:t>
      </w:r>
    </w:p>
    <w:p>
      <w:pPr>
        <w:pStyle w:val="ListParagraph"/>
        <w:numPr>
          <w:ilvl w:val="0"/>
          <w:numId w:val="2"/>
        </w:numPr>
        <w:spacing w:after="90" w:line="288"/>
      </w:pPr>
      <w:r>
        <w:rPr>
          <w:rFonts w:ascii="Calibri" w:cs="Calibri" w:eastAsia="Calibri" w:hAnsi="Calibri"/>
          <w:b/>
          <w:bCs/>
          <w:sz w:val="22"/>
          <w:szCs w:val="22"/>
        </w:rPr>
        <w:t xml:space="preserve">Property</w:t>
      </w:r>
      <w:r>
        <w:rPr>
          <w:rFonts w:ascii="Calibri" w:cs="Calibri" w:eastAsia="Calibri" w:hAnsi="Calibri"/>
          <w:sz w:val="22"/>
          <w:szCs w:val="22"/>
        </w:rPr>
        <w:t xml:space="preserve"> — the schema for a characteristic. Shared properties are reusable across object types for consistent modelling.</w:t>
      </w:r>
    </w:p>
    <w:p>
      <w:pPr>
        <w:pStyle w:val="ListParagraph"/>
        <w:numPr>
          <w:ilvl w:val="0"/>
          <w:numId w:val="2"/>
        </w:numPr>
        <w:spacing w:after="90" w:line="288"/>
      </w:pPr>
      <w:r>
        <w:rPr>
          <w:rFonts w:ascii="Calibri" w:cs="Calibri" w:eastAsia="Calibri" w:hAnsi="Calibri"/>
          <w:b/>
          <w:bCs/>
          <w:sz w:val="22"/>
          <w:szCs w:val="22"/>
        </w:rPr>
        <w:t xml:space="preserve">Link type</w:t>
      </w:r>
      <w:r>
        <w:rPr>
          <w:rFonts w:ascii="Calibri" w:cs="Calibri" w:eastAsia="Calibri" w:hAnsi="Calibri"/>
          <w:sz w:val="22"/>
          <w:szCs w:val="22"/>
        </w:rPr>
        <w:t xml:space="preserve"> — the schema for a relationship. One-to-one, one-to-many and many-to-many are all supported.</w:t>
      </w:r>
    </w:p>
    <w:p>
      <w:pPr>
        <w:pStyle w:val="ListParagraph"/>
        <w:numPr>
          <w:ilvl w:val="0"/>
          <w:numId w:val="2"/>
        </w:numPr>
        <w:spacing w:after="90" w:line="288"/>
      </w:pPr>
      <w:r>
        <w:rPr>
          <w:rFonts w:ascii="Calibri" w:cs="Calibri" w:eastAsia="Calibri" w:hAnsi="Calibri"/>
          <w:b/>
          <w:bCs/>
          <w:sz w:val="22"/>
          <w:szCs w:val="22"/>
        </w:rPr>
        <w:t xml:space="preserve">Interface</w:t>
      </w:r>
      <w:r>
        <w:rPr>
          <w:rFonts w:ascii="Calibri" w:cs="Calibri" w:eastAsia="Calibri" w:hAnsi="Calibri"/>
          <w:sz w:val="22"/>
          <w:szCs w:val="22"/>
        </w:rPr>
        <w:t xml:space="preserve"> — describes a shape or capability across several object types, enabling polymorphism: “anything that is Reviewable”.</w:t>
      </w:r>
    </w:p>
    <w:p>
      <w:pPr>
        <w:pStyle w:val="ListParagraph"/>
        <w:numPr>
          <w:ilvl w:val="0"/>
          <w:numId w:val="2"/>
        </w:numPr>
        <w:spacing w:after="90" w:line="288"/>
      </w:pPr>
      <w:r>
        <w:rPr>
          <w:rFonts w:ascii="Calibri" w:cs="Calibri" w:eastAsia="Calibri" w:hAnsi="Calibri"/>
          <w:b/>
          <w:bCs/>
          <w:sz w:val="22"/>
          <w:szCs w:val="22"/>
        </w:rPr>
        <w:t xml:space="preserve">Action type</w:t>
      </w:r>
      <w:r>
        <w:rPr>
          <w:rFonts w:ascii="Calibri" w:cs="Calibri" w:eastAsia="Calibri" w:hAnsi="Calibri"/>
          <w:sz w:val="22"/>
          <w:szCs w:val="22"/>
        </w:rPr>
        <w:t xml:space="preserve"> — a transactional set of edits applied atomically. Has typed parameters, rules describing what changes, submission criteria (validation, plus who may submit), and side effects (notifications, webhooks, function calls). Every edit lands in a writeback dataset and is recorded in edit history.</w:t>
      </w:r>
    </w:p>
    <w:p>
      <w:pPr>
        <w:pStyle w:val="ListParagraph"/>
        <w:numPr>
          <w:ilvl w:val="0"/>
          <w:numId w:val="2"/>
        </w:numPr>
        <w:spacing w:after="90" w:line="288"/>
      </w:pPr>
      <w:r>
        <w:rPr>
          <w:rFonts w:ascii="Calibri" w:cs="Calibri" w:eastAsia="Calibri" w:hAnsi="Calibri"/>
          <w:b/>
          <w:bCs/>
          <w:sz w:val="22"/>
          <w:szCs w:val="22"/>
        </w:rPr>
        <w:t xml:space="preserve">Function</w:t>
      </w:r>
      <w:r>
        <w:rPr>
          <w:rFonts w:ascii="Calibri" w:cs="Calibri" w:eastAsia="Calibri" w:hAnsi="Calibri"/>
          <w:sz w:val="22"/>
          <w:szCs w:val="22"/>
        </w:rPr>
        <w:t xml:space="preserve"> — arbitrary business logic that takes objects as input, traverses links, and returns objects or proposed edits.</w:t>
      </w:r>
    </w:p>
    <w:p>
      <w:pPr>
        <w:pStyle w:val="Heading2"/>
        <w:spacing w:after="140" w:before="320"/>
      </w:pPr>
      <w:r>
        <w:rPr>
          <w:rFonts w:ascii="Calibri" w:cs="Calibri" w:eastAsia="Calibri" w:hAnsi="Calibri"/>
          <w:b/>
          <w:bCs/>
          <w:color w:val="1F4E5C"/>
          <w:sz w:val="26"/>
          <w:szCs w:val="26"/>
        </w:rPr>
        <w:t xml:space="preserve">Why “digital twin” is half-defensible</w:t>
      </w:r>
    </w:p>
    <w:p>
      <w:pPr>
        <w:spacing w:after="160" w:line="288"/>
      </w:pPr>
      <w:r>
        <w:rPr>
          <w:rFonts w:ascii="Calibri" w:cs="Calibri" w:eastAsia="Calibri" w:hAnsi="Calibri"/>
          <w:b/>
          <w:bCs/>
          <w:sz w:val="22"/>
          <w:szCs w:val="22"/>
        </w:rPr>
        <w:t xml:space="preserve">Defensible: </w:t>
      </w:r>
      <w:r>
        <w:rPr>
          <w:rFonts w:ascii="Calibri" w:cs="Calibri" w:eastAsia="Calibri" w:hAnsi="Calibri"/>
          <w:sz w:val="22"/>
          <w:szCs w:val="22"/>
        </w:rPr>
        <w:t xml:space="preserve">because actions write back, the ontology holds not just what the world </w:t>
      </w:r>
      <w:r>
        <w:rPr>
          <w:rFonts w:ascii="Calibri" w:cs="Calibri" w:eastAsia="Calibri" w:hAnsi="Calibri"/>
          <w:i/>
          <w:iCs/>
          <w:sz w:val="22"/>
          <w:szCs w:val="22"/>
        </w:rPr>
        <w:t xml:space="preserve">was</w:t>
      </w:r>
      <w:r>
        <w:rPr>
          <w:rFonts w:ascii="Calibri" w:cs="Calibri" w:eastAsia="Calibri" w:hAnsi="Calibri"/>
          <w:sz w:val="22"/>
          <w:szCs w:val="22"/>
        </w:rPr>
        <w:t xml:space="preserve"> (an analytical snapshot) but what people </w:t>
      </w:r>
      <w:r>
        <w:rPr>
          <w:rFonts w:ascii="Calibri" w:cs="Calibri" w:eastAsia="Calibri" w:hAnsi="Calibri"/>
          <w:i/>
          <w:iCs/>
          <w:sz w:val="22"/>
          <w:szCs w:val="22"/>
        </w:rPr>
        <w:t xml:space="preserve">decided</w:t>
      </w:r>
      <w:r>
        <w:rPr>
          <w:rFonts w:ascii="Calibri" w:cs="Calibri" w:eastAsia="Calibri" w:hAnsi="Calibri"/>
          <w:sz w:val="22"/>
          <w:szCs w:val="22"/>
        </w:rPr>
        <w:t xml:space="preserve"> (operational state). Over time it becomes a record of the organisation’s behaviour, not just its data. A warehouse genuinely cannot do that.</w:t>
      </w:r>
    </w:p>
    <w:p>
      <w:pPr>
        <w:spacing w:after="160" w:line="288"/>
      </w:pPr>
      <w:r>
        <w:rPr>
          <w:rFonts w:ascii="Calibri" w:cs="Calibri" w:eastAsia="Calibri" w:hAnsi="Calibri"/>
          <w:b/>
          <w:bCs/>
          <w:sz w:val="22"/>
          <w:szCs w:val="22"/>
        </w:rPr>
        <w:t xml:space="preserve">Not defensible: </w:t>
      </w:r>
      <w:r>
        <w:rPr>
          <w:rFonts w:ascii="Calibri" w:cs="Calibri" w:eastAsia="Calibri" w:hAnsi="Calibri"/>
          <w:sz w:val="22"/>
          <w:szCs w:val="22"/>
        </w:rPr>
        <w:t xml:space="preserve">it is not a simulation, not a physics model and not autonomous. It is a governed CRUD layer with a graph API and good tooling. “Digital twin” is doing marketing work.</w:t>
      </w:r>
    </w:p>
    <w:p>
      <w:pPr>
        <w:pStyle w:val="Heading2"/>
        <w:spacing w:after="140" w:before="320"/>
      </w:pPr>
      <w:r>
        <w:rPr>
          <w:rFonts w:ascii="Calibri" w:cs="Calibri" w:eastAsia="Calibri" w:hAnsi="Calibri"/>
          <w:b/>
          <w:bCs/>
          <w:color w:val="1F4E5C"/>
          <w:sz w:val="26"/>
          <w:szCs w:val="26"/>
        </w:rPr>
        <w:t xml:space="preserve">Why this matters enormously in the AI era</w:t>
      </w:r>
    </w:p>
    <w:p>
      <w:pPr>
        <w:spacing w:after="160" w:line="288"/>
      </w:pPr>
      <w:r>
        <w:rPr>
          <w:rFonts w:ascii="Calibri" w:cs="Calibri" w:eastAsia="Calibri" w:hAnsi="Calibri"/>
          <w:sz w:val="22"/>
          <w:szCs w:val="22"/>
        </w:rPr>
        <w:t xml:space="preserve">An LLM given raw table access hallucinates joins and leaks data. An LLM given object types with typed properties, typed links, and a finite set of permissioned actions has a bounded, typed, auditable tool surface — and the user’s own permissions are enforced on every read and every write.</w:t>
      </w:r>
    </w:p>
    <w:p>
      <w:pPr>
        <w:spacing w:after="160" w:line="288"/>
      </w:pPr>
      <w:r>
        <w:rPr>
          <w:rFonts w:ascii="Calibri" w:cs="Calibri" w:eastAsia="Calibri" w:hAnsi="Calibri"/>
          <w:b/>
          <w:bCs/>
          <w:sz w:val="22"/>
          <w:szCs w:val="22"/>
        </w:rPr>
        <w:t xml:space="preserve">That is the entire thesis, and it is correct.</w:t>
      </w:r>
    </w:p>
    <w:p>
      <w:r>
        <w:br w:type="page"/>
      </w:r>
    </w:p>
    <w:p>
      <w:pPr>
        <w:pStyle w:val="Heading2"/>
        <w:spacing w:after="140" w:before="320"/>
      </w:pPr>
      <w:r>
        <w:rPr>
          <w:rFonts w:ascii="Calibri" w:cs="Calibri" w:eastAsia="Calibri" w:hAnsi="Calibri"/>
          <w:b/>
          <w:bCs/>
          <w:color w:val="1F4E5C"/>
          <w:sz w:val="26"/>
          <w:szCs w:val="26"/>
        </w:rPr>
        <w:t xml:space="preserve">Worked example — what this looks like for a school</w:t>
      </w:r>
    </w:p>
    <w:p>
      <w:pPr>
        <w:spacing w:after="160" w:line="288"/>
      </w:pPr>
      <w:r>
        <w:rPr>
          <w:rFonts w:ascii="Calibri" w:cs="Calibri" w:eastAsia="Calibri" w:hAnsi="Calibri"/>
          <w:sz w:val="22"/>
          <w:szCs w:val="22"/>
        </w:rPr>
        <w:t xml:space="preserve">This is the concrete translation. Nothing here is exotic; most of these objects already exist in some form in a typical school system.</w:t>
      </w:r>
    </w:p>
    <w:tbl>
      <w:tblPr>
        <w:tblW w:type="dxa" w:w="9360"/>
        <w:tblBorders>
          <w:top w:val="single" w:color="C9D3D9" w:sz="2"/>
          <w:left w:val="single" w:color="C9D3D9" w:sz="2"/>
          <w:bottom w:val="single" w:color="C9D3D9" w:sz="2"/>
          <w:right w:val="single" w:color="C9D3D9" w:sz="2"/>
          <w:insideH w:val="none" w:color="FFFFFF" w:sz="0"/>
          <w:insideV w:val="none" w:color="FFFFFF" w:sz="0"/>
        </w:tblBorders>
      </w:tblPr>
      <w:tblGrid>
        <w:gridCol w:w="9360"/>
      </w:tblGrid>
      <w:tr>
        <w:tc>
          <w:tcPr>
            <w:tcW w:type="dxa" w:w="9360"/>
            <w:shd w:fill="F7F8F9" w:val="clear"/>
            <w:tcMar>
              <w:top w:type="dxa" w:w="160"/>
              <w:left w:type="dxa" w:w="200"/>
              <w:bottom w:type="dxa" w:w="160"/>
              <w:right w:type="dxa" w:w="200"/>
            </w:tcMar>
          </w:tcPr>
          <w:p>
            <w:pPr>
              <w:spacing w:after="0" w:line="240"/>
            </w:pPr>
            <w:r>
              <w:rPr>
                <w:rFonts w:ascii="Consolas" w:cs="Consolas" w:eastAsia="Consolas" w:hAnsi="Consolas"/>
                <w:sz w:val="17"/>
                <w:szCs w:val="17"/>
              </w:rPr>
              <w:t xml:space="preserve">OBJECT TYPES</w:t>
            </w:r>
          </w:p>
          <w:p>
            <w:pPr>
              <w:spacing w:after="0" w:line="240"/>
            </w:pPr>
            <w:r>
              <w:rPr>
                <w:rFonts w:ascii="Consolas" w:cs="Consolas" w:eastAsia="Consolas" w:hAnsi="Consolas"/>
                <w:sz w:val="17"/>
                <w:szCs w:val="17"/>
              </w:rPr>
              <w:t xml:space="preserve">  Student        (id, year_group, sen_status [PII], pp_flag [PII], eal)</w:t>
            </w:r>
          </w:p>
          <w:p>
            <w:pPr>
              <w:spacing w:after="0" w:line="240"/>
            </w:pPr>
            <w:r>
              <w:rPr>
                <w:rFonts w:ascii="Consolas" w:cs="Consolas" w:eastAsia="Consolas" w:hAnsi="Consolas"/>
                <w:sz w:val="17"/>
                <w:szCs w:val="17"/>
              </w:rPr>
              <w:t xml:space="preserve">  Class          (id, subject, teacher_id, academic_year)</w:t>
            </w:r>
          </w:p>
          <w:p>
            <w:pPr>
              <w:spacing w:after="0" w:line="240"/>
            </w:pPr>
            <w:r>
              <w:rPr>
                <w:rFonts w:ascii="Consolas" w:cs="Consolas" w:eastAsia="Consolas" w:hAnsi="Consolas"/>
                <w:sz w:val="17"/>
                <w:szCs w:val="17"/>
              </w:rPr>
              <w:t xml:space="preserve">  Teacher        (id, name, department)</w:t>
            </w:r>
          </w:p>
          <w:p>
            <w:pPr>
              <w:spacing w:after="0" w:line="240"/>
            </w:pPr>
            <w:r>
              <w:rPr>
                <w:rFonts w:ascii="Consolas" w:cs="Consolas" w:eastAsia="Consolas" w:hAnsi="Consolas"/>
                <w:sz w:val="17"/>
                <w:szCs w:val="17"/>
              </w:rPr>
              <w:t xml:space="preserve">  Objective      (id, spec_code, subject, topic, tier, ks3_or_gcse)</w:t>
            </w:r>
          </w:p>
          <w:p>
            <w:pPr>
              <w:spacing w:after="0" w:line="240"/>
            </w:pPr>
            <w:r>
              <w:rPr>
                <w:rFonts w:ascii="Consolas" w:cs="Consolas" w:eastAsia="Consolas" w:hAnsi="Consolas"/>
                <w:sz w:val="17"/>
                <w:szCs w:val="17"/>
              </w:rPr>
              <w:t xml:space="preserve">  Question       (id, objective_id, difficulty, marks, type)</w:t>
            </w:r>
          </w:p>
          <w:p>
            <w:pPr>
              <w:spacing w:after="0" w:line="240"/>
            </w:pPr>
            <w:r>
              <w:rPr>
                <w:rFonts w:ascii="Consolas" w:cs="Consolas" w:eastAsia="Consolas" w:hAnsi="Consolas"/>
                <w:sz w:val="17"/>
                <w:szCs w:val="17"/>
              </w:rPr>
              <w:t xml:space="preserve">  Attempt        (id, student_id, question_id, ts, correct, seconds_taken)</w:t>
            </w:r>
          </w:p>
          <w:p>
            <w:pPr>
              <w:spacing w:after="0" w:line="240"/>
            </w:pPr>
            <w:r>
              <w:rPr>
                <w:rFonts w:ascii="Consolas" w:cs="Consolas" w:eastAsia="Consolas" w:hAnsi="Consolas"/>
                <w:sz w:val="17"/>
                <w:szCs w:val="17"/>
              </w:rPr>
              <w:t xml:space="preserve">  MasteryState   (student_id, objective_id, p_known, last_seen, next_due)</w:t>
            </w:r>
          </w:p>
          <w:p>
            <w:pPr>
              <w:spacing w:after="0" w:line="240"/>
            </w:pPr>
            <w:r>
              <w:rPr>
                <w:rFonts w:ascii="Consolas" w:cs="Consolas" w:eastAsia="Consolas" w:hAnsi="Consolas"/>
                <w:sz w:val="17"/>
                <w:szCs w:val="17"/>
              </w:rPr>
              <w:t xml:space="preserve">  Intervention   (id, student_id, type, owner_id, opened_at, status)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LINK TYPES</w:t>
            </w:r>
          </w:p>
          <w:p>
            <w:pPr>
              <w:spacing w:after="0" w:line="240"/>
            </w:pPr>
            <w:r>
              <w:rPr>
                <w:rFonts w:ascii="Consolas" w:cs="Consolas" w:eastAsia="Consolas" w:hAnsi="Consolas"/>
                <w:sz w:val="17"/>
                <w:szCs w:val="17"/>
              </w:rPr>
              <w:t xml:space="preserve">  Student   --enrolled_in--&gt;      Class          (many:many)</w:t>
            </w:r>
          </w:p>
          <w:p>
            <w:pPr>
              <w:spacing w:after="0" w:line="240"/>
            </w:pPr>
            <w:r>
              <w:rPr>
                <w:rFonts w:ascii="Consolas" w:cs="Consolas" w:eastAsia="Consolas" w:hAnsi="Consolas"/>
                <w:sz w:val="17"/>
                <w:szCs w:val="17"/>
              </w:rPr>
              <w:t xml:space="preserve">  Class     --taught_by--&gt;        Teacher        (many:1)</w:t>
            </w:r>
          </w:p>
          <w:p>
            <w:pPr>
              <w:spacing w:after="0" w:line="240"/>
            </w:pPr>
            <w:r>
              <w:rPr>
                <w:rFonts w:ascii="Consolas" w:cs="Consolas" w:eastAsia="Consolas" w:hAnsi="Consolas"/>
                <w:sz w:val="17"/>
                <w:szCs w:val="17"/>
              </w:rPr>
              <w:t xml:space="preserve">  Question  --assesses--&gt;         Objective      (many:1)</w:t>
            </w:r>
          </w:p>
          <w:p>
            <w:pPr>
              <w:spacing w:after="0" w:line="240"/>
            </w:pPr>
            <w:r>
              <w:rPr>
                <w:rFonts w:ascii="Consolas" w:cs="Consolas" w:eastAsia="Consolas" w:hAnsi="Consolas"/>
                <w:sz w:val="17"/>
                <w:szCs w:val="17"/>
              </w:rPr>
              <w:t xml:space="preserve">  Attempt   --by--&gt;               Student        (many:1)</w:t>
            </w:r>
          </w:p>
          <w:p>
            <w:pPr>
              <w:spacing w:after="0" w:line="240"/>
            </w:pPr>
            <w:r>
              <w:rPr>
                <w:rFonts w:ascii="Consolas" w:cs="Consolas" w:eastAsia="Consolas" w:hAnsi="Consolas"/>
                <w:sz w:val="17"/>
                <w:szCs w:val="17"/>
              </w:rPr>
              <w:t xml:space="preserve">  Objective --prerequisite_of--&gt;  Objective      (many:many)   &lt;-- the key one</w:t>
            </w:r>
          </w:p>
          <w:p>
            <w:pPr>
              <w:spacing w:after="0" w:line="240"/>
            </w:pPr>
            <w:r>
              <w:rPr>
                <w:rFonts w:ascii="Consolas" w:cs="Consolas" w:eastAsia="Consolas" w:hAnsi="Consolas"/>
                <w:sz w:val="17"/>
                <w:szCs w:val="17"/>
              </w:rPr>
              <w:t xml:space="preserve">  Student   --has_mastery--&gt;      MasteryState   (1:many)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ACTIONS</w:t>
            </w:r>
          </w:p>
          <w:p>
            <w:pPr>
              <w:spacing w:after="0" w:line="240"/>
            </w:pPr>
            <w:r>
              <w:rPr>
                <w:rFonts w:ascii="Consolas" w:cs="Consolas" w:eastAsia="Consolas" w:hAnsi="Consolas"/>
                <w:sz w:val="17"/>
                <w:szCs w:val="17"/>
              </w:rPr>
              <w:t xml:space="preserve">  logIntervention(student, type, owner, note)</w:t>
            </w:r>
          </w:p>
          <w:p>
            <w:pPr>
              <w:spacing w:after="0" w:line="240"/>
            </w:pPr>
            <w:r>
              <w:rPr>
                <w:rFonts w:ascii="Consolas" w:cs="Consolas" w:eastAsia="Consolas" w:hAnsi="Consolas"/>
                <w:sz w:val="17"/>
                <w:szCs w:val="17"/>
              </w:rPr>
              <w:t xml:space="preserve">      rules:     create Intervention, link to Student, status = open</w:t>
            </w:r>
          </w:p>
          <w:p>
            <w:pPr>
              <w:spacing w:after="0" w:line="240"/>
            </w:pPr>
            <w:r>
              <w:rPr>
                <w:rFonts w:ascii="Consolas" w:cs="Consolas" w:eastAsia="Consolas" w:hAnsi="Consolas"/>
                <w:sz w:val="17"/>
                <w:szCs w:val="17"/>
              </w:rPr>
              <w:t xml:space="preserve">      criteria:  submitter is the student’s teacher OR head of year</w:t>
            </w:r>
          </w:p>
          <w:p>
            <w:pPr>
              <w:spacing w:after="0" w:line="240"/>
            </w:pPr>
            <w:r>
              <w:rPr>
                <w:rFonts w:ascii="Consolas" w:cs="Consolas" w:eastAsia="Consolas" w:hAnsi="Consolas"/>
                <w:sz w:val="17"/>
                <w:szCs w:val="17"/>
              </w:rPr>
              <w:t xml:space="preserve">      effects:   notify head of year; webhook to the MIS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overrideMastery(student, objective, new_value, reason)</w:t>
            </w:r>
          </w:p>
          <w:p>
            <w:pPr>
              <w:spacing w:after="0" w:line="240"/>
            </w:pPr>
            <w:r>
              <w:rPr>
                <w:rFonts w:ascii="Consolas" w:cs="Consolas" w:eastAsia="Consolas" w:hAnsi="Consolas"/>
                <w:sz w:val="17"/>
                <w:szCs w:val="17"/>
              </w:rPr>
              <w:t xml:space="preserve">      criteria:  reason non-empty AND submitter has role TeacherLead</w:t>
            </w:r>
          </w:p>
          <w:p>
            <w:pPr>
              <w:spacing w:after="0" w:line="240"/>
            </w:pPr>
            <w:r>
              <w:rPr>
                <w:rFonts w:ascii="Consolas" w:cs="Consolas" w:eastAsia="Consolas" w:hAnsi="Consolas"/>
                <w:sz w:val="17"/>
                <w:szCs w:val="17"/>
              </w:rPr>
              <w:t xml:space="preserve">      effects:   write audit note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FUNCTIONS</w:t>
            </w:r>
          </w:p>
          <w:p>
            <w:pPr>
              <w:spacing w:after="0" w:line="240"/>
            </w:pPr>
            <w:r>
              <w:rPr>
                <w:rFonts w:ascii="Consolas" w:cs="Consolas" w:eastAsia="Consolas" w:hAnsi="Consolas"/>
                <w:sz w:val="17"/>
                <w:szCs w:val="17"/>
              </w:rPr>
              <w:t xml:space="preserve">  classGapReport(Class)      -&gt; Objective[]   // median mastery below 0.5</w:t>
            </w:r>
          </w:p>
          <w:p>
            <w:pPr>
              <w:spacing w:after="0" w:line="240"/>
            </w:pPr>
            <w:r>
              <w:rPr>
                <w:rFonts w:ascii="Consolas" w:cs="Consolas" w:eastAsia="Consolas" w:hAnsi="Consolas"/>
                <w:sz w:val="17"/>
                <w:szCs w:val="17"/>
              </w:rPr>
              <w:t xml:space="preserve">  prerequisiteChain(Objective) -&gt; Objective[] // walk the DAG backwards</w:t>
            </w:r>
          </w:p>
          <w:p>
            <w:pPr>
              <w:spacing w:after="0" w:line="240"/>
            </w:pPr>
            <w:r>
              <w:rPr>
                <w:rFonts w:ascii="Consolas" w:cs="Consolas" w:eastAsia="Consolas" w:hAnsi="Consolas"/>
                <w:sz w:val="17"/>
                <w:szCs w:val="17"/>
              </w:rPr>
              <w:t xml:space="preserve">  nextBestQuestion(Student)  -&gt; Question      // spaced-repetition scheduler</w:t>
            </w:r>
          </w:p>
        </w:tc>
      </w:tr>
    </w:tbl>
    <w:p>
      <w:pPr>
        <w:spacing w:after="200"/>
      </w:pPr>
    </w:p>
    <w:p>
      <w:pPr>
        <w:spacing w:after="160" w:line="288"/>
      </w:pPr>
      <w:r>
        <w:rPr>
          <w:rFonts w:ascii="Calibri" w:cs="Calibri" w:eastAsia="Calibri" w:hAnsi="Calibri"/>
          <w:sz w:val="22"/>
          <w:szCs w:val="22"/>
        </w:rPr>
        <w:t xml:space="preserve">Given that ontology, an AI agent holding only three tools — </w:t>
      </w:r>
      <w:r>
        <w:rPr>
          <w:rFonts w:ascii="Calibri" w:cs="Calibri" w:eastAsia="Calibri" w:hAnsi="Calibri"/>
          <w:b/>
          <w:bCs/>
          <w:sz w:val="22"/>
          <w:szCs w:val="22"/>
        </w:rPr>
        <w:t xml:space="preserve">queryObjects</w:t>
      </w:r>
      <w:r>
        <w:rPr>
          <w:rFonts w:ascii="Calibri" w:cs="Calibri" w:eastAsia="Calibri" w:hAnsi="Calibri"/>
          <w:sz w:val="22"/>
          <w:szCs w:val="22"/>
        </w:rPr>
        <w:t xml:space="preserve">, </w:t>
      </w:r>
      <w:r>
        <w:rPr>
          <w:rFonts w:ascii="Calibri" w:cs="Calibri" w:eastAsia="Calibri" w:hAnsi="Calibri"/>
          <w:b/>
          <w:bCs/>
          <w:sz w:val="22"/>
          <w:szCs w:val="22"/>
        </w:rPr>
        <w:t xml:space="preserve">callFunction</w:t>
      </w:r>
      <w:r>
        <w:rPr>
          <w:rFonts w:ascii="Calibri" w:cs="Calibri" w:eastAsia="Calibri" w:hAnsi="Calibri"/>
          <w:sz w:val="22"/>
          <w:szCs w:val="22"/>
        </w:rPr>
        <w:t xml:space="preserve"> and </w:t>
      </w:r>
      <w:r>
        <w:rPr>
          <w:rFonts w:ascii="Calibri" w:cs="Calibri" w:eastAsia="Calibri" w:hAnsi="Calibri"/>
          <w:b/>
          <w:bCs/>
          <w:sz w:val="22"/>
          <w:szCs w:val="22"/>
        </w:rPr>
        <w:t xml:space="preserve">action</w:t>
      </w:r>
      <w:r>
        <w:rPr>
          <w:rFonts w:ascii="Calibri" w:cs="Calibri" w:eastAsia="Calibri" w:hAnsi="Calibri"/>
          <w:sz w:val="22"/>
          <w:szCs w:val="22"/>
        </w:rPr>
        <w:t xml:space="preserve"> — can answer: </w:t>
      </w:r>
      <w:r>
        <w:rPr>
          <w:rFonts w:ascii="Calibri" w:cs="Calibri" w:eastAsia="Calibri" w:hAnsi="Calibri"/>
          <w:i/>
          <w:iCs/>
          <w:sz w:val="22"/>
          <w:szCs w:val="22"/>
        </w:rPr>
        <w:t xml:space="preserve">“which three topics should I reteach 9B next week, and log an intervention for the four students furthest behind”</w:t>
      </w:r>
      <w:r>
        <w:rPr>
          <w:rFonts w:ascii="Calibri" w:cs="Calibri" w:eastAsia="Calibri" w:hAnsi="Calibri"/>
          <w:sz w:val="22"/>
          <w:szCs w:val="22"/>
        </w:rPr>
        <w:t xml:space="preserve">. Grounded, permissioned, auditable — and it writes back.</w:t>
      </w:r>
    </w:p>
    <w:tbl>
      <w:tblPr>
        <w:tblW w:type="dxa" w:w="9360"/>
        <w:tblBorders>
          <w:top w:val="single" w:color="C9D3D9" w:sz="2"/>
          <w:left w:val="single" w:color="1F4E5C" w:sz="18"/>
          <w:bottom w:val="single" w:color="C9D3D9" w:sz="2"/>
          <w:right w:val="single" w:color="C9D3D9" w:sz="2"/>
          <w:insideH w:val="none" w:color="FFFFFF" w:sz="0"/>
          <w:insideV w:val="none" w:color="FFFFFF" w:sz="0"/>
        </w:tblBorders>
      </w:tblPr>
      <w:tblGrid>
        <w:gridCol w:w="9360"/>
      </w:tblGrid>
      <w:tr>
        <w:tc>
          <w:tcPr>
            <w:tcW w:type="dxa" w:w="9360"/>
            <w:shd w:fill="F2F6F8" w:val="clear"/>
            <w:tcMar>
              <w:top w:type="dxa" w:w="180"/>
              <w:left w:type="dxa" w:w="240"/>
              <w:bottom w:type="dxa" w:w="180"/>
              <w:right w:type="dxa" w:w="240"/>
            </w:tcMar>
          </w:tcPr>
          <w:p>
            <w:pPr>
              <w:spacing w:after="80"/>
            </w:pPr>
            <w:r>
              <w:rPr>
                <w:rFonts w:ascii="Calibri" w:cs="Calibri" w:eastAsia="Calibri" w:hAnsi="Calibri"/>
                <w:b/>
                <w:bCs/>
                <w:color w:val="1F4E5C"/>
                <w:sz w:val="22"/>
                <w:szCs w:val="22"/>
              </w:rPr>
              <w:t xml:space="preserve">The single most important line in the example</w:t>
            </w:r>
          </w:p>
          <w:p>
            <w:pPr>
              <w:spacing w:after="60" w:line="276"/>
            </w:pPr>
            <w:r>
              <w:rPr>
                <w:rFonts w:ascii="Calibri" w:cs="Calibri" w:eastAsia="Calibri" w:hAnsi="Calibri"/>
                <w:sz w:val="21"/>
                <w:szCs w:val="21"/>
              </w:rPr>
              <w:t xml:space="preserve">Objective --prerequisite_of--&gt; Objective</w:t>
            </w:r>
          </w:p>
          <w:p>
            <w:pPr>
              <w:spacing w:after="60" w:line="276"/>
            </w:pPr>
            <w:r>
              <w:rPr>
                <w:rFonts w:ascii="Calibri" w:cs="Calibri" w:eastAsia="Calibri" w:hAnsi="Calibri"/>
                <w:sz w:val="21"/>
                <w:szCs w:val="21"/>
              </w:rPr>
              <w:t xml:space="preserve">That link is what makes the whole thing more than a gradebook. “Which upstream gap explains this failure?” becomes a graph traversal rather than a dashboard filter — and no mainstream school product currently does it.</w:t>
            </w:r>
          </w:p>
        </w:tc>
      </w:tr>
    </w:tbl>
    <w:p>
      <w:r>
        <w:br w:type="page"/>
      </w:r>
    </w:p>
    <w:p>
      <w:pPr>
        <w:pStyle w:val="Heading1"/>
        <w:spacing w:after="200" w:before="480"/>
      </w:pPr>
      <w:r>
        <w:rPr>
          <w:rFonts w:ascii="Calibri" w:cs="Calibri" w:eastAsia="Calibri" w:hAnsi="Calibri"/>
          <w:b/>
          <w:bCs/>
          <w:color w:val="1F4E5C"/>
          <w:sz w:val="34"/>
          <w:szCs w:val="34"/>
        </w:rPr>
        <w:t xml:space="preserve">5.  AIP — putting an LLM on top safely</w:t>
      </w:r>
    </w:p>
    <w:p>
      <w:pPr>
        <w:spacing w:after="160" w:line="288"/>
      </w:pPr>
      <w:r>
        <w:rPr>
          <w:rFonts w:ascii="Calibri" w:cs="Calibri" w:eastAsia="Calibri" w:hAnsi="Calibri"/>
          <w:sz w:val="22"/>
          <w:szCs w:val="22"/>
        </w:rPr>
        <w:t xml:space="preserve">AIP is the layer added from 2023. Two pieces matter.</w:t>
      </w:r>
    </w:p>
    <w:p>
      <w:pPr>
        <w:pStyle w:val="Heading3"/>
        <w:spacing w:after="100" w:before="240"/>
      </w:pPr>
      <w:r>
        <w:rPr>
          <w:rFonts w:ascii="Calibri" w:cs="Calibri" w:eastAsia="Calibri" w:hAnsi="Calibri"/>
          <w:b/>
          <w:bCs/>
          <w:color w:val="2E3B44"/>
          <w:sz w:val="22"/>
          <w:szCs w:val="22"/>
        </w:rPr>
        <w:t xml:space="preserve">AIP Logic</w:t>
      </w:r>
    </w:p>
    <w:p>
      <w:pPr>
        <w:spacing w:after="160" w:line="288"/>
      </w:pPr>
      <w:r>
        <w:rPr>
          <w:rFonts w:ascii="Calibri" w:cs="Calibri" w:eastAsia="Calibri" w:hAnsi="Calibri"/>
          <w:sz w:val="22"/>
          <w:szCs w:val="22"/>
        </w:rPr>
        <w:t xml:space="preserve">A no-code environment for building, testing and releasing LLM-backed functions. You compose blocks; the central one is a “Use LLM” block granted specific tools — for example, permission to query only certain object types. Inputs and outputs are ontology objects or proposed edits. Functions are versioned and published.</w:t>
      </w:r>
    </w:p>
    <w:p>
      <w:pPr>
        <w:pStyle w:val="Heading3"/>
        <w:spacing w:after="100" w:before="240"/>
      </w:pPr>
      <w:r>
        <w:rPr>
          <w:rFonts w:ascii="Calibri" w:cs="Calibri" w:eastAsia="Calibri" w:hAnsi="Calibri"/>
          <w:b/>
          <w:bCs/>
          <w:color w:val="2E3B44"/>
          <w:sz w:val="22"/>
          <w:szCs w:val="22"/>
        </w:rPr>
        <w:t xml:space="preserve">AIP Agent Studio</w:t>
      </w:r>
    </w:p>
    <w:p>
      <w:pPr>
        <w:spacing w:after="160" w:line="288"/>
      </w:pPr>
      <w:r>
        <w:rPr>
          <w:rFonts w:ascii="Calibri" w:cs="Calibri" w:eastAsia="Calibri" w:hAnsi="Calibri"/>
          <w:sz w:val="22"/>
          <w:szCs w:val="22"/>
        </w:rPr>
        <w:t xml:space="preserve">Conversational agents built from a defined tool set: an object-query tool (which object types the model may read, with filtering and link traversal), an action tool (execute ontology edits, either automatically or gated behind user confirmation), a function tool, retrieval context, and a request-clarification tool.</w:t>
      </w:r>
    </w:p>
    <w:p>
      <w:pPr>
        <w:pStyle w:val="Heading2"/>
        <w:spacing w:after="140" w:before="320"/>
      </w:pPr>
      <w:r>
        <w:rPr>
          <w:rFonts w:ascii="Calibri" w:cs="Calibri" w:eastAsia="Calibri" w:hAnsi="Calibri"/>
          <w:b/>
          <w:bCs/>
          <w:color w:val="1F4E5C"/>
          <w:sz w:val="26"/>
          <w:szCs w:val="26"/>
        </w:rPr>
        <w:t xml:space="preserve">The write-back loop — and why it is a good safety architecture</w:t>
      </w:r>
    </w:p>
    <w:p>
      <w:pPr>
        <w:spacing w:after="160" w:line="288"/>
      </w:pPr>
      <w:r>
        <w:rPr>
          <w:rFonts w:ascii="Calibri" w:cs="Calibri" w:eastAsia="Calibri" w:hAnsi="Calibri"/>
          <w:sz w:val="22"/>
          <w:szCs w:val="22"/>
        </w:rPr>
        <w:t xml:space="preserve">The sequence is worth stating precisely, because it is cheap to copy and it is the right pattern for any system where an AI operates near sensitive data:</w:t>
      </w:r>
    </w:p>
    <w:tbl>
      <w:tblPr>
        <w:tblW w:type="dxa" w:w="9360"/>
        <w:tblBorders>
          <w:top w:val="single" w:color="C9D3D9" w:sz="2"/>
          <w:left w:val="single" w:color="C9D3D9" w:sz="2"/>
          <w:bottom w:val="single" w:color="C9D3D9" w:sz="2"/>
          <w:right w:val="single" w:color="C9D3D9" w:sz="2"/>
          <w:insideH w:val="none" w:color="FFFFFF" w:sz="0"/>
          <w:insideV w:val="none" w:color="FFFFFF" w:sz="0"/>
        </w:tblBorders>
      </w:tblPr>
      <w:tblGrid>
        <w:gridCol w:w="9360"/>
      </w:tblGrid>
      <w:tr>
        <w:tc>
          <w:tcPr>
            <w:tcW w:type="dxa" w:w="9360"/>
            <w:shd w:fill="F7F8F9" w:val="clear"/>
            <w:tcMar>
              <w:top w:type="dxa" w:w="160"/>
              <w:left w:type="dxa" w:w="200"/>
              <w:bottom w:type="dxa" w:w="160"/>
              <w:right w:type="dxa" w:w="200"/>
            </w:tcMar>
          </w:tcPr>
          <w:p>
            <w:pPr>
              <w:spacing w:after="0" w:line="240"/>
            </w:pPr>
            <w:r>
              <w:rPr>
                <w:rFonts w:ascii="Consolas" w:cs="Consolas" w:eastAsia="Consolas" w:hAnsi="Consolas"/>
                <w:sz w:val="17"/>
                <w:szCs w:val="17"/>
              </w:rPr>
              <w:t xml:space="preserve">agent reads the ontology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agent proposes an ACTION  (never a raw row write)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action passes submission criteria + permission checks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edit lands transactionally, with edit history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downstream apps and pipelines see the change</w:t>
            </w:r>
          </w:p>
        </w:tc>
      </w:tr>
    </w:tbl>
    <w:p>
      <w:pPr>
        <w:spacing w:after="200"/>
      </w:pPr>
    </w:p>
    <w:p>
      <w:pPr>
        <w:spacing w:after="160" w:line="288"/>
      </w:pPr>
      <w:r>
        <w:rPr>
          <w:rFonts w:ascii="Calibri" w:cs="Calibri" w:eastAsia="Calibri" w:hAnsi="Calibri"/>
          <w:sz w:val="22"/>
          <w:szCs w:val="22"/>
        </w:rPr>
        <w:t xml:space="preserve">The model never writes rows. It can only invoke actions a human explicitly defined, with validation a human wrote. This is a substantially better safety architecture than “give the model write access to the database” — and it costs very little to implement.</w:t>
      </w:r>
    </w:p>
    <w:p>
      <w:pPr>
        <w:pStyle w:val="Heading2"/>
        <w:spacing w:after="140" w:before="320"/>
      </w:pPr>
      <w:r>
        <w:rPr>
          <w:rFonts w:ascii="Calibri" w:cs="Calibri" w:eastAsia="Calibri" w:hAnsi="Calibri"/>
          <w:b/>
          <w:bCs/>
          <w:color w:val="1F4E5C"/>
          <w:sz w:val="26"/>
          <w:szCs w:val="26"/>
        </w:rPr>
        <w:t xml:space="preserve">Guardrails and evaluation</w:t>
      </w:r>
    </w:p>
    <w:p>
      <w:pPr>
        <w:pStyle w:val="ListParagraph"/>
        <w:numPr>
          <w:ilvl w:val="0"/>
          <w:numId w:val="2"/>
        </w:numPr>
        <w:spacing w:after="90" w:line="288"/>
      </w:pPr>
      <w:r>
        <w:rPr>
          <w:rFonts w:ascii="Calibri" w:cs="Calibri" w:eastAsia="Calibri" w:hAnsi="Calibri"/>
          <w:b/>
          <w:bCs/>
          <w:sz w:val="22"/>
          <w:szCs w:val="22"/>
        </w:rPr>
        <w:t xml:space="preserve">Permission inheritance.</w:t>
      </w:r>
      <w:r>
        <w:rPr>
          <w:rFonts w:ascii="Calibri" w:cs="Calibri" w:eastAsia="Calibri" w:hAnsi="Calibri"/>
          <w:sz w:val="22"/>
          <w:szCs w:val="22"/>
        </w:rPr>
        <w:t xml:space="preserve"> AIP runs under the invoking user’s permissions, so the model can only reach what that person could reach. Third-party model providers are contractually and technically barred from retaining prompts or training on them.</w:t>
      </w:r>
    </w:p>
    <w:p>
      <w:pPr>
        <w:pStyle w:val="ListParagraph"/>
        <w:numPr>
          <w:ilvl w:val="0"/>
          <w:numId w:val="2"/>
        </w:numPr>
        <w:spacing w:after="90" w:line="288"/>
      </w:pPr>
      <w:r>
        <w:rPr>
          <w:rFonts w:ascii="Calibri" w:cs="Calibri" w:eastAsia="Calibri" w:hAnsi="Calibri"/>
          <w:b/>
          <w:bCs/>
          <w:sz w:val="22"/>
          <w:szCs w:val="22"/>
        </w:rPr>
        <w:t xml:space="preserve">AIP Evals.</w:t>
      </w:r>
      <w:r>
        <w:rPr>
          <w:rFonts w:ascii="Calibri" w:cs="Calibri" w:eastAsia="Calibri" w:hAnsi="Calibri"/>
          <w:sz w:val="22"/>
          <w:szCs w:val="22"/>
        </w:rPr>
        <w:t xml:space="preserve"> Evaluation suites combining test cases and evaluation functions, with LLM-as-judge and exact-match evaluators, parameter sweeps against cost and quality, and a metrics dashboard comparing versions. Palantir explicitly recommends running each test case at least three times, because LLMs are non-deterministic.</w:t>
      </w:r>
    </w:p>
    <w:p>
      <w:pPr>
        <w:spacing w:after="120"/>
      </w:pPr>
    </w:p>
    <w:p>
      <w:pPr>
        <w:spacing w:after="160" w:line="288"/>
      </w:pPr>
      <w:r>
        <w:rPr>
          <w:rFonts w:ascii="Calibri" w:cs="Calibri" w:eastAsia="Calibri" w:hAnsi="Calibri"/>
          <w:b/>
          <w:bCs/>
          <w:sz w:val="22"/>
          <w:szCs w:val="22"/>
        </w:rPr>
        <w:t xml:space="preserve">Honest assessment: </w:t>
      </w:r>
      <w:r>
        <w:rPr>
          <w:rFonts w:ascii="Calibri" w:cs="Calibri" w:eastAsia="Calibri" w:hAnsi="Calibri"/>
          <w:sz w:val="22"/>
          <w:szCs w:val="22"/>
        </w:rPr>
        <w:t xml:space="preserve">the eval tooling is competent but conventional — it is Braintrust or promptfoo with better ontology integration. The </w:t>
      </w:r>
      <w:r>
        <w:rPr>
          <w:rFonts w:ascii="Calibri" w:cs="Calibri" w:eastAsia="Calibri" w:hAnsi="Calibri"/>
          <w:i/>
          <w:iCs/>
          <w:sz w:val="22"/>
          <w:szCs w:val="22"/>
        </w:rPr>
        <w:t xml:space="preserve">grounding architecture</w:t>
      </w:r>
      <w:r>
        <w:rPr>
          <w:rFonts w:ascii="Calibri" w:cs="Calibri" w:eastAsia="Calibri" w:hAnsi="Calibri"/>
          <w:sz w:val="22"/>
          <w:szCs w:val="22"/>
        </w:rPr>
        <w:t xml:space="preserve"> is the real innovation, not the eval harness.</w:t>
      </w:r>
    </w:p>
    <w:p>
      <w:r>
        <w:br w:type="page"/>
      </w:r>
    </w:p>
    <w:p>
      <w:pPr>
        <w:pStyle w:val="Heading1"/>
        <w:spacing w:after="200" w:before="480"/>
      </w:pPr>
      <w:r>
        <w:rPr>
          <w:rFonts w:ascii="Calibri" w:cs="Calibri" w:eastAsia="Calibri" w:hAnsi="Calibri"/>
          <w:b/>
          <w:bCs/>
          <w:color w:val="1F4E5C"/>
          <w:sz w:val="34"/>
          <w:szCs w:val="34"/>
        </w:rPr>
        <w:t xml:space="preserve">6.  Security and governance</w:t>
      </w:r>
    </w:p>
    <w:p>
      <w:pPr>
        <w:spacing w:after="160" w:line="288"/>
      </w:pPr>
      <w:r>
        <w:rPr>
          <w:rFonts w:ascii="Calibri" w:cs="Calibri" w:eastAsia="Calibri" w:hAnsi="Calibri"/>
          <w:sz w:val="22"/>
          <w:szCs w:val="22"/>
        </w:rPr>
        <w:t xml:space="preserve">This is where Palantir is genuinely ahead of the field, and where almost all of the transferable thinking for a regulated market lives.</w:t>
      </w:r>
    </w:p>
    <w:p>
      <w:pPr>
        <w:pStyle w:val="Heading2"/>
        <w:spacing w:after="140" w:before="320"/>
      </w:pPr>
      <w:r>
        <w:rPr>
          <w:rFonts w:ascii="Calibri" w:cs="Calibri" w:eastAsia="Calibri" w:hAnsi="Calibri"/>
          <w:b/>
          <w:bCs/>
          <w:color w:val="1F4E5C"/>
          <w:sz w:val="26"/>
          <w:szCs w:val="26"/>
        </w:rPr>
        <w:t xml:space="preserve">Markings — mandatory access controls</w:t>
      </w:r>
    </w:p>
    <w:p>
      <w:pPr>
        <w:spacing w:after="160" w:line="288"/>
      </w:pPr>
      <w:r>
        <w:rPr>
          <w:rFonts w:ascii="Calibri" w:cs="Calibri" w:eastAsia="Calibri" w:hAnsi="Calibri"/>
          <w:sz w:val="22"/>
          <w:szCs w:val="22"/>
        </w:rPr>
        <w:t xml:space="preserve">A user cannot access a file in any way unless they satisfy every marking requirement. Even an owner cannot remove a marking without specific expand-access permission. Two properties make this powerful:</w:t>
      </w:r>
    </w:p>
    <w:p>
      <w:pPr>
        <w:pStyle w:val="ListParagraph"/>
        <w:numPr>
          <w:ilvl w:val="0"/>
          <w:numId w:val="2"/>
        </w:numPr>
        <w:spacing w:after="90" w:line="288"/>
      </w:pPr>
      <w:r>
        <w:rPr>
          <w:rFonts w:ascii="Calibri" w:cs="Calibri" w:eastAsia="Calibri" w:hAnsi="Calibri"/>
          <w:b/>
          <w:bCs/>
          <w:sz w:val="22"/>
          <w:szCs w:val="22"/>
        </w:rPr>
        <w:t xml:space="preserve">Markings inherit down the hierarchy</w:t>
      </w:r>
      <w:r>
        <w:rPr>
          <w:rFonts w:ascii="Calibri" w:cs="Calibri" w:eastAsia="Calibri" w:hAnsi="Calibri"/>
          <w:sz w:val="22"/>
          <w:szCs w:val="22"/>
        </w:rPr>
        <w:t xml:space="preserve"> — project to folder to file.</w:t>
      </w:r>
    </w:p>
    <w:p>
      <w:pPr>
        <w:pStyle w:val="ListParagraph"/>
        <w:numPr>
          <w:ilvl w:val="0"/>
          <w:numId w:val="2"/>
        </w:numPr>
        <w:spacing w:after="90" w:line="288"/>
      </w:pPr>
      <w:r>
        <w:rPr>
          <w:rFonts w:ascii="Calibri" w:cs="Calibri" w:eastAsia="Calibri" w:hAnsi="Calibri"/>
          <w:b/>
          <w:bCs/>
          <w:sz w:val="22"/>
          <w:szCs w:val="22"/>
        </w:rPr>
        <w:t xml:space="preserve">Markings propagate downstream through data dependencies</w:t>
      </w:r>
      <w:r>
        <w:rPr>
          <w:rFonts w:ascii="Calibri" w:cs="Calibri" w:eastAsia="Calibri" w:hAnsi="Calibri"/>
          <w:sz w:val="22"/>
          <w:szCs w:val="22"/>
        </w:rPr>
        <w:t xml:space="preserve"> — if a dataset is marked as personal data, everything derived from it inherits that marking automatically.</w:t>
      </w:r>
    </w:p>
    <w:p>
      <w:pPr>
        <w:spacing w:after="160" w:line="288"/>
      </w:pPr>
      <w:r>
        <w:rPr>
          <w:rFonts w:ascii="Calibri" w:cs="Calibri" w:eastAsia="Calibri" w:hAnsi="Calibri"/>
          <w:b/>
          <w:bCs/>
          <w:sz w:val="22"/>
          <w:szCs w:val="22"/>
        </w:rPr>
        <w:t xml:space="preserve">This solves the single hardest governance problem in analytics: </w:t>
      </w:r>
      <w:r>
        <w:rPr>
          <w:rFonts w:ascii="Calibri" w:cs="Calibri" w:eastAsia="Calibri" w:hAnsi="Calibri"/>
          <w:sz w:val="22"/>
          <w:szCs w:val="22"/>
        </w:rPr>
        <w:t xml:space="preserve">sensitivity leaking silently into derived tables. Applying or removing a marking is itself flagged as a sensitive action.</w:t>
      </w:r>
    </w:p>
    <w:p>
      <w:pPr>
        <w:pStyle w:val="Heading2"/>
        <w:spacing w:after="140" w:before="320"/>
      </w:pPr>
      <w:r>
        <w:rPr>
          <w:rFonts w:ascii="Calibri" w:cs="Calibri" w:eastAsia="Calibri" w:hAnsi="Calibri"/>
          <w:b/>
          <w:bCs/>
          <w:color w:val="1F4E5C"/>
          <w:sz w:val="26"/>
          <w:szCs w:val="26"/>
        </w:rPr>
        <w:t xml:space="preserve">Restricted views — row-level security</w:t>
      </w:r>
    </w:p>
    <w:p>
      <w:pPr>
        <w:spacing w:after="160" w:line="288"/>
      </w:pPr>
      <w:r>
        <w:rPr>
          <w:rFonts w:ascii="Calibri" w:cs="Calibri" w:eastAsia="Calibri" w:hAnsi="Calibri"/>
          <w:sz w:val="22"/>
          <w:szCs w:val="22"/>
        </w:rPr>
        <w:t xml:space="preserve">A view whose policy combines user attributes from single sign-on, column names, and values to decide which rows a given user may see. Column-level control is handled through markings on properties.</w:t>
      </w:r>
    </w:p>
    <w:p>
      <w:pPr>
        <w:pStyle w:val="Heading2"/>
        <w:spacing w:after="140" w:before="320"/>
      </w:pPr>
      <w:r>
        <w:rPr>
          <w:rFonts w:ascii="Calibri" w:cs="Calibri" w:eastAsia="Calibri" w:hAnsi="Calibri"/>
          <w:b/>
          <w:bCs/>
          <w:color w:val="1F4E5C"/>
          <w:sz w:val="26"/>
          <w:szCs w:val="26"/>
        </w:rPr>
        <w:t xml:space="preserve">Purpose-Based Access Control — the most copyable idea in the company</w:t>
      </w:r>
    </w:p>
    <w:p>
      <w:pPr>
        <w:spacing w:after="160" w:line="288"/>
      </w:pPr>
      <w:r>
        <w:rPr>
          <w:rFonts w:ascii="Calibri" w:cs="Calibri" w:eastAsia="Calibri" w:hAnsi="Calibri"/>
          <w:sz w:val="22"/>
          <w:szCs w:val="22"/>
        </w:rPr>
        <w:t xml:space="preserve">Instead of requesting access to a </w:t>
      </w:r>
      <w:r>
        <w:rPr>
          <w:rFonts w:ascii="Calibri" w:cs="Calibri" w:eastAsia="Calibri" w:hAnsi="Calibri"/>
          <w:i/>
          <w:iCs/>
          <w:sz w:val="22"/>
          <w:szCs w:val="22"/>
        </w:rPr>
        <w:t xml:space="preserve">dataset</w:t>
      </w:r>
      <w:r>
        <w:rPr>
          <w:rFonts w:ascii="Calibri" w:cs="Calibri" w:eastAsia="Calibri" w:hAnsi="Calibri"/>
          <w:sz w:val="22"/>
          <w:szCs w:val="22"/>
        </w:rPr>
        <w:t xml:space="preserve">, a user requests access to a </w:t>
      </w:r>
      <w:r>
        <w:rPr>
          <w:rFonts w:ascii="Calibri" w:cs="Calibri" w:eastAsia="Calibri" w:hAnsi="Calibri"/>
          <w:b/>
          <w:bCs/>
          <w:sz w:val="22"/>
          <w:szCs w:val="22"/>
        </w:rPr>
        <w:t xml:space="preserve">Purpose</w:t>
      </w:r>
      <w:r>
        <w:rPr>
          <w:rFonts w:ascii="Calibri" w:cs="Calibri" w:eastAsia="Calibri" w:hAnsi="Calibri"/>
          <w:sz w:val="22"/>
          <w:szCs w:val="22"/>
        </w:rPr>
        <w:t xml:space="preserve"> — defined by governance staff to contain exactly the data needed for that goal, “no more, no less”. Access is therefore justified, time-boxed, reviewable and auditable </w:t>
      </w:r>
      <w:r>
        <w:rPr>
          <w:rFonts w:ascii="Calibri" w:cs="Calibri" w:eastAsia="Calibri" w:hAnsi="Calibri"/>
          <w:i/>
          <w:iCs/>
          <w:sz w:val="22"/>
          <w:szCs w:val="22"/>
        </w:rPr>
        <w:t xml:space="preserve">by intent</w:t>
      </w:r>
      <w:r>
        <w:rPr>
          <w:rFonts w:ascii="Calibri" w:cs="Calibri" w:eastAsia="Calibri" w:hAnsi="Calibri"/>
          <w:sz w:val="22"/>
          <w:szCs w:val="22"/>
        </w:rPr>
        <w:t xml:space="preserve">.</w:t>
      </w:r>
    </w:p>
    <w:tbl>
      <w:tblPr>
        <w:tblW w:type="dxa" w:w="9360"/>
        <w:tblBorders>
          <w:top w:val="single" w:color="C9D3D9" w:sz="2"/>
          <w:left w:val="single" w:color="1F4E5C" w:sz="18"/>
          <w:bottom w:val="single" w:color="C9D3D9" w:sz="2"/>
          <w:right w:val="single" w:color="C9D3D9" w:sz="2"/>
          <w:insideH w:val="none" w:color="FFFFFF" w:sz="0"/>
          <w:insideV w:val="none" w:color="FFFFFF" w:sz="0"/>
        </w:tblBorders>
      </w:tblPr>
      <w:tblGrid>
        <w:gridCol w:w="9360"/>
      </w:tblGrid>
      <w:tr>
        <w:tc>
          <w:tcPr>
            <w:tcW w:type="dxa" w:w="9360"/>
            <w:shd w:fill="F2F6F8" w:val="clear"/>
            <w:tcMar>
              <w:top w:type="dxa" w:w="180"/>
              <w:left w:type="dxa" w:w="240"/>
              <w:bottom w:type="dxa" w:w="180"/>
              <w:right w:type="dxa" w:w="240"/>
            </w:tcMar>
          </w:tcPr>
          <w:p>
            <w:pPr>
              <w:spacing w:after="80"/>
            </w:pPr>
            <w:r>
              <w:rPr>
                <w:rFonts w:ascii="Calibri" w:cs="Calibri" w:eastAsia="Calibri" w:hAnsi="Calibri"/>
                <w:b/>
                <w:bCs/>
                <w:color w:val="1F4E5C"/>
                <w:sz w:val="22"/>
                <w:szCs w:val="22"/>
              </w:rPr>
              <w:t xml:space="preserve">Why this matters for education specifically</w:t>
            </w:r>
          </w:p>
          <w:p>
            <w:pPr>
              <w:spacing w:after="60" w:line="276"/>
            </w:pPr>
            <w:r>
              <w:rPr>
                <w:rFonts w:ascii="Calibri" w:cs="Calibri" w:eastAsia="Calibri" w:hAnsi="Calibri"/>
                <w:sz w:val="21"/>
                <w:szCs w:val="21"/>
              </w:rPr>
              <w:t xml:space="preserve">Purpose-based access maps directly onto the two GDPR principles a school’s data protection officer will press hardest on: purpose limitation and data minimisation.</w:t>
            </w:r>
          </w:p>
          <w:p>
            <w:pPr>
              <w:spacing w:after="60" w:line="276"/>
            </w:pPr>
            <w:r>
              <w:rPr>
                <w:rFonts w:ascii="Calibri" w:cs="Calibri" w:eastAsia="Calibri" w:hAnsi="Calibri"/>
                <w:sz w:val="21"/>
                <w:szCs w:val="21"/>
              </w:rPr>
              <w:t xml:space="preserve">“Access is granted to a Purpose, time-boxed and logged” is roughly a two-table implementation — and it lands very hard in a data protection impact assessment conversation with a multi-academy trust.</w:t>
            </w:r>
          </w:p>
        </w:tc>
      </w:tr>
    </w:tbl>
    <w:p>
      <w:pPr>
        <w:pStyle w:val="Heading2"/>
        <w:spacing w:after="140" w:before="320"/>
      </w:pPr>
      <w:r>
        <w:rPr>
          <w:rFonts w:ascii="Calibri" w:cs="Calibri" w:eastAsia="Calibri" w:hAnsi="Calibri"/>
          <w:b/>
          <w:bCs/>
          <w:color w:val="1F4E5C"/>
          <w:sz w:val="26"/>
          <w:szCs w:val="26"/>
        </w:rPr>
        <w:t xml:space="preserve">Audit logging</w:t>
      </w:r>
    </w:p>
    <w:p>
      <w:pPr>
        <w:spacing w:after="160" w:line="288"/>
      </w:pPr>
      <w:r>
        <w:rPr>
          <w:rFonts w:ascii="Calibri" w:cs="Calibri" w:eastAsia="Calibri" w:hAnsi="Calibri"/>
          <w:sz w:val="22"/>
          <w:szCs w:val="22"/>
        </w:rPr>
        <w:t xml:space="preserve">Comprehensive who, what, when and where. The current schema enforces structured categories — data export, data load, user login, token generation — with guaranteed fields per category, roughly fifteen-minute latency, and direct API endpoints so the customer can pull logs into their own security monitoring without going through Palantir at all. Retention up to 730 days.</w:t>
      </w:r>
    </w:p>
    <w:p>
      <w:pPr>
        <w:pStyle w:val="Heading2"/>
        <w:spacing w:after="140" w:before="320"/>
      </w:pPr>
      <w:r>
        <w:rPr>
          <w:rFonts w:ascii="Calibri" w:cs="Calibri" w:eastAsia="Calibri" w:hAnsi="Calibri"/>
          <w:b/>
          <w:bCs/>
          <w:color w:val="1F4E5C"/>
          <w:sz w:val="26"/>
          <w:szCs w:val="26"/>
        </w:rPr>
        <w:t xml:space="preserve">Lineage and provenance</w:t>
      </w:r>
    </w:p>
    <w:p>
      <w:pPr>
        <w:spacing w:after="160" w:line="288"/>
      </w:pPr>
      <w:r>
        <w:rPr>
          <w:rFonts w:ascii="Calibri" w:cs="Calibri" w:eastAsia="Calibri" w:hAnsi="Calibri"/>
          <w:sz w:val="22"/>
          <w:szCs w:val="22"/>
        </w:rPr>
        <w:t xml:space="preserve">Every dataset and object property traces back through transforms to source. This is what makes marking propagation possible, and what lets the system answer “why does it believe this?”</w:t>
      </w:r>
    </w:p>
    <w:p>
      <w:pPr>
        <w:pStyle w:val="Heading2"/>
        <w:spacing w:after="140" w:before="320"/>
      </w:pPr>
      <w:r>
        <w:rPr>
          <w:rFonts w:ascii="Calibri" w:cs="Calibri" w:eastAsia="Calibri" w:hAnsi="Calibri"/>
          <w:b/>
          <w:bCs/>
          <w:color w:val="1F4E5C"/>
          <w:sz w:val="26"/>
          <w:szCs w:val="26"/>
        </w:rPr>
        <w:t xml:space="preserve">Privacy and Civil Liberties Engineering</w:t>
      </w:r>
    </w:p>
    <w:p>
      <w:pPr>
        <w:spacing w:after="160" w:line="288"/>
      </w:pPr>
      <w:r>
        <w:rPr>
          <w:rFonts w:ascii="Calibri" w:cs="Calibri" w:eastAsia="Calibri" w:hAnsi="Calibri"/>
          <w:sz w:val="22"/>
          <w:szCs w:val="22"/>
        </w:rPr>
        <w:t xml:space="preserve">Palantir says it created one of the first such teams over a decade ago — an interdisciplinary group of engineers, data scientists, philosophers, policy experts and designers working with customers on privacy-protective deployments. Critics regard this as reputational cover; supporters point to purpose-based access control and marking propagation as real artefacts of it. Both readings can be true simultaneously.</w:t>
      </w:r>
    </w:p>
    <w:p>
      <w:pPr>
        <w:pStyle w:val="Heading2"/>
        <w:spacing w:after="140" w:before="320"/>
      </w:pPr>
      <w:r>
        <w:rPr>
          <w:rFonts w:ascii="Calibri" w:cs="Calibri" w:eastAsia="Calibri" w:hAnsi="Calibri"/>
          <w:b/>
          <w:bCs/>
          <w:color w:val="1F4E5C"/>
          <w:sz w:val="26"/>
          <w:szCs w:val="26"/>
        </w:rPr>
        <w:t xml:space="preserve">How compliance is demonstrated to a regulator</w:t>
      </w:r>
    </w:p>
    <w:p>
      <w:pPr>
        <w:pStyle w:val="ListParagraph"/>
        <w:numPr>
          <w:ilvl w:val="0"/>
          <w:numId w:val="2"/>
        </w:numPr>
        <w:spacing w:after="90" w:line="288"/>
      </w:pPr>
      <w:r>
        <w:rPr>
          <w:rFonts w:ascii="Calibri" w:cs="Calibri" w:eastAsia="Calibri" w:hAnsi="Calibri"/>
          <w:sz w:val="22"/>
          <w:szCs w:val="22"/>
        </w:rPr>
        <w:t xml:space="preserve">Exportable audit logs into the customer’s own systems — so the customer, not the vendor, holds the evidence.</w:t>
      </w:r>
    </w:p>
    <w:p>
      <w:pPr>
        <w:pStyle w:val="ListParagraph"/>
        <w:numPr>
          <w:ilvl w:val="0"/>
          <w:numId w:val="2"/>
        </w:numPr>
        <w:spacing w:after="90" w:line="288"/>
      </w:pPr>
      <w:r>
        <w:rPr>
          <w:rFonts w:ascii="Calibri" w:cs="Calibri" w:eastAsia="Calibri" w:hAnsi="Calibri"/>
          <w:sz w:val="22"/>
          <w:szCs w:val="22"/>
        </w:rPr>
        <w:t xml:space="preserve">Documented purposes with named approvers.</w:t>
      </w:r>
    </w:p>
    <w:p>
      <w:pPr>
        <w:pStyle w:val="ListParagraph"/>
        <w:numPr>
          <w:ilvl w:val="0"/>
          <w:numId w:val="2"/>
        </w:numPr>
        <w:spacing w:after="90" w:line="288"/>
      </w:pPr>
      <w:r>
        <w:rPr>
          <w:rFonts w:ascii="Calibri" w:cs="Calibri" w:eastAsia="Calibri" w:hAnsi="Calibri"/>
          <w:sz w:val="22"/>
          <w:szCs w:val="22"/>
        </w:rPr>
        <w:t xml:space="preserve">Lineage graphs showing exactly where personal data flows.</w:t>
      </w:r>
    </w:p>
    <w:p>
      <w:pPr>
        <w:pStyle w:val="ListParagraph"/>
        <w:numPr>
          <w:ilvl w:val="0"/>
          <w:numId w:val="2"/>
        </w:numPr>
        <w:spacing w:after="90" w:line="288"/>
      </w:pPr>
      <w:r>
        <w:rPr>
          <w:rFonts w:ascii="Calibri" w:cs="Calibri" w:eastAsia="Calibri" w:hAnsi="Calibri"/>
          <w:sz w:val="22"/>
          <w:szCs w:val="22"/>
        </w:rPr>
        <w:t xml:space="preserve">Markings proving mandatory controls are in force.</w:t>
      </w:r>
    </w:p>
    <w:p>
      <w:pPr>
        <w:pStyle w:val="ListParagraph"/>
        <w:numPr>
          <w:ilvl w:val="0"/>
          <w:numId w:val="2"/>
        </w:numPr>
        <w:spacing w:after="90" w:line="288"/>
      </w:pPr>
      <w:r>
        <w:rPr>
          <w:rFonts w:ascii="Calibri" w:cs="Calibri" w:eastAsia="Calibri" w:hAnsi="Calibri"/>
          <w:sz w:val="22"/>
          <w:szCs w:val="22"/>
        </w:rPr>
        <w:t xml:space="preserve">Impact assessments written against Purposes rather than systems.</w:t>
      </w:r>
    </w:p>
    <w:p>
      <w:r>
        <w:br w:type="page"/>
      </w:r>
    </w:p>
    <w:p>
      <w:pPr>
        <w:pStyle w:val="Heading1"/>
        <w:spacing w:after="200" w:before="480"/>
      </w:pPr>
      <w:r>
        <w:rPr>
          <w:rFonts w:ascii="Calibri" w:cs="Calibri" w:eastAsia="Calibri" w:hAnsi="Calibri"/>
          <w:b/>
          <w:bCs/>
          <w:color w:val="1F4E5C"/>
          <w:sz w:val="34"/>
          <w:szCs w:val="34"/>
        </w:rPr>
        <w:t xml:space="preserve">7.  The criticisms</w:t>
      </w:r>
    </w:p>
    <w:p>
      <w:pPr>
        <w:spacing w:after="160" w:line="288"/>
      </w:pPr>
      <w:r>
        <w:rPr>
          <w:rFonts w:ascii="Calibri" w:cs="Calibri" w:eastAsia="Calibri" w:hAnsi="Calibri"/>
          <w:sz w:val="22"/>
          <w:szCs w:val="22"/>
        </w:rPr>
        <w:t xml:space="preserve">These are substantial and worth taking seriously, particularly the UK public-sector ones.</w:t>
      </w:r>
    </w:p>
    <w:p>
      <w:pPr>
        <w:pStyle w:val="Heading2"/>
        <w:spacing w:after="140" w:before="320"/>
      </w:pPr>
      <w:r>
        <w:rPr>
          <w:rFonts w:ascii="Calibri" w:cs="Calibri" w:eastAsia="Calibri" w:hAnsi="Calibri"/>
          <w:b/>
          <w:bCs/>
          <w:color w:val="1F4E5C"/>
          <w:sz w:val="26"/>
          <w:szCs w:val="26"/>
        </w:rPr>
        <w:t xml:space="preserve">Cost and the commercial model</w:t>
      </w:r>
    </w:p>
    <w:p>
      <w:pPr>
        <w:spacing w:after="160" w:line="288"/>
      </w:pPr>
      <w:r>
        <w:rPr>
          <w:rFonts w:ascii="Calibri" w:cs="Calibri" w:eastAsia="Calibri" w:hAnsi="Calibri"/>
          <w:sz w:val="22"/>
          <w:szCs w:val="22"/>
        </w:rPr>
        <w:t xml:space="preserve">There are no published list prices; deals are negotiated annual platform fees, and comparable mid-size deployments reportedly vary by two to three times. The free five-day “AIP Bootcamp” works precisely because ontology work creates switching costs </w:t>
      </w:r>
      <w:r>
        <w:rPr>
          <w:rFonts w:ascii="Calibri" w:cs="Calibri" w:eastAsia="Calibri" w:hAnsi="Calibri"/>
          <w:i/>
          <w:iCs/>
          <w:sz w:val="22"/>
          <w:szCs w:val="22"/>
        </w:rPr>
        <w:t xml:space="preserve">before</w:t>
      </w:r>
      <w:r>
        <w:rPr>
          <w:rFonts w:ascii="Calibri" w:cs="Calibri" w:eastAsia="Calibri" w:hAnsi="Calibri"/>
          <w:sz w:val="22"/>
          <w:szCs w:val="22"/>
        </w:rPr>
        <w:t xml:space="preserve"> commercial terms are agreed. That is deliberate design: get the customer’s semantic model inside your platform, then price.</w:t>
      </w:r>
    </w:p>
    <w:p>
      <w:pPr>
        <w:pStyle w:val="Heading2"/>
        <w:spacing w:after="140" w:before="320"/>
      </w:pPr>
      <w:r>
        <w:rPr>
          <w:rFonts w:ascii="Calibri" w:cs="Calibri" w:eastAsia="Calibri" w:hAnsi="Calibri"/>
          <w:b/>
          <w:bCs/>
          <w:color w:val="1F4E5C"/>
          <w:sz w:val="26"/>
          <w:szCs w:val="26"/>
        </w:rPr>
        <w:t xml:space="preserve">Lock-in</w:t>
      </w:r>
    </w:p>
    <w:p>
      <w:pPr>
        <w:spacing w:after="160" w:line="288"/>
      </w:pPr>
      <w:r>
        <w:rPr>
          <w:rFonts w:ascii="Calibri" w:cs="Calibri" w:eastAsia="Calibri" w:hAnsi="Calibri"/>
          <w:sz w:val="22"/>
          <w:szCs w:val="22"/>
        </w:rPr>
        <w:t xml:space="preserve">The clearest documented case is the NHS. Palantir retains the intellectual property; NHS staff cannot fully read or edit the underlying code; analysts have reported being forced to write code compatible only with Foundry. The lock-in is not primarily contractual — it is operational dependency, because the semantic model, the applications and the workflows all live in a proprietary format.</w:t>
      </w:r>
    </w:p>
    <w:p>
      <w:pPr>
        <w:pStyle w:val="Heading2"/>
        <w:spacing w:after="140" w:before="320"/>
      </w:pPr>
      <w:r>
        <w:rPr>
          <w:rFonts w:ascii="Calibri" w:cs="Calibri" w:eastAsia="Calibri" w:hAnsi="Calibri"/>
          <w:b/>
          <w:bCs/>
          <w:color w:val="1F4E5C"/>
          <w:sz w:val="26"/>
          <w:szCs w:val="26"/>
        </w:rPr>
        <w:t xml:space="preserve">“It is consultants wearing a software company’s clothes”</w:t>
      </w:r>
    </w:p>
    <w:p>
      <w:pPr>
        <w:spacing w:after="160" w:line="288"/>
      </w:pPr>
      <w:r>
        <w:rPr>
          <w:rFonts w:ascii="Calibri" w:cs="Calibri" w:eastAsia="Calibri" w:hAnsi="Calibri"/>
          <w:sz w:val="22"/>
          <w:szCs w:val="22"/>
        </w:rPr>
        <w:t xml:space="preserve">Critics note that without discipline the Forward Deployed Engineer model collapses into consulting. Palantir’s defence, from its own annual report, is that FDE work is “the human equivalent of backpropagation” — bespoke work is deliberately harvested back into platform features.</w:t>
      </w:r>
    </w:p>
    <w:p>
      <w:pPr>
        <w:spacing w:after="160" w:line="288"/>
      </w:pPr>
      <w:r>
        <w:rPr>
          <w:rFonts w:ascii="Calibri" w:cs="Calibri" w:eastAsia="Calibri" w:hAnsi="Calibri"/>
          <w:b/>
          <w:bCs/>
          <w:sz w:val="22"/>
          <w:szCs w:val="22"/>
        </w:rPr>
        <w:t xml:space="preserve">The truthful summary: </w:t>
      </w:r>
      <w:r>
        <w:rPr>
          <w:rFonts w:ascii="Calibri" w:cs="Calibri" w:eastAsia="Calibri" w:hAnsi="Calibri"/>
          <w:sz w:val="22"/>
          <w:szCs w:val="22"/>
        </w:rPr>
        <w:t xml:space="preserve">Palantir is a product company whose product is substantially co-designed by a services organisation. The ratio matters enormously to margins — which is why copying this model at small scale is dangerous.</w:t>
      </w:r>
    </w:p>
    <w:p>
      <w:pPr>
        <w:pStyle w:val="Heading2"/>
        <w:spacing w:after="140" w:before="320"/>
      </w:pPr>
      <w:r>
        <w:rPr>
          <w:rFonts w:ascii="Calibri" w:cs="Calibri" w:eastAsia="Calibri" w:hAnsi="Calibri"/>
          <w:b/>
          <w:bCs/>
          <w:color w:val="1F4E5C"/>
          <w:sz w:val="26"/>
          <w:szCs w:val="26"/>
        </w:rPr>
        <w:t xml:space="preserve">The NHS Federated Data Platform — the instructive case</w:t>
      </w:r>
    </w:p>
    <w:p>
      <w:pPr>
        <w:spacing w:after="160" w:line="288"/>
      </w:pPr>
      <w:r>
        <w:rPr>
          <w:rFonts w:ascii="Calibri" w:cs="Calibri" w:eastAsia="Calibri" w:hAnsi="Calibri"/>
          <w:sz w:val="22"/>
          <w:szCs w:val="22"/>
        </w:rPr>
        <w:t xml:space="preserve">The most relevant case study for anyone selling data infrastructure into UK public services.</w:t>
      </w:r>
    </w:p>
    <w:tbl>
      <w:tblPr>
        <w:tblW w:type="dxa" w:w="9360"/>
        <w:tblBorders>
          <w:top w:val="single" w:color="C9D3D9" w:sz="2"/>
          <w:left w:val="single" w:color="C9D3D9" w:sz="2"/>
          <w:bottom w:val="single" w:color="C9D3D9" w:sz="2"/>
          <w:right w:val="single" w:color="C9D3D9" w:sz="2"/>
          <w:insideH w:val="single" w:color="C9D3D9" w:sz="2"/>
          <w:insideV w:val="single" w:color="C9D3D9" w:sz="2"/>
        </w:tblBorders>
      </w:tblPr>
      <w:tblGrid>
        <w:gridCol w:w="1700"/>
        <w:gridCol w:w="7660"/>
      </w:tblGrid>
      <w:tr>
        <w:trPr>
          <w:tblHeader/>
        </w:trPr>
        <w:tc>
          <w:tcPr>
            <w:tcW w:type="dxa" w:w="1700"/>
            <w:shd w:fill="1F4E5C" w:val="clear"/>
            <w:tcMar>
              <w:top w:type="dxa" w:w="100"/>
              <w:left w:type="dxa" w:w="140"/>
              <w:bottom w:type="dxa" w:w="100"/>
              <w:right w:type="dxa" w:w="140"/>
            </w:tcMar>
          </w:tcPr>
          <w:p>
            <w:pPr>
              <w:spacing w:after="0" w:line="264"/>
            </w:pPr>
            <w:r>
              <w:rPr>
                <w:rFonts w:ascii="Calibri" w:cs="Calibri" w:eastAsia="Calibri" w:hAnsi="Calibri"/>
                <w:b/>
                <w:bCs/>
                <w:color w:val="FFFFFF"/>
                <w:sz w:val="20"/>
                <w:szCs w:val="20"/>
              </w:rPr>
              <w:t xml:space="preserve">Issue</w:t>
            </w:r>
          </w:p>
        </w:tc>
        <w:tc>
          <w:tcPr>
            <w:tcW w:type="dxa" w:w="7660"/>
            <w:shd w:fill="1F4E5C" w:val="clear"/>
            <w:tcMar>
              <w:top w:type="dxa" w:w="100"/>
              <w:left w:type="dxa" w:w="140"/>
              <w:bottom w:type="dxa" w:w="100"/>
              <w:right w:type="dxa" w:w="140"/>
            </w:tcMar>
          </w:tcPr>
          <w:p>
            <w:pPr>
              <w:spacing w:after="0" w:line="264"/>
            </w:pPr>
            <w:r>
              <w:rPr>
                <w:rFonts w:ascii="Calibri" w:cs="Calibri" w:eastAsia="Calibri" w:hAnsi="Calibri"/>
                <w:b/>
                <w:bCs/>
                <w:color w:val="FFFFFF"/>
                <w:sz w:val="20"/>
                <w:szCs w:val="20"/>
              </w:rPr>
              <w:t xml:space="preserve">What happened</w:t>
            </w:r>
          </w:p>
        </w:tc>
      </w:tr>
      <w:tr>
        <w:tc>
          <w:tcPr>
            <w:tcW w:type="dxa" w:w="1700"/>
            <w:shd w:fill="FFFFFF" w:val="clear"/>
            <w:tcMar>
              <w:top w:type="dxa" w:w="100"/>
              <w:left w:type="dxa" w:w="140"/>
              <w:bottom w:type="dxa" w:w="100"/>
              <w:right w:type="dxa" w:w="140"/>
            </w:tcMar>
          </w:tcPr>
          <w:p>
            <w:pPr>
              <w:spacing w:after="0" w:line="264"/>
            </w:pPr>
            <w:r>
              <w:rPr>
                <w:rFonts w:ascii="Calibri" w:cs="Calibri" w:eastAsia="Calibri" w:hAnsi="Calibri"/>
                <w:b/>
                <w:bCs/>
                <w:color w:val="222222"/>
                <w:sz w:val="20"/>
                <w:szCs w:val="20"/>
              </w:rPr>
              <w:t xml:space="preserve">Procurement</w:t>
            </w:r>
          </w:p>
        </w:tc>
        <w:tc>
          <w:tcPr>
            <w:tcW w:type="dxa" w:w="7660"/>
            <w:shd w:fill="FFFFFF" w:val="clear"/>
            <w:tcMar>
              <w:top w:type="dxa" w:w="100"/>
              <w:left w:type="dxa" w:w="140"/>
              <w:bottom w:type="dxa" w:w="100"/>
              <w:right w:type="dxa" w:w="140"/>
            </w:tcMar>
          </w:tcPr>
          <w:p>
            <w:pPr>
              <w:spacing w:after="0" w:line="264"/>
            </w:pPr>
            <w:r>
              <w:rPr>
                <w:rFonts w:ascii="Calibri" w:cs="Calibri" w:eastAsia="Calibri" w:hAnsi="Calibri"/>
                <w:b w:val="false"/>
                <w:bCs w:val="false"/>
                <w:color w:val="222222"/>
                <w:sz w:val="20"/>
                <w:szCs w:val="20"/>
              </w:rPr>
              <w:t xml:space="preserve">Original COVID-era contract awarded March 2020 without competitive tender at a nominal £1. The published contract had 417 of 586 pages redacted until a legal challenge; privacy sections were heavily censored.</w:t>
            </w:r>
          </w:p>
        </w:tc>
      </w:tr>
      <w:tr>
        <w:tc>
          <w:tcPr>
            <w:tcW w:type="dxa" w:w="1700"/>
            <w:shd w:fill="F4F7F9" w:val="clear"/>
            <w:tcMar>
              <w:top w:type="dxa" w:w="100"/>
              <w:left w:type="dxa" w:w="140"/>
              <w:bottom w:type="dxa" w:w="100"/>
              <w:right w:type="dxa" w:w="140"/>
            </w:tcMar>
          </w:tcPr>
          <w:p>
            <w:pPr>
              <w:spacing w:after="0" w:line="264"/>
            </w:pPr>
            <w:r>
              <w:rPr>
                <w:rFonts w:ascii="Calibri" w:cs="Calibri" w:eastAsia="Calibri" w:hAnsi="Calibri"/>
                <w:b/>
                <w:bCs/>
                <w:color w:val="222222"/>
                <w:sz w:val="20"/>
                <w:szCs w:val="20"/>
              </w:rPr>
              <w:t xml:space="preserve">Legal basis</w:t>
            </w:r>
          </w:p>
        </w:tc>
        <w:tc>
          <w:tcPr>
            <w:tcW w:type="dxa" w:w="7660"/>
            <w:shd w:fill="F4F7F9" w:val="clear"/>
            <w:tcMar>
              <w:top w:type="dxa" w:w="100"/>
              <w:left w:type="dxa" w:w="140"/>
              <w:bottom w:type="dxa" w:w="100"/>
              <w:right w:type="dxa" w:w="140"/>
            </w:tcMar>
          </w:tcPr>
          <w:p>
            <w:pPr>
              <w:spacing w:after="0" w:line="264"/>
            </w:pPr>
            <w:r>
              <w:rPr>
                <w:rFonts w:ascii="Calibri" w:cs="Calibri" w:eastAsia="Calibri" w:hAnsi="Calibri"/>
                <w:b w:val="false"/>
                <w:bCs w:val="false"/>
                <w:color w:val="222222"/>
                <w:sz w:val="20"/>
                <w:szCs w:val="20"/>
              </w:rPr>
              <w:t xml:space="preserve">Board documents indicated NHS England legal advice that a privacy-enhancing component “lacked a legal basis” to process the data.</w:t>
            </w:r>
          </w:p>
        </w:tc>
      </w:tr>
      <w:tr>
        <w:tc>
          <w:tcPr>
            <w:tcW w:type="dxa" w:w="1700"/>
            <w:shd w:fill="FFFFFF" w:val="clear"/>
            <w:tcMar>
              <w:top w:type="dxa" w:w="100"/>
              <w:left w:type="dxa" w:w="140"/>
              <w:bottom w:type="dxa" w:w="100"/>
              <w:right w:type="dxa" w:w="140"/>
            </w:tcMar>
          </w:tcPr>
          <w:p>
            <w:pPr>
              <w:spacing w:after="0" w:line="264"/>
            </w:pPr>
            <w:r>
              <w:rPr>
                <w:rFonts w:ascii="Calibri" w:cs="Calibri" w:eastAsia="Calibri" w:hAnsi="Calibri"/>
                <w:b/>
                <w:bCs/>
                <w:color w:val="222222"/>
                <w:sz w:val="20"/>
                <w:szCs w:val="20"/>
              </w:rPr>
              <w:t xml:space="preserve">Capability</w:t>
            </w:r>
          </w:p>
        </w:tc>
        <w:tc>
          <w:tcPr>
            <w:tcW w:type="dxa" w:w="7660"/>
            <w:shd w:fill="FFFFFF" w:val="clear"/>
            <w:tcMar>
              <w:top w:type="dxa" w:w="100"/>
              <w:left w:type="dxa" w:w="140"/>
              <w:bottom w:type="dxa" w:w="100"/>
              <w:right w:type="dxa" w:w="140"/>
            </w:tcMar>
          </w:tcPr>
          <w:p>
            <w:pPr>
              <w:spacing w:after="0" w:line="264"/>
            </w:pPr>
            <w:r>
              <w:rPr>
                <w:rFonts w:ascii="Calibri" w:cs="Calibri" w:eastAsia="Calibri" w:hAnsi="Calibri"/>
                <w:b w:val="false"/>
                <w:bCs w:val="false"/>
                <w:color w:val="222222"/>
                <w:sz w:val="20"/>
                <w:szCs w:val="20"/>
              </w:rPr>
              <w:t xml:space="preserve">Leeds Teaching Hospitals said they would “lose functionality rather than gain it”. The NHS Chief Data and Analytical Officer Network concluded in February 2025 that existing tools “presently exceed the capability” of the platform.</w:t>
            </w:r>
          </w:p>
        </w:tc>
      </w:tr>
      <w:tr>
        <w:tc>
          <w:tcPr>
            <w:tcW w:type="dxa" w:w="1700"/>
            <w:shd w:fill="F4F7F9" w:val="clear"/>
            <w:tcMar>
              <w:top w:type="dxa" w:w="100"/>
              <w:left w:type="dxa" w:w="140"/>
              <w:bottom w:type="dxa" w:w="100"/>
              <w:right w:type="dxa" w:w="140"/>
            </w:tcMar>
          </w:tcPr>
          <w:p>
            <w:pPr>
              <w:spacing w:after="0" w:line="264"/>
            </w:pPr>
            <w:r>
              <w:rPr>
                <w:rFonts w:ascii="Calibri" w:cs="Calibri" w:eastAsia="Calibri" w:hAnsi="Calibri"/>
                <w:b/>
                <w:bCs/>
                <w:color w:val="222222"/>
                <w:sz w:val="20"/>
                <w:szCs w:val="20"/>
              </w:rPr>
              <w:t xml:space="preserve">Cost</w:t>
            </w:r>
          </w:p>
        </w:tc>
        <w:tc>
          <w:tcPr>
            <w:tcW w:type="dxa" w:w="7660"/>
            <w:shd w:fill="F4F7F9" w:val="clear"/>
            <w:tcMar>
              <w:top w:type="dxa" w:w="100"/>
              <w:left w:type="dxa" w:w="140"/>
              <w:bottom w:type="dxa" w:w="100"/>
              <w:right w:type="dxa" w:w="140"/>
            </w:tcMar>
          </w:tcPr>
          <w:p>
            <w:pPr>
              <w:spacing w:after="0" w:line="264"/>
            </w:pPr>
            <w:r>
              <w:rPr>
                <w:rFonts w:ascii="Calibri" w:cs="Calibri" w:eastAsia="Calibri" w:hAnsi="Calibri"/>
                <w:b w:val="false"/>
                <w:bCs w:val="false"/>
                <w:color w:val="222222"/>
                <w:sz w:val="20"/>
                <w:szCs w:val="20"/>
              </w:rPr>
              <w:t xml:space="preserve">£330m headline, with some reporting £480m; one estimate puts true national cost above £1bn. NHS England paid KPMG £8.5m to promote adoption.</w:t>
            </w:r>
          </w:p>
        </w:tc>
      </w:tr>
      <w:tr>
        <w:tc>
          <w:tcPr>
            <w:tcW w:type="dxa" w:w="1700"/>
            <w:shd w:fill="FFFFFF" w:val="clear"/>
            <w:tcMar>
              <w:top w:type="dxa" w:w="100"/>
              <w:left w:type="dxa" w:w="140"/>
              <w:bottom w:type="dxa" w:w="100"/>
              <w:right w:type="dxa" w:w="140"/>
            </w:tcMar>
          </w:tcPr>
          <w:p>
            <w:pPr>
              <w:spacing w:after="0" w:line="264"/>
            </w:pPr>
            <w:r>
              <w:rPr>
                <w:rFonts w:ascii="Calibri" w:cs="Calibri" w:eastAsia="Calibri" w:hAnsi="Calibri"/>
                <w:b/>
                <w:bCs/>
                <w:color w:val="222222"/>
                <w:sz w:val="20"/>
                <w:szCs w:val="20"/>
              </w:rPr>
              <w:t xml:space="preserve">Opposition</w:t>
            </w:r>
          </w:p>
        </w:tc>
        <w:tc>
          <w:tcPr>
            <w:tcW w:type="dxa" w:w="7660"/>
            <w:shd w:fill="FFFFFF" w:val="clear"/>
            <w:tcMar>
              <w:top w:type="dxa" w:w="100"/>
              <w:left w:type="dxa" w:w="140"/>
              <w:bottom w:type="dxa" w:w="100"/>
              <w:right w:type="dxa" w:w="140"/>
            </w:tcMar>
          </w:tcPr>
          <w:p>
            <w:pPr>
              <w:spacing w:after="0" w:line="264"/>
            </w:pPr>
            <w:r>
              <w:rPr>
                <w:rFonts w:ascii="Calibri" w:cs="Calibri" w:eastAsia="Calibri" w:hAnsi="Calibri"/>
                <w:b w:val="false"/>
                <w:bCs w:val="false"/>
                <w:color w:val="222222"/>
                <w:sz w:val="20"/>
                <w:szCs w:val="20"/>
              </w:rPr>
              <w:t xml:space="preserve">A BMA resolution against rollout in June 2025; 47,000+ written patient complaints by February 2026; a poll showing 48% of English adults likely to opt out.</w:t>
            </w:r>
          </w:p>
        </w:tc>
      </w:tr>
    </w:tbl>
    <w:p>
      <w:pPr>
        <w:spacing w:after="240"/>
      </w:pPr>
    </w:p>
    <w:tbl>
      <w:tblPr>
        <w:tblW w:type="dxa" w:w="9360"/>
        <w:tblBorders>
          <w:top w:val="single" w:color="C9D3D9" w:sz="2"/>
          <w:left w:val="single" w:color="1F4E5C" w:sz="18"/>
          <w:bottom w:val="single" w:color="C9D3D9" w:sz="2"/>
          <w:right w:val="single" w:color="C9D3D9" w:sz="2"/>
          <w:insideH w:val="none" w:color="FFFFFF" w:sz="0"/>
          <w:insideV w:val="none" w:color="FFFFFF" w:sz="0"/>
        </w:tblBorders>
      </w:tblPr>
      <w:tblGrid>
        <w:gridCol w:w="9360"/>
      </w:tblGrid>
      <w:tr>
        <w:tc>
          <w:tcPr>
            <w:tcW w:type="dxa" w:w="9360"/>
            <w:shd w:fill="F2F6F8" w:val="clear"/>
            <w:tcMar>
              <w:top w:type="dxa" w:w="180"/>
              <w:left w:type="dxa" w:w="240"/>
              <w:bottom w:type="dxa" w:w="180"/>
              <w:right w:type="dxa" w:w="240"/>
            </w:tcMar>
          </w:tcPr>
          <w:p>
            <w:pPr>
              <w:spacing w:after="80"/>
            </w:pPr>
            <w:r>
              <w:rPr>
                <w:rFonts w:ascii="Calibri" w:cs="Calibri" w:eastAsia="Calibri" w:hAnsi="Calibri"/>
                <w:b/>
                <w:bCs/>
                <w:color w:val="1F4E5C"/>
                <w:sz w:val="22"/>
                <w:szCs w:val="22"/>
              </w:rPr>
              <w:t xml:space="preserve">The lesson — and it is not the one you would expect</w:t>
            </w:r>
          </w:p>
          <w:p>
            <w:pPr>
              <w:spacing w:after="60" w:line="276"/>
            </w:pPr>
            <w:r>
              <w:rPr>
                <w:rFonts w:ascii="Calibri" w:cs="Calibri" w:eastAsia="Calibri" w:hAnsi="Calibri"/>
                <w:sz w:val="21"/>
                <w:szCs w:val="21"/>
              </w:rPr>
              <w:t xml:space="preserve">The most-cited reason NHS trusts rejected the platform was not privacy. It was that their existing tools were better.</w:t>
            </w:r>
          </w:p>
          <w:p>
            <w:pPr>
              <w:spacing w:after="60" w:line="276"/>
            </w:pPr>
            <w:r>
              <w:rPr>
                <w:rFonts w:ascii="Calibri" w:cs="Calibri" w:eastAsia="Calibri" w:hAnsi="Calibri"/>
                <w:sz w:val="21"/>
                <w:szCs w:val="21"/>
              </w:rPr>
              <w:t xml:space="preserve">Palantir sold platform capability to organisations that needed specific answers. The corollary for education software is direct: nobody buys an ontology. They buy “which three things should I reteach 9B on Monday, and here is the evidence.”</w:t>
            </w:r>
          </w:p>
          <w:p>
            <w:pPr>
              <w:spacing w:after="60" w:line="276"/>
            </w:pPr>
            <w:r>
              <w:rPr>
                <w:rFonts w:ascii="Calibri" w:cs="Calibri" w:eastAsia="Calibri" w:hAnsi="Calibri"/>
                <w:sz w:val="21"/>
                <w:szCs w:val="21"/>
              </w:rPr>
              <w:t xml:space="preserve">Build the ontology because it makes that answer cheap and trustworthy — then never mention it in a sales meeting.</w:t>
            </w:r>
          </w:p>
        </w:tc>
      </w:tr>
    </w:tbl>
    <w:p>
      <w:pPr>
        <w:pStyle w:val="Heading2"/>
        <w:spacing w:after="140" w:before="320"/>
      </w:pPr>
      <w:r>
        <w:rPr>
          <w:rFonts w:ascii="Calibri" w:cs="Calibri" w:eastAsia="Calibri" w:hAnsi="Calibri"/>
          <w:b/>
          <w:bCs/>
          <w:color w:val="1F4E5C"/>
          <w:sz w:val="26"/>
          <w:szCs w:val="26"/>
        </w:rPr>
        <w:t xml:space="preserve">Civil liberties</w:t>
      </w:r>
    </w:p>
    <w:p>
      <w:pPr>
        <w:spacing w:after="160" w:line="288"/>
      </w:pPr>
      <w:r>
        <w:rPr>
          <w:rFonts w:ascii="Calibri" w:cs="Calibri" w:eastAsia="Calibri" w:hAnsi="Calibri"/>
          <w:sz w:val="22"/>
          <w:szCs w:val="22"/>
        </w:rPr>
        <w:t xml:space="preserve">Predictive policing deployments — including a Los Angeles system cross-referencing around 160 datasets — drew sustained criticism for disproportionately targeting Black and Latino neighbourhoods. Immigration enforcement contracts, a 2025 investigation into UK police deployments combining criminal records with data including trade union membership and sexual orientation, and naming by a UN Special Rapporteur and Amnesty in relation to Israel and Palestine have all attracted significant opposition. One major investor divested.</w:t>
      </w:r>
    </w:p>
    <w:p>
      <w:pPr>
        <w:pStyle w:val="Heading2"/>
        <w:spacing w:after="140" w:before="320"/>
      </w:pPr>
      <w:r>
        <w:rPr>
          <w:rFonts w:ascii="Calibri" w:cs="Calibri" w:eastAsia="Calibri" w:hAnsi="Calibri"/>
          <w:b/>
          <w:bCs/>
          <w:color w:val="1F4E5C"/>
          <w:sz w:val="26"/>
          <w:szCs w:val="26"/>
        </w:rPr>
        <w:t xml:space="preserve">The marketing-to-reality gap, in three specifics</w:t>
      </w:r>
    </w:p>
    <w:p>
      <w:pPr>
        <w:pStyle w:val="ListParagraph"/>
        <w:numPr>
          <w:ilvl w:val="0"/>
          <w:numId w:val="3"/>
        </w:numPr>
        <w:spacing w:after="110" w:line="288"/>
      </w:pPr>
      <w:r>
        <w:rPr>
          <w:rFonts w:ascii="Calibri" w:cs="Calibri" w:eastAsia="Calibri" w:hAnsi="Calibri"/>
          <w:b/>
          <w:bCs/>
          <w:sz w:val="22"/>
          <w:szCs w:val="22"/>
        </w:rPr>
        <w:t xml:space="preserve">“Ontology equals digital twin”</w:t>
      </w:r>
      <w:r>
        <w:rPr>
          <w:rFonts w:ascii="Calibri" w:cs="Calibri" w:eastAsia="Calibri" w:hAnsi="Calibri"/>
          <w:sz w:val="22"/>
          <w:szCs w:val="22"/>
        </w:rPr>
        <w:t xml:space="preserve"> — it is a governed CRUD-and-graph layer, not a simulation.</w:t>
      </w:r>
    </w:p>
    <w:p>
      <w:pPr>
        <w:pStyle w:val="ListParagraph"/>
        <w:numPr>
          <w:ilvl w:val="0"/>
          <w:numId w:val="3"/>
        </w:numPr>
        <w:spacing w:after="110" w:line="288"/>
      </w:pPr>
      <w:r>
        <w:rPr>
          <w:rFonts w:ascii="Calibri" w:cs="Calibri" w:eastAsia="Calibri" w:hAnsi="Calibri"/>
          <w:b/>
          <w:bCs/>
          <w:sz w:val="22"/>
          <w:szCs w:val="22"/>
        </w:rPr>
        <w:t xml:space="preserve">“AI that runs your enterprise”</w:t>
      </w:r>
      <w:r>
        <w:rPr>
          <w:rFonts w:ascii="Calibri" w:cs="Calibri" w:eastAsia="Calibri" w:hAnsi="Calibri"/>
          <w:sz w:val="22"/>
          <w:szCs w:val="22"/>
        </w:rPr>
        <w:t xml:space="preserve"> — in practice, tightly-scoped LLM functions with human-confirmed actions.</w:t>
      </w:r>
    </w:p>
    <w:p>
      <w:pPr>
        <w:pStyle w:val="ListParagraph"/>
        <w:numPr>
          <w:ilvl w:val="0"/>
          <w:numId w:val="3"/>
        </w:numPr>
        <w:spacing w:after="110" w:line="288"/>
      </w:pPr>
      <w:r>
        <w:rPr>
          <w:rFonts w:ascii="Calibri" w:cs="Calibri" w:eastAsia="Calibri" w:hAnsi="Calibri"/>
          <w:b/>
          <w:bCs/>
          <w:sz w:val="22"/>
          <w:szCs w:val="22"/>
        </w:rPr>
        <w:t xml:space="preserve">The platform’s power is real but is unlocked by expensive humans</w:t>
      </w:r>
      <w:r>
        <w:rPr>
          <w:rFonts w:ascii="Calibri" w:cs="Calibri" w:eastAsia="Calibri" w:hAnsi="Calibri"/>
          <w:sz w:val="22"/>
          <w:szCs w:val="22"/>
        </w:rPr>
        <w:t xml:space="preserve"> — which is why organisations with good existing analytics teams repeatedly concluded they would go backwards.</w:t>
      </w:r>
    </w:p>
    <w:p>
      <w:r>
        <w:br w:type="page"/>
      </w:r>
    </w:p>
    <w:p>
      <w:pPr>
        <w:pStyle w:val="Heading1"/>
        <w:spacing w:after="200" w:before="480"/>
      </w:pPr>
      <w:r>
        <w:rPr>
          <w:rFonts w:ascii="Calibri" w:cs="Calibri" w:eastAsia="Calibri" w:hAnsi="Calibri"/>
          <w:b/>
          <w:bCs/>
          <w:color w:val="1F4E5C"/>
          <w:sz w:val="34"/>
          <w:szCs w:val="34"/>
        </w:rPr>
        <w:t xml:space="preserve">8.  What is actually transferable</w:t>
      </w:r>
    </w:p>
    <w:p>
      <w:pPr>
        <w:pStyle w:val="Heading2"/>
        <w:spacing w:after="140" w:before="320"/>
      </w:pPr>
      <w:r>
        <w:rPr>
          <w:rFonts w:ascii="Calibri" w:cs="Calibri" w:eastAsia="Calibri" w:hAnsi="Calibri"/>
          <w:b/>
          <w:bCs/>
          <w:color w:val="1F4E5C"/>
          <w:sz w:val="26"/>
          <w:szCs w:val="26"/>
        </w:rPr>
        <w:t xml:space="preserve">Steal these — high value, low cost, works at any scale</w:t>
      </w:r>
    </w:p>
    <w:p>
      <w:pPr>
        <w:pStyle w:val="ListParagraph"/>
        <w:numPr>
          <w:ilvl w:val="0"/>
          <w:numId w:val="3"/>
        </w:numPr>
        <w:spacing w:after="110" w:line="288"/>
      </w:pPr>
      <w:r>
        <w:rPr>
          <w:rFonts w:ascii="Calibri" w:cs="Calibri" w:eastAsia="Calibri" w:hAnsi="Calibri"/>
          <w:b/>
          <w:bCs/>
          <w:sz w:val="22"/>
          <w:szCs w:val="22"/>
        </w:rPr>
        <w:t xml:space="preserve">The Ontology as a real artefact.</w:t>
      </w:r>
      <w:r>
        <w:rPr>
          <w:rFonts w:ascii="Calibri" w:cs="Calibri" w:eastAsia="Calibri" w:hAnsi="Calibri"/>
          <w:sz w:val="22"/>
          <w:szCs w:val="22"/>
        </w:rPr>
        <w:t xml:space="preserve"> One versioned definition of your object types, properties, links and — crucially — actions. In a TypeScript stack that is a single schema module generating database views, an API, a typed client and the LLM tool definitions. A fortnight of work, and the highest-leverage item on this list.</w:t>
      </w:r>
    </w:p>
    <w:p>
      <w:pPr>
        <w:pStyle w:val="ListParagraph"/>
        <w:numPr>
          <w:ilvl w:val="0"/>
          <w:numId w:val="3"/>
        </w:numPr>
        <w:spacing w:after="110" w:line="288"/>
      </w:pPr>
      <w:r>
        <w:rPr>
          <w:rFonts w:ascii="Calibri" w:cs="Calibri" w:eastAsia="Calibri" w:hAnsi="Calibri"/>
          <w:b/>
          <w:bCs/>
          <w:sz w:val="22"/>
          <w:szCs w:val="22"/>
        </w:rPr>
        <w:t xml:space="preserve">Actions as the only write path.</w:t>
      </w:r>
      <w:r>
        <w:rPr>
          <w:rFonts w:ascii="Calibri" w:cs="Calibri" w:eastAsia="Calibri" w:hAnsi="Calibri"/>
          <w:sz w:val="22"/>
          <w:szCs w:val="22"/>
        </w:rPr>
        <w:t xml:space="preserve"> Never let application code or an LLM write rows. Every mutation is a named action with typed parameters, validation, a permission predicate, side effects and an immutable edit-history row. This gives you audit, undo, agent safety and a changelog for free.</w:t>
      </w:r>
    </w:p>
    <w:p>
      <w:pPr>
        <w:pStyle w:val="ListParagraph"/>
        <w:numPr>
          <w:ilvl w:val="0"/>
          <w:numId w:val="3"/>
        </w:numPr>
        <w:spacing w:after="110" w:line="288"/>
      </w:pPr>
      <w:r>
        <w:rPr>
          <w:rFonts w:ascii="Calibri" w:cs="Calibri" w:eastAsia="Calibri" w:hAnsi="Calibri"/>
          <w:b/>
          <w:bCs/>
          <w:sz w:val="22"/>
          <w:szCs w:val="22"/>
        </w:rPr>
        <w:t xml:space="preserve">Prerequisite links between objectives.</w:t>
      </w:r>
      <w:r>
        <w:rPr>
          <w:rFonts w:ascii="Calibri" w:cs="Calibri" w:eastAsia="Calibri" w:hAnsi="Calibri"/>
          <w:sz w:val="22"/>
          <w:szCs w:val="22"/>
        </w:rPr>
        <w:t xml:space="preserve"> The education analogue of link analysis. A knowledge graph over objectives is where the real product is.</w:t>
      </w:r>
    </w:p>
    <w:p>
      <w:pPr>
        <w:pStyle w:val="ListParagraph"/>
        <w:numPr>
          <w:ilvl w:val="0"/>
          <w:numId w:val="3"/>
        </w:numPr>
        <w:spacing w:after="110" w:line="288"/>
      </w:pPr>
      <w:r>
        <w:rPr>
          <w:rFonts w:ascii="Calibri" w:cs="Calibri" w:eastAsia="Calibri" w:hAnsi="Calibri"/>
          <w:b/>
          <w:bCs/>
          <w:sz w:val="22"/>
          <w:szCs w:val="22"/>
        </w:rPr>
        <w:t xml:space="preserve">Object sets carried between views.</w:t>
      </w:r>
      <w:r>
        <w:rPr>
          <w:rFonts w:ascii="Calibri" w:cs="Calibri" w:eastAsia="Calibri" w:hAnsi="Calibri"/>
          <w:sz w:val="22"/>
          <w:szCs w:val="22"/>
        </w:rPr>
        <w:t xml:space="preserve"> Pick a cohort once; carry it into the heatmap, the timeline and the intervention list. This is the game-like property, and it costs a state-management decision rather than a platform.</w:t>
      </w:r>
    </w:p>
    <w:p>
      <w:pPr>
        <w:pStyle w:val="ListParagraph"/>
        <w:numPr>
          <w:ilvl w:val="0"/>
          <w:numId w:val="3"/>
        </w:numPr>
        <w:spacing w:after="110" w:line="288"/>
      </w:pPr>
      <w:r>
        <w:rPr>
          <w:rFonts w:ascii="Calibri" w:cs="Calibri" w:eastAsia="Calibri" w:hAnsi="Calibri"/>
          <w:b/>
          <w:bCs/>
          <w:sz w:val="22"/>
          <w:szCs w:val="22"/>
        </w:rPr>
        <w:t xml:space="preserve">Purpose-based access control.</w:t>
      </w:r>
      <w:r>
        <w:rPr>
          <w:rFonts w:ascii="Calibri" w:cs="Calibri" w:eastAsia="Calibri" w:hAnsi="Calibri"/>
          <w:sz w:val="22"/>
          <w:szCs w:val="22"/>
        </w:rPr>
        <w:t xml:space="preserve"> For schools and trusts this is a genuine sales weapon, and it is a two-table implementation.</w:t>
      </w:r>
    </w:p>
    <w:p>
      <w:pPr>
        <w:pStyle w:val="ListParagraph"/>
        <w:numPr>
          <w:ilvl w:val="0"/>
          <w:numId w:val="3"/>
        </w:numPr>
        <w:spacing w:after="110" w:line="288"/>
      </w:pPr>
      <w:r>
        <w:rPr>
          <w:rFonts w:ascii="Calibri" w:cs="Calibri" w:eastAsia="Calibri" w:hAnsi="Calibri"/>
          <w:b/>
          <w:bCs/>
          <w:sz w:val="22"/>
          <w:szCs w:val="22"/>
        </w:rPr>
        <w:t xml:space="preserve">Marking propagation through lineage.</w:t>
      </w:r>
      <w:r>
        <w:rPr>
          <w:rFonts w:ascii="Calibri" w:cs="Calibri" w:eastAsia="Calibri" w:hAnsi="Calibri"/>
          <w:sz w:val="22"/>
          <w:szCs w:val="22"/>
        </w:rPr>
        <w:t xml:space="preserve"> If a source is marked as pupil personal data, everything derived from it inherits the marking and is blocked from export by default.</w:t>
      </w:r>
    </w:p>
    <w:p>
      <w:pPr>
        <w:pStyle w:val="ListParagraph"/>
        <w:numPr>
          <w:ilvl w:val="0"/>
          <w:numId w:val="3"/>
        </w:numPr>
        <w:spacing w:after="110" w:line="288"/>
      </w:pPr>
      <w:r>
        <w:rPr>
          <w:rFonts w:ascii="Calibri" w:cs="Calibri" w:eastAsia="Calibri" w:hAnsi="Calibri"/>
          <w:b/>
          <w:bCs/>
          <w:sz w:val="22"/>
          <w:szCs w:val="22"/>
        </w:rPr>
        <w:t xml:space="preserve">Structured audit logs from day one</w:t>
      </w:r>
      <w:r>
        <w:rPr>
          <w:rFonts w:ascii="Calibri" w:cs="Calibri" w:eastAsia="Calibri" w:hAnsi="Calibri"/>
          <w:sz w:val="22"/>
          <w:szCs w:val="22"/>
        </w:rPr>
        <w:t xml:space="preserve"> — enforced categories, a documented retention window, exportable to the customer.</w:t>
      </w:r>
    </w:p>
    <w:p>
      <w:pPr>
        <w:pStyle w:val="ListParagraph"/>
        <w:numPr>
          <w:ilvl w:val="0"/>
          <w:numId w:val="3"/>
        </w:numPr>
        <w:spacing w:after="110" w:line="288"/>
      </w:pPr>
      <w:r>
        <w:rPr>
          <w:rFonts w:ascii="Calibri" w:cs="Calibri" w:eastAsia="Calibri" w:hAnsi="Calibri"/>
          <w:b/>
          <w:bCs/>
          <w:sz w:val="22"/>
          <w:szCs w:val="22"/>
        </w:rPr>
        <w:t xml:space="preserve">Branch data and logic together.</w:t>
      </w:r>
      <w:r>
        <w:rPr>
          <w:rFonts w:ascii="Calibri" w:cs="Calibri" w:eastAsia="Calibri" w:hAnsi="Calibri"/>
          <w:sz w:val="22"/>
          <w:szCs w:val="22"/>
        </w:rPr>
        <w:t xml:space="preserve"> An ephemeral seeded database per pull request gets you most of Global Branching. Version the ontology definition in the same repository so schema changes go through review.</w:t>
      </w:r>
    </w:p>
    <w:p>
      <w:pPr>
        <w:pStyle w:val="ListParagraph"/>
        <w:numPr>
          <w:ilvl w:val="0"/>
          <w:numId w:val="3"/>
        </w:numPr>
        <w:spacing w:after="110" w:line="288"/>
      </w:pPr>
      <w:r>
        <w:rPr>
          <w:rFonts w:ascii="Calibri" w:cs="Calibri" w:eastAsia="Calibri" w:hAnsi="Calibri"/>
          <w:b/>
          <w:bCs/>
          <w:sz w:val="22"/>
          <w:szCs w:val="22"/>
        </w:rPr>
        <w:t xml:space="preserve">Ground the LLM on the ontology, not the database.</w:t>
      </w:r>
      <w:r>
        <w:rPr>
          <w:rFonts w:ascii="Calibri" w:cs="Calibri" w:eastAsia="Calibri" w:hAnsi="Calibri"/>
          <w:sz w:val="22"/>
          <w:szCs w:val="22"/>
        </w:rPr>
        <w:t xml:space="preserve"> Enforce the user’s permissions inside the tool implementation, never in the prompt.</w:t>
      </w:r>
    </w:p>
    <w:p>
      <w:pPr>
        <w:pStyle w:val="ListParagraph"/>
        <w:numPr>
          <w:ilvl w:val="0"/>
          <w:numId w:val="3"/>
        </w:numPr>
        <w:spacing w:after="110" w:line="288"/>
      </w:pPr>
      <w:r>
        <w:rPr>
          <w:rFonts w:ascii="Calibri" w:cs="Calibri" w:eastAsia="Calibri" w:hAnsi="Calibri"/>
          <w:b/>
          <w:bCs/>
          <w:sz w:val="22"/>
          <w:szCs w:val="22"/>
        </w:rPr>
        <w:t xml:space="preserve">Evaluations as a habit.</w:t>
      </w:r>
      <w:r>
        <w:rPr>
          <w:rFonts w:ascii="Calibri" w:cs="Calibri" w:eastAsia="Calibri" w:hAnsi="Calibri"/>
          <w:sz w:val="22"/>
          <w:szCs w:val="22"/>
        </w:rPr>
        <w:t xml:space="preserve"> Test cases, LLM-as-judge, run at least three times, compare across versions. Do not ship AI features without it.</w:t>
      </w:r>
    </w:p>
    <w:p>
      <w:pPr>
        <w:spacing w:after="200"/>
      </w:pPr>
    </w:p>
    <w:p>
      <w:pPr>
        <w:pStyle w:val="Heading2"/>
        <w:spacing w:after="140" w:before="320"/>
      </w:pPr>
      <w:r>
        <w:rPr>
          <w:rFonts w:ascii="Calibri" w:cs="Calibri" w:eastAsia="Calibri" w:hAnsi="Calibri"/>
          <w:b/>
          <w:bCs/>
          <w:color w:val="1F4E5C"/>
          <w:sz w:val="26"/>
          <w:szCs w:val="26"/>
        </w:rPr>
        <w:t xml:space="preserve">Ignore these — enterprise theatre, or only pays back at very large scale</w:t>
      </w:r>
    </w:p>
    <w:p>
      <w:pPr>
        <w:pStyle w:val="ListParagraph"/>
        <w:numPr>
          <w:ilvl w:val="0"/>
          <w:numId w:val="2"/>
        </w:numPr>
        <w:spacing w:after="90" w:line="288"/>
      </w:pPr>
      <w:r>
        <w:rPr>
          <w:rFonts w:ascii="Calibri" w:cs="Calibri" w:eastAsia="Calibri" w:hAnsi="Calibri"/>
          <w:b/>
          <w:bCs/>
          <w:sz w:val="22"/>
          <w:szCs w:val="22"/>
        </w:rPr>
        <w:t xml:space="preserve">Building your own Foundry.</w:t>
      </w:r>
      <w:r>
        <w:rPr>
          <w:rFonts w:ascii="Calibri" w:cs="Calibri" w:eastAsia="Calibri" w:hAnsi="Calibri"/>
          <w:sz w:val="22"/>
          <w:szCs w:val="22"/>
        </w:rPr>
        <w:t xml:space="preserve"> Palantir has a decade and thousands of engineers in that pipeline stack. Use Postgres, DuckDB and dbt.</w:t>
      </w:r>
    </w:p>
    <w:p>
      <w:pPr>
        <w:pStyle w:val="ListParagraph"/>
        <w:numPr>
          <w:ilvl w:val="0"/>
          <w:numId w:val="2"/>
        </w:numPr>
        <w:spacing w:after="90" w:line="288"/>
      </w:pPr>
      <w:r>
        <w:rPr>
          <w:rFonts w:ascii="Calibri" w:cs="Calibri" w:eastAsia="Calibri" w:hAnsi="Calibri"/>
          <w:b/>
          <w:bCs/>
          <w:sz w:val="22"/>
          <w:szCs w:val="22"/>
        </w:rPr>
        <w:t xml:space="preserve">A full lineage-graph UI, catalogue product or data marketplace.</w:t>
      </w:r>
      <w:r>
        <w:rPr>
          <w:rFonts w:ascii="Calibri" w:cs="Calibri" w:eastAsia="Calibri" w:hAnsi="Calibri"/>
          <w:sz w:val="22"/>
          <w:szCs w:val="22"/>
        </w:rPr>
        <w:t xml:space="preserve"> Nobody in a school will ever look at it.</w:t>
      </w:r>
    </w:p>
    <w:p>
      <w:pPr>
        <w:pStyle w:val="ListParagraph"/>
        <w:numPr>
          <w:ilvl w:val="0"/>
          <w:numId w:val="2"/>
        </w:numPr>
        <w:spacing w:after="90" w:line="288"/>
      </w:pPr>
      <w:r>
        <w:rPr>
          <w:rFonts w:ascii="Calibri" w:cs="Calibri" w:eastAsia="Calibri" w:hAnsi="Calibri"/>
          <w:b/>
          <w:bCs/>
          <w:sz w:val="22"/>
          <w:szCs w:val="22"/>
        </w:rPr>
        <w:t xml:space="preserve">A no-code app builder.</w:t>
      </w:r>
      <w:r>
        <w:rPr>
          <w:rFonts w:ascii="Calibri" w:cs="Calibri" w:eastAsia="Calibri" w:hAnsi="Calibri"/>
          <w:sz w:val="22"/>
          <w:szCs w:val="22"/>
        </w:rPr>
        <w:t xml:space="preserve"> This exists because Palantir must serve customers with no engineers. Building an internal low-code layer is the classic small-team death spiral.</w:t>
      </w:r>
    </w:p>
    <w:p>
      <w:pPr>
        <w:pStyle w:val="ListParagraph"/>
        <w:numPr>
          <w:ilvl w:val="0"/>
          <w:numId w:val="2"/>
        </w:numPr>
        <w:spacing w:after="90" w:line="288"/>
      </w:pPr>
      <w:r>
        <w:rPr>
          <w:rFonts w:ascii="Calibri" w:cs="Calibri" w:eastAsia="Calibri" w:hAnsi="Calibri"/>
          <w:b/>
          <w:bCs/>
          <w:sz w:val="22"/>
          <w:szCs w:val="22"/>
        </w:rPr>
        <w:t xml:space="preserve">Multi-instance peering and offline synchronisation.</w:t>
      </w:r>
      <w:r>
        <w:rPr>
          <w:rFonts w:ascii="Calibri" w:cs="Calibri" w:eastAsia="Calibri" w:hAnsi="Calibri"/>
          <w:sz w:val="22"/>
          <w:szCs w:val="22"/>
        </w:rPr>
        <w:t xml:space="preserve"> That exists for warzones. Schools have wifi.</w:t>
      </w:r>
    </w:p>
    <w:p>
      <w:pPr>
        <w:pStyle w:val="ListParagraph"/>
        <w:numPr>
          <w:ilvl w:val="0"/>
          <w:numId w:val="2"/>
        </w:numPr>
        <w:spacing w:after="90" w:line="288"/>
      </w:pPr>
      <w:r>
        <w:rPr>
          <w:rFonts w:ascii="Calibri" w:cs="Calibri" w:eastAsia="Calibri" w:hAnsi="Calibri"/>
          <w:b/>
          <w:bCs/>
          <w:sz w:val="22"/>
          <w:szCs w:val="22"/>
        </w:rPr>
        <w:t xml:space="preserve">Air-gapped or on-premise delivery.</w:t>
      </w:r>
      <w:r>
        <w:rPr>
          <w:rFonts w:ascii="Calibri" w:cs="Calibri" w:eastAsia="Calibri" w:hAnsi="Calibri"/>
          <w:sz w:val="22"/>
          <w:szCs w:val="22"/>
        </w:rPr>
        <w:t xml:space="preserve"> Enormous cost; nobody in UK education will pay for it.</w:t>
      </w:r>
    </w:p>
    <w:p>
      <w:pPr>
        <w:pStyle w:val="ListParagraph"/>
        <w:numPr>
          <w:ilvl w:val="0"/>
          <w:numId w:val="2"/>
        </w:numPr>
        <w:spacing w:after="90" w:line="288"/>
      </w:pPr>
      <w:r>
        <w:rPr>
          <w:rFonts w:ascii="Calibri" w:cs="Calibri" w:eastAsia="Calibri" w:hAnsi="Calibri"/>
          <w:b/>
          <w:bCs/>
          <w:sz w:val="22"/>
          <w:szCs w:val="22"/>
        </w:rPr>
        <w:t xml:space="preserve">Cell-level security with a policy engine.</w:t>
      </w:r>
      <w:r>
        <w:rPr>
          <w:rFonts w:ascii="Calibri" w:cs="Calibri" w:eastAsia="Calibri" w:hAnsi="Calibri"/>
          <w:sz w:val="22"/>
          <w:szCs w:val="22"/>
        </w:rPr>
        <w:t xml:space="preserve"> Row-level security plus column masking on a handful of sensitive fields covers everything a trust needs.</w:t>
      </w:r>
    </w:p>
    <w:p>
      <w:pPr>
        <w:pStyle w:val="ListParagraph"/>
        <w:numPr>
          <w:ilvl w:val="0"/>
          <w:numId w:val="2"/>
        </w:numPr>
        <w:spacing w:after="90" w:line="288"/>
      </w:pPr>
      <w:r>
        <w:rPr>
          <w:rFonts w:ascii="Calibri" w:cs="Calibri" w:eastAsia="Calibri" w:hAnsi="Calibri"/>
          <w:b/>
          <w:bCs/>
          <w:sz w:val="22"/>
          <w:szCs w:val="22"/>
        </w:rPr>
        <w:t xml:space="preserve">Dynamic runtime-extensible schema.</w:t>
      </w:r>
      <w:r>
        <w:rPr>
          <w:rFonts w:ascii="Calibri" w:cs="Calibri" w:eastAsia="Calibri" w:hAnsi="Calibri"/>
          <w:sz w:val="22"/>
          <w:szCs w:val="22"/>
        </w:rPr>
        <w:t xml:space="preserve"> Gotham needs it because analysts discover new entity types mid-investigation. Education has a stable ontology — student, class, objective, attempt. Hard-code it.</w:t>
      </w:r>
    </w:p>
    <w:p>
      <w:pPr>
        <w:pStyle w:val="ListParagraph"/>
        <w:numPr>
          <w:ilvl w:val="0"/>
          <w:numId w:val="2"/>
        </w:numPr>
        <w:spacing w:after="90" w:line="288"/>
      </w:pPr>
      <w:r>
        <w:rPr>
          <w:rFonts w:ascii="Calibri" w:cs="Calibri" w:eastAsia="Calibri" w:hAnsi="Calibri"/>
          <w:b/>
          <w:bCs/>
          <w:sz w:val="22"/>
          <w:szCs w:val="22"/>
        </w:rPr>
        <w:t xml:space="preserve">Forward-deployed engineering as a business model.</w:t>
      </w:r>
      <w:r>
        <w:rPr>
          <w:rFonts w:ascii="Calibri" w:cs="Calibri" w:eastAsia="Calibri" w:hAnsi="Calibri"/>
          <w:sz w:val="22"/>
          <w:szCs w:val="22"/>
        </w:rPr>
        <w:t xml:space="preserve"> Tempting, because early customers will ask. It destroys margin and product focus at small scale.</w:t>
      </w:r>
    </w:p>
    <w:p>
      <w:pPr>
        <w:pStyle w:val="ListParagraph"/>
        <w:numPr>
          <w:ilvl w:val="0"/>
          <w:numId w:val="2"/>
        </w:numPr>
        <w:spacing w:after="90" w:line="288"/>
      </w:pPr>
      <w:r>
        <w:rPr>
          <w:rFonts w:ascii="Calibri" w:cs="Calibri" w:eastAsia="Calibri" w:hAnsi="Calibri"/>
          <w:b/>
          <w:bCs/>
          <w:sz w:val="22"/>
          <w:szCs w:val="22"/>
        </w:rPr>
        <w:t xml:space="preserve">“Digital twin” language.</w:t>
      </w:r>
      <w:r>
        <w:rPr>
          <w:rFonts w:ascii="Calibri" w:cs="Calibri" w:eastAsia="Calibri" w:hAnsi="Calibri"/>
          <w:sz w:val="22"/>
          <w:szCs w:val="22"/>
        </w:rPr>
        <w:t xml:space="preserve"> It sounds like nonsense to a headteacher. Say “a live model of what each pupil knows.”</w:t>
      </w:r>
    </w:p>
    <w:p>
      <w:r>
        <w:br w:type="page"/>
      </w:r>
    </w:p>
    <w:p>
      <w:pPr>
        <w:pStyle w:val="Heading1"/>
        <w:spacing w:after="200" w:before="480"/>
      </w:pPr>
      <w:r>
        <w:rPr>
          <w:rFonts w:ascii="Calibri" w:cs="Calibri" w:eastAsia="Calibri" w:hAnsi="Calibri"/>
          <w:b/>
          <w:bCs/>
          <w:color w:val="1F4E5C"/>
          <w:sz w:val="34"/>
          <w:szCs w:val="34"/>
        </w:rPr>
        <w:t xml:space="preserve">9.  Open-source equivalents</w:t>
      </w:r>
    </w:p>
    <w:p>
      <w:pPr>
        <w:spacing w:after="160" w:line="288"/>
      </w:pPr>
      <w:r>
        <w:rPr>
          <w:rFonts w:ascii="Calibri" w:cs="Calibri" w:eastAsia="Calibri" w:hAnsi="Calibri"/>
          <w:sz w:val="22"/>
          <w:szCs w:val="22"/>
        </w:rPr>
        <w:t xml:space="preserve">If you wanted to assemble the useful two-thirds of Foundry from free components, this is the shopping list.</w:t>
      </w:r>
    </w:p>
    <w:tbl>
      <w:tblPr>
        <w:tblW w:type="dxa" w:w="9360"/>
        <w:tblBorders>
          <w:top w:val="single" w:color="C9D3D9" w:sz="2"/>
          <w:left w:val="single" w:color="C9D3D9" w:sz="2"/>
          <w:bottom w:val="single" w:color="C9D3D9" w:sz="2"/>
          <w:right w:val="single" w:color="C9D3D9" w:sz="2"/>
          <w:insideH w:val="single" w:color="C9D3D9" w:sz="2"/>
          <w:insideV w:val="single" w:color="C9D3D9" w:sz="2"/>
        </w:tblBorders>
      </w:tblPr>
      <w:tblGrid>
        <w:gridCol w:w="1500"/>
        <w:gridCol w:w="3000"/>
        <w:gridCol w:w="4860"/>
      </w:tblGrid>
      <w:tr>
        <w:trPr>
          <w:tblHeader/>
        </w:trPr>
        <w:tc>
          <w:tcPr>
            <w:tcW w:type="dxa" w:w="1500"/>
            <w:shd w:fill="1F4E5C" w:val="clear"/>
            <w:tcMar>
              <w:top w:type="dxa" w:w="100"/>
              <w:left w:type="dxa" w:w="140"/>
              <w:bottom w:type="dxa" w:w="100"/>
              <w:right w:type="dxa" w:w="140"/>
            </w:tcMar>
          </w:tcPr>
          <w:p>
            <w:pPr>
              <w:spacing w:after="0" w:line="264"/>
            </w:pPr>
            <w:r>
              <w:rPr>
                <w:rFonts w:ascii="Calibri" w:cs="Calibri" w:eastAsia="Calibri" w:hAnsi="Calibri"/>
                <w:b/>
                <w:bCs/>
                <w:color w:val="FFFFFF"/>
                <w:sz w:val="20"/>
                <w:szCs w:val="20"/>
              </w:rPr>
              <w:t xml:space="preserve">Need</w:t>
            </w:r>
          </w:p>
        </w:tc>
        <w:tc>
          <w:tcPr>
            <w:tcW w:type="dxa" w:w="3000"/>
            <w:shd w:fill="1F4E5C" w:val="clear"/>
            <w:tcMar>
              <w:top w:type="dxa" w:w="100"/>
              <w:left w:type="dxa" w:w="140"/>
              <w:bottom w:type="dxa" w:w="100"/>
              <w:right w:type="dxa" w:w="140"/>
            </w:tcMar>
          </w:tcPr>
          <w:p>
            <w:pPr>
              <w:spacing w:after="0" w:line="264"/>
            </w:pPr>
            <w:r>
              <w:rPr>
                <w:rFonts w:ascii="Calibri" w:cs="Calibri" w:eastAsia="Calibri" w:hAnsi="Calibri"/>
                <w:b/>
                <w:bCs/>
                <w:color w:val="FFFFFF"/>
                <w:sz w:val="20"/>
                <w:szCs w:val="20"/>
              </w:rPr>
              <w:t xml:space="preserve">Options</w:t>
            </w:r>
          </w:p>
        </w:tc>
        <w:tc>
          <w:tcPr>
            <w:tcW w:type="dxa" w:w="4860"/>
            <w:shd w:fill="1F4E5C" w:val="clear"/>
            <w:tcMar>
              <w:top w:type="dxa" w:w="100"/>
              <w:left w:type="dxa" w:w="140"/>
              <w:bottom w:type="dxa" w:w="100"/>
              <w:right w:type="dxa" w:w="140"/>
            </w:tcMar>
          </w:tcPr>
          <w:p>
            <w:pPr>
              <w:spacing w:after="0" w:line="264"/>
            </w:pPr>
            <w:r>
              <w:rPr>
                <w:rFonts w:ascii="Calibri" w:cs="Calibri" w:eastAsia="Calibri" w:hAnsi="Calibri"/>
                <w:b/>
                <w:bCs/>
                <w:color w:val="FFFFFF"/>
                <w:sz w:val="20"/>
                <w:szCs w:val="20"/>
              </w:rPr>
              <w:t xml:space="preserve">Recommendation</w:t>
            </w:r>
          </w:p>
        </w:tc>
      </w:tr>
      <w:tr>
        <w:tc>
          <w:tcPr>
            <w:tcW w:type="dxa" w:w="1500"/>
            <w:shd w:fill="FFFFFF" w:val="clear"/>
            <w:tcMar>
              <w:top w:type="dxa" w:w="100"/>
              <w:left w:type="dxa" w:w="140"/>
              <w:bottom w:type="dxa" w:w="100"/>
              <w:right w:type="dxa" w:w="140"/>
            </w:tcMar>
          </w:tcPr>
          <w:p>
            <w:pPr>
              <w:spacing w:after="0" w:line="264"/>
            </w:pPr>
            <w:r>
              <w:rPr>
                <w:rFonts w:ascii="Calibri" w:cs="Calibri" w:eastAsia="Calibri" w:hAnsi="Calibri"/>
                <w:b/>
                <w:bCs/>
                <w:color w:val="222222"/>
                <w:sz w:val="20"/>
                <w:szCs w:val="20"/>
              </w:rPr>
              <w:t xml:space="preserve">Entity resolution</w:t>
            </w:r>
          </w:p>
        </w:tc>
        <w:tc>
          <w:tcPr>
            <w:tcW w:type="dxa" w:w="3000"/>
            <w:shd w:fill="FFFFFF" w:val="clear"/>
            <w:tcMar>
              <w:top w:type="dxa" w:w="100"/>
              <w:left w:type="dxa" w:w="140"/>
              <w:bottom w:type="dxa" w:w="100"/>
              <w:right w:type="dxa" w:w="140"/>
            </w:tcMar>
          </w:tcPr>
          <w:p>
            <w:pPr>
              <w:spacing w:after="0" w:line="264"/>
            </w:pPr>
            <w:r>
              <w:rPr>
                <w:rFonts w:ascii="Calibri" w:cs="Calibri" w:eastAsia="Calibri" w:hAnsi="Calibri"/>
                <w:b w:val="false"/>
                <w:bCs w:val="false"/>
                <w:color w:val="222222"/>
                <w:sz w:val="20"/>
                <w:szCs w:val="20"/>
              </w:rPr>
              <w:t xml:space="preserve">Splink (UK Ministry of Justice), Zingg, Dedupe.io</w:t>
            </w:r>
          </w:p>
        </w:tc>
        <w:tc>
          <w:tcPr>
            <w:tcW w:type="dxa" w:w="4860"/>
            <w:shd w:fill="FFFFFF" w:val="clear"/>
            <w:tcMar>
              <w:top w:type="dxa" w:w="100"/>
              <w:left w:type="dxa" w:w="140"/>
              <w:bottom w:type="dxa" w:w="100"/>
              <w:right w:type="dxa" w:w="140"/>
            </w:tcMar>
          </w:tcPr>
          <w:p>
            <w:pPr>
              <w:spacing w:after="0" w:line="264"/>
            </w:pPr>
            <w:r>
              <w:rPr>
                <w:rFonts w:ascii="Calibri" w:cs="Calibri" w:eastAsia="Calibri" w:hAnsi="Calibri"/>
                <w:b w:val="false"/>
                <w:bCs w:val="false"/>
                <w:color w:val="222222"/>
                <w:sz w:val="20"/>
                <w:szCs w:val="20"/>
              </w:rPr>
              <w:t xml:space="preserve">Splink. Probabilistic record linkage built for exactly the UK administrative-data problem — linking people across systems with no shared key. Handles a million records in about a minute on a laptop. Free.</w:t>
            </w:r>
          </w:p>
        </w:tc>
      </w:tr>
      <w:tr>
        <w:tc>
          <w:tcPr>
            <w:tcW w:type="dxa" w:w="1500"/>
            <w:shd w:fill="F4F7F9" w:val="clear"/>
            <w:tcMar>
              <w:top w:type="dxa" w:w="100"/>
              <w:left w:type="dxa" w:w="140"/>
              <w:bottom w:type="dxa" w:w="100"/>
              <w:right w:type="dxa" w:w="140"/>
            </w:tcMar>
          </w:tcPr>
          <w:p>
            <w:pPr>
              <w:spacing w:after="0" w:line="264"/>
            </w:pPr>
            <w:r>
              <w:rPr>
                <w:rFonts w:ascii="Calibri" w:cs="Calibri" w:eastAsia="Calibri" w:hAnsi="Calibri"/>
                <w:b/>
                <w:bCs/>
                <w:color w:val="222222"/>
                <w:sz w:val="20"/>
                <w:szCs w:val="20"/>
              </w:rPr>
              <w:t xml:space="preserve">Graph traversal</w:t>
            </w:r>
          </w:p>
        </w:tc>
        <w:tc>
          <w:tcPr>
            <w:tcW w:type="dxa" w:w="3000"/>
            <w:shd w:fill="F4F7F9" w:val="clear"/>
            <w:tcMar>
              <w:top w:type="dxa" w:w="100"/>
              <w:left w:type="dxa" w:w="140"/>
              <w:bottom w:type="dxa" w:w="100"/>
              <w:right w:type="dxa" w:w="140"/>
            </w:tcMar>
          </w:tcPr>
          <w:p>
            <w:pPr>
              <w:spacing w:after="0" w:line="264"/>
            </w:pPr>
            <w:r>
              <w:rPr>
                <w:rFonts w:ascii="Calibri" w:cs="Calibri" w:eastAsia="Calibri" w:hAnsi="Calibri"/>
                <w:b w:val="false"/>
                <w:bCs w:val="false"/>
                <w:color w:val="222222"/>
                <w:sz w:val="20"/>
                <w:szCs w:val="20"/>
              </w:rPr>
              <w:t xml:space="preserve">Neo4j, Kùzu, Apache AGE, plain recursive queries</w:t>
            </w:r>
          </w:p>
        </w:tc>
        <w:tc>
          <w:tcPr>
            <w:tcW w:type="dxa" w:w="4860"/>
            <w:shd w:fill="F4F7F9" w:val="clear"/>
            <w:tcMar>
              <w:top w:type="dxa" w:w="100"/>
              <w:left w:type="dxa" w:w="140"/>
              <w:bottom w:type="dxa" w:w="100"/>
              <w:right w:type="dxa" w:w="140"/>
            </w:tcMar>
          </w:tcPr>
          <w:p>
            <w:pPr>
              <w:spacing w:after="0" w:line="264"/>
            </w:pPr>
            <w:r>
              <w:rPr>
                <w:rFonts w:ascii="Calibri" w:cs="Calibri" w:eastAsia="Calibri" w:hAnsi="Calibri"/>
                <w:b w:val="false"/>
                <w:bCs w:val="false"/>
                <w:color w:val="222222"/>
                <w:sz w:val="20"/>
                <w:szCs w:val="20"/>
              </w:rPr>
              <w:t xml:space="preserve">Recursive queries in Postgres are genuinely enough for a prerequisite graph of a few thousand nodes. Kùzu if you want it embedded.</w:t>
            </w:r>
          </w:p>
        </w:tc>
      </w:tr>
      <w:tr>
        <w:tc>
          <w:tcPr>
            <w:tcW w:type="dxa" w:w="1500"/>
            <w:shd w:fill="FFFFFF" w:val="clear"/>
            <w:tcMar>
              <w:top w:type="dxa" w:w="100"/>
              <w:left w:type="dxa" w:w="140"/>
              <w:bottom w:type="dxa" w:w="100"/>
              <w:right w:type="dxa" w:w="140"/>
            </w:tcMar>
          </w:tcPr>
          <w:p>
            <w:pPr>
              <w:spacing w:after="0" w:line="264"/>
            </w:pPr>
            <w:r>
              <w:rPr>
                <w:rFonts w:ascii="Calibri" w:cs="Calibri" w:eastAsia="Calibri" w:hAnsi="Calibri"/>
                <w:b/>
                <w:bCs/>
                <w:color w:val="222222"/>
                <w:sz w:val="20"/>
                <w:szCs w:val="20"/>
              </w:rPr>
              <w:t xml:space="preserve">Semantic layer</w:t>
            </w:r>
          </w:p>
        </w:tc>
        <w:tc>
          <w:tcPr>
            <w:tcW w:type="dxa" w:w="3000"/>
            <w:shd w:fill="FFFFFF" w:val="clear"/>
            <w:tcMar>
              <w:top w:type="dxa" w:w="100"/>
              <w:left w:type="dxa" w:w="140"/>
              <w:bottom w:type="dxa" w:w="100"/>
              <w:right w:type="dxa" w:w="140"/>
            </w:tcMar>
          </w:tcPr>
          <w:p>
            <w:pPr>
              <w:spacing w:after="0" w:line="264"/>
            </w:pPr>
            <w:r>
              <w:rPr>
                <w:rFonts w:ascii="Calibri" w:cs="Calibri" w:eastAsia="Calibri" w:hAnsi="Calibri"/>
                <w:b w:val="false"/>
                <w:bCs w:val="false"/>
                <w:color w:val="222222"/>
                <w:sz w:val="20"/>
                <w:szCs w:val="20"/>
              </w:rPr>
              <w:t xml:space="preserve">dbt Semantic Layer, Cube</w:t>
            </w:r>
          </w:p>
        </w:tc>
        <w:tc>
          <w:tcPr>
            <w:tcW w:type="dxa" w:w="4860"/>
            <w:shd w:fill="FFFFFF" w:val="clear"/>
            <w:tcMar>
              <w:top w:type="dxa" w:w="100"/>
              <w:left w:type="dxa" w:w="140"/>
              <w:bottom w:type="dxa" w:w="100"/>
              <w:right w:type="dxa" w:w="140"/>
            </w:tcMar>
          </w:tcPr>
          <w:p>
            <w:pPr>
              <w:spacing w:after="0" w:line="264"/>
            </w:pPr>
            <w:r>
              <w:rPr>
                <w:rFonts w:ascii="Calibri" w:cs="Calibri" w:eastAsia="Calibri" w:hAnsi="Calibri"/>
                <w:b w:val="false"/>
                <w:bCs w:val="false"/>
                <w:color w:val="222222"/>
                <w:sz w:val="20"/>
                <w:szCs w:val="20"/>
              </w:rPr>
              <w:t xml:space="preserve">Either gives you the semantic third of the Ontology. None has the kinetic layer — that gap is the whitespace worth occupying.</w:t>
            </w:r>
          </w:p>
        </w:tc>
      </w:tr>
      <w:tr>
        <w:tc>
          <w:tcPr>
            <w:tcW w:type="dxa" w:w="1500"/>
            <w:shd w:fill="F4F7F9" w:val="clear"/>
            <w:tcMar>
              <w:top w:type="dxa" w:w="100"/>
              <w:left w:type="dxa" w:w="140"/>
              <w:bottom w:type="dxa" w:w="100"/>
              <w:right w:type="dxa" w:w="140"/>
            </w:tcMar>
          </w:tcPr>
          <w:p>
            <w:pPr>
              <w:spacing w:after="0" w:line="264"/>
            </w:pPr>
            <w:r>
              <w:rPr>
                <w:rFonts w:ascii="Calibri" w:cs="Calibri" w:eastAsia="Calibri" w:hAnsi="Calibri"/>
                <w:b/>
                <w:bCs/>
                <w:color w:val="222222"/>
                <w:sz w:val="20"/>
                <w:szCs w:val="20"/>
              </w:rPr>
              <w:t xml:space="preserve">Lineage / catalogue</w:t>
            </w:r>
          </w:p>
        </w:tc>
        <w:tc>
          <w:tcPr>
            <w:tcW w:type="dxa" w:w="3000"/>
            <w:shd w:fill="F4F7F9" w:val="clear"/>
            <w:tcMar>
              <w:top w:type="dxa" w:w="100"/>
              <w:left w:type="dxa" w:w="140"/>
              <w:bottom w:type="dxa" w:w="100"/>
              <w:right w:type="dxa" w:w="140"/>
            </w:tcMar>
          </w:tcPr>
          <w:p>
            <w:pPr>
              <w:spacing w:after="0" w:line="264"/>
            </w:pPr>
            <w:r>
              <w:rPr>
                <w:rFonts w:ascii="Calibri" w:cs="Calibri" w:eastAsia="Calibri" w:hAnsi="Calibri"/>
                <w:b w:val="false"/>
                <w:bCs w:val="false"/>
                <w:color w:val="222222"/>
                <w:sz w:val="20"/>
                <w:szCs w:val="20"/>
              </w:rPr>
              <w:t xml:space="preserve">DataHub, OpenMetadata, OpenLineage</w:t>
            </w:r>
          </w:p>
        </w:tc>
        <w:tc>
          <w:tcPr>
            <w:tcW w:type="dxa" w:w="4860"/>
            <w:shd w:fill="F4F7F9" w:val="clear"/>
            <w:tcMar>
              <w:top w:type="dxa" w:w="100"/>
              <w:left w:type="dxa" w:w="140"/>
              <w:bottom w:type="dxa" w:w="100"/>
              <w:right w:type="dxa" w:w="140"/>
            </w:tcMar>
          </w:tcPr>
          <w:p>
            <w:pPr>
              <w:spacing w:after="0" w:line="264"/>
            </w:pPr>
            <w:r>
              <w:rPr>
                <w:rFonts w:ascii="Calibri" w:cs="Calibri" w:eastAsia="Calibri" w:hAnsi="Calibri"/>
                <w:b w:val="false"/>
                <w:bCs w:val="false"/>
                <w:color w:val="222222"/>
                <w:sz w:val="20"/>
                <w:szCs w:val="20"/>
              </w:rPr>
              <w:t xml:space="preserve">For a small team, dbt’s built-in lineage is sufficient.</w:t>
            </w:r>
          </w:p>
        </w:tc>
      </w:tr>
      <w:tr>
        <w:tc>
          <w:tcPr>
            <w:tcW w:type="dxa" w:w="1500"/>
            <w:shd w:fill="FFFFFF" w:val="clear"/>
            <w:tcMar>
              <w:top w:type="dxa" w:w="100"/>
              <w:left w:type="dxa" w:w="140"/>
              <w:bottom w:type="dxa" w:w="100"/>
              <w:right w:type="dxa" w:w="140"/>
            </w:tcMar>
          </w:tcPr>
          <w:p>
            <w:pPr>
              <w:spacing w:after="0" w:line="264"/>
            </w:pPr>
            <w:r>
              <w:rPr>
                <w:rFonts w:ascii="Calibri" w:cs="Calibri" w:eastAsia="Calibri" w:hAnsi="Calibri"/>
                <w:b/>
                <w:bCs/>
                <w:color w:val="222222"/>
                <w:sz w:val="20"/>
                <w:szCs w:val="20"/>
              </w:rPr>
              <w:t xml:space="preserve">Investigative UI</w:t>
            </w:r>
          </w:p>
        </w:tc>
        <w:tc>
          <w:tcPr>
            <w:tcW w:type="dxa" w:w="3000"/>
            <w:shd w:fill="FFFFFF" w:val="clear"/>
            <w:tcMar>
              <w:top w:type="dxa" w:w="100"/>
              <w:left w:type="dxa" w:w="140"/>
              <w:bottom w:type="dxa" w:w="100"/>
              <w:right w:type="dxa" w:w="140"/>
            </w:tcMar>
          </w:tcPr>
          <w:p>
            <w:pPr>
              <w:spacing w:after="0" w:line="264"/>
            </w:pPr>
            <w:r>
              <w:rPr>
                <w:rFonts w:ascii="Calibri" w:cs="Calibri" w:eastAsia="Calibri" w:hAnsi="Calibri"/>
                <w:b w:val="false"/>
                <w:bCs w:val="false"/>
                <w:color w:val="222222"/>
                <w:sz w:val="20"/>
                <w:szCs w:val="20"/>
              </w:rPr>
              <w:t xml:space="preserve">Cytoscape.js, Sigma.js, G6, Linkurious</w:t>
            </w:r>
          </w:p>
        </w:tc>
        <w:tc>
          <w:tcPr>
            <w:tcW w:type="dxa" w:w="4860"/>
            <w:shd w:fill="FFFFFF" w:val="clear"/>
            <w:tcMar>
              <w:top w:type="dxa" w:w="100"/>
              <w:left w:type="dxa" w:w="140"/>
              <w:bottom w:type="dxa" w:w="100"/>
              <w:right w:type="dxa" w:w="140"/>
            </w:tcMar>
          </w:tcPr>
          <w:p>
            <w:pPr>
              <w:spacing w:after="0" w:line="264"/>
            </w:pPr>
            <w:r>
              <w:rPr>
                <w:rFonts w:ascii="Calibri" w:cs="Calibri" w:eastAsia="Calibri" w:hAnsi="Calibri"/>
                <w:b w:val="false"/>
                <w:bCs w:val="false"/>
                <w:color w:val="222222"/>
                <w:sz w:val="20"/>
                <w:szCs w:val="20"/>
              </w:rPr>
              <w:t xml:space="preserve">Any of the rendering libraries. The hard part is the object-set state model, not the drawing.</w:t>
            </w:r>
          </w:p>
        </w:tc>
      </w:tr>
      <w:tr>
        <w:tc>
          <w:tcPr>
            <w:tcW w:type="dxa" w:w="1500"/>
            <w:shd w:fill="F4F7F9" w:val="clear"/>
            <w:tcMar>
              <w:top w:type="dxa" w:w="100"/>
              <w:left w:type="dxa" w:w="140"/>
              <w:bottom w:type="dxa" w:w="100"/>
              <w:right w:type="dxa" w:w="140"/>
            </w:tcMar>
          </w:tcPr>
          <w:p>
            <w:pPr>
              <w:spacing w:after="0" w:line="264"/>
            </w:pPr>
            <w:r>
              <w:rPr>
                <w:rFonts w:ascii="Calibri" w:cs="Calibri" w:eastAsia="Calibri" w:hAnsi="Calibri"/>
                <w:b/>
                <w:bCs/>
                <w:color w:val="222222"/>
                <w:sz w:val="20"/>
                <w:szCs w:val="20"/>
              </w:rPr>
              <w:t xml:space="preserve">LLM evaluation</w:t>
            </w:r>
          </w:p>
        </w:tc>
        <w:tc>
          <w:tcPr>
            <w:tcW w:type="dxa" w:w="3000"/>
            <w:shd w:fill="F4F7F9" w:val="clear"/>
            <w:tcMar>
              <w:top w:type="dxa" w:w="100"/>
              <w:left w:type="dxa" w:w="140"/>
              <w:bottom w:type="dxa" w:w="100"/>
              <w:right w:type="dxa" w:w="140"/>
            </w:tcMar>
          </w:tcPr>
          <w:p>
            <w:pPr>
              <w:spacing w:after="0" w:line="264"/>
            </w:pPr>
            <w:r>
              <w:rPr>
                <w:rFonts w:ascii="Calibri" w:cs="Calibri" w:eastAsia="Calibri" w:hAnsi="Calibri"/>
                <w:b w:val="false"/>
                <w:bCs w:val="false"/>
                <w:color w:val="222222"/>
                <w:sz w:val="20"/>
                <w:szCs w:val="20"/>
              </w:rPr>
              <w:t xml:space="preserve">promptfoo, Braintrust, LangSmith, Inspect (UK AISI)</w:t>
            </w:r>
          </w:p>
        </w:tc>
        <w:tc>
          <w:tcPr>
            <w:tcW w:type="dxa" w:w="4860"/>
            <w:shd w:fill="F4F7F9" w:val="clear"/>
            <w:tcMar>
              <w:top w:type="dxa" w:w="100"/>
              <w:left w:type="dxa" w:w="140"/>
              <w:bottom w:type="dxa" w:w="100"/>
              <w:right w:type="dxa" w:w="140"/>
            </w:tcMar>
          </w:tcPr>
          <w:p>
            <w:pPr>
              <w:spacing w:after="0" w:line="264"/>
            </w:pPr>
            <w:r>
              <w:rPr>
                <w:rFonts w:ascii="Calibri" w:cs="Calibri" w:eastAsia="Calibri" w:hAnsi="Calibri"/>
                <w:b w:val="false"/>
                <w:bCs w:val="false"/>
                <w:color w:val="222222"/>
                <w:sz w:val="20"/>
                <w:szCs w:val="20"/>
              </w:rPr>
              <w:t xml:space="preserve">promptfoo or a 200-line custom harness.</w:t>
            </w:r>
          </w:p>
        </w:tc>
      </w:tr>
    </w:tbl>
    <w:p>
      <w:pPr>
        <w:spacing w:after="300"/>
      </w:pPr>
    </w:p>
    <w:p>
      <w:pPr>
        <w:pStyle w:val="Heading1"/>
        <w:spacing w:after="200" w:before="480"/>
      </w:pPr>
      <w:r>
        <w:rPr>
          <w:rFonts w:ascii="Calibri" w:cs="Calibri" w:eastAsia="Calibri" w:hAnsi="Calibri"/>
          <w:b/>
          <w:bCs/>
          <w:color w:val="1F4E5C"/>
          <w:sz w:val="34"/>
          <w:szCs w:val="34"/>
        </w:rPr>
        <w:t xml:space="preserve">Bottom line</w:t>
      </w:r>
    </w:p>
    <w:p>
      <w:pPr>
        <w:spacing w:after="160" w:line="288"/>
      </w:pPr>
      <w:r>
        <w:rPr>
          <w:rFonts w:ascii="Calibri" w:cs="Calibri" w:eastAsia="Calibri" w:hAnsi="Calibri"/>
          <w:sz w:val="22"/>
          <w:szCs w:val="22"/>
        </w:rPr>
        <w:t xml:space="preserve">Palantir’s durable inventions are three: </w:t>
      </w:r>
      <w:r>
        <w:rPr>
          <w:rFonts w:ascii="Calibri" w:cs="Calibri" w:eastAsia="Calibri" w:hAnsi="Calibri"/>
          <w:b/>
          <w:bCs/>
          <w:sz w:val="22"/>
          <w:szCs w:val="22"/>
        </w:rPr>
        <w:t xml:space="preserve">the Ontology as a governed semantic and kinetic layer</w:t>
      </w:r>
      <w:r>
        <w:rPr>
          <w:rFonts w:ascii="Calibri" w:cs="Calibri" w:eastAsia="Calibri" w:hAnsi="Calibri"/>
          <w:sz w:val="22"/>
          <w:szCs w:val="22"/>
        </w:rPr>
        <w:t xml:space="preserve">, </w:t>
      </w:r>
      <w:r>
        <w:rPr>
          <w:rFonts w:ascii="Calibri" w:cs="Calibri" w:eastAsia="Calibri" w:hAnsi="Calibri"/>
          <w:b/>
          <w:bCs/>
          <w:sz w:val="22"/>
          <w:szCs w:val="22"/>
        </w:rPr>
        <w:t xml:space="preserve">actions as the sole audited write path</w:t>
      </w:r>
      <w:r>
        <w:rPr>
          <w:rFonts w:ascii="Calibri" w:cs="Calibri" w:eastAsia="Calibri" w:hAnsi="Calibri"/>
          <w:sz w:val="22"/>
          <w:szCs w:val="22"/>
        </w:rPr>
        <w:t xml:space="preserve">, and </w:t>
      </w:r>
      <w:r>
        <w:rPr>
          <w:rFonts w:ascii="Calibri" w:cs="Calibri" w:eastAsia="Calibri" w:hAnsi="Calibri"/>
          <w:b/>
          <w:bCs/>
          <w:sz w:val="22"/>
          <w:szCs w:val="22"/>
        </w:rPr>
        <w:t xml:space="preserve">purpose-based access control with marking propagation</w:t>
      </w:r>
      <w:r>
        <w:rPr>
          <w:rFonts w:ascii="Calibri" w:cs="Calibri" w:eastAsia="Calibri" w:hAnsi="Calibri"/>
          <w:sz w:val="22"/>
          <w:szCs w:val="22"/>
        </w:rPr>
        <w:t xml:space="preserve">.</w:t>
      </w:r>
    </w:p>
    <w:p>
      <w:pPr>
        <w:spacing w:after="160" w:line="288"/>
      </w:pPr>
      <w:r>
        <w:rPr>
          <w:rFonts w:ascii="Calibri" w:cs="Calibri" w:eastAsia="Calibri" w:hAnsi="Calibri"/>
          <w:sz w:val="22"/>
          <w:szCs w:val="22"/>
        </w:rPr>
        <w:t xml:space="preserve">All three are architectural ideas rather than code. All three are implementable by a very small team in weeks.</w:t>
      </w:r>
    </w:p>
    <w:p>
      <w:pPr>
        <w:spacing w:after="160" w:line="288"/>
      </w:pPr>
      <w:r>
        <w:rPr>
          <w:rFonts w:ascii="Calibri" w:cs="Calibri" w:eastAsia="Calibri" w:hAnsi="Calibri"/>
          <w:sz w:val="22"/>
          <w:szCs w:val="22"/>
        </w:rPr>
        <w:t xml:space="preserve">Everything else — the pipeline stack, the low-code builders, the peering, the air-gapped delivery, the forward-deployed engineering army — is either commodity or exists to serve enormous customers who have no engineers of their own. Copying that at small scale is how startups die.</w:t>
      </w:r>
    </w:p>
    <w:p>
      <w:pPr>
        <w:spacing w:after="240"/>
      </w:pPr>
    </w:p>
    <w:tbl>
      <w:tblPr>
        <w:tblW w:type="dxa" w:w="9360"/>
        <w:tblBorders>
          <w:top w:val="single" w:color="C9D3D9" w:sz="2"/>
          <w:left w:val="single" w:color="1F4E5C" w:sz="18"/>
          <w:bottom w:val="single" w:color="C9D3D9" w:sz="2"/>
          <w:right w:val="single" w:color="C9D3D9" w:sz="2"/>
          <w:insideH w:val="none" w:color="FFFFFF" w:sz="0"/>
          <w:insideV w:val="none" w:color="FFFFFF" w:sz="0"/>
        </w:tblBorders>
      </w:tblPr>
      <w:tblGrid>
        <w:gridCol w:w="9360"/>
      </w:tblGrid>
      <w:tr>
        <w:tc>
          <w:tcPr>
            <w:tcW w:type="dxa" w:w="9360"/>
            <w:shd w:fill="F2F6F8" w:val="clear"/>
            <w:tcMar>
              <w:top w:type="dxa" w:w="180"/>
              <w:left w:type="dxa" w:w="240"/>
              <w:bottom w:type="dxa" w:w="180"/>
              <w:right w:type="dxa" w:w="240"/>
            </w:tcMar>
          </w:tcPr>
          <w:p>
            <w:pPr>
              <w:spacing w:after="80"/>
            </w:pPr>
            <w:r>
              <w:rPr>
                <w:rFonts w:ascii="Calibri" w:cs="Calibri" w:eastAsia="Calibri" w:hAnsi="Calibri"/>
                <w:b/>
                <w:bCs/>
                <w:color w:val="1F4E5C"/>
                <w:sz w:val="22"/>
                <w:szCs w:val="22"/>
              </w:rPr>
              <w:t xml:space="preserve">And the thing to keep in view</w:t>
            </w:r>
          </w:p>
          <w:p>
            <w:pPr>
              <w:spacing w:after="60" w:line="276"/>
            </w:pPr>
            <w:r>
              <w:rPr>
                <w:rFonts w:ascii="Calibri" w:cs="Calibri" w:eastAsia="Calibri" w:hAnsi="Calibri"/>
                <w:sz w:val="21"/>
                <w:szCs w:val="21"/>
              </w:rPr>
              <w:t xml:space="preserve">The NHS trusts did not reject Palantir over privacy. They rejected it because it did not answer their specific questions better than what they already had.</w:t>
            </w:r>
          </w:p>
          <w:p>
            <w:pPr>
              <w:spacing w:after="60" w:line="276"/>
            </w:pPr>
            <w:r>
              <w:rPr>
                <w:rFonts w:ascii="Calibri" w:cs="Calibri" w:eastAsia="Calibri" w:hAnsi="Calibri"/>
                <w:sz w:val="21"/>
                <w:szCs w:val="21"/>
              </w:rPr>
              <w:t xml:space="preserve">Build the ontology because it makes good answers cheap and trustworthy. Sell the answers.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Palantir Works</dc:title>
  <dc:creator>Research synthesis</dc:creator>
  <dc:description>A technical teardown of Palantir Gotham, Foundry and AIP, and what transfers to education software.</dc:description>
  <cp:lastModifiedBy>Un-named</cp:lastModifiedBy>
  <cp:revision>1</cp:revision>
  <dcterms:created xsi:type="dcterms:W3CDTF">2026-07-28T08:17:22.694Z</dcterms:created>
  <dcterms:modified xsi:type="dcterms:W3CDTF">2026-07-28T08:17:22.698Z</dcterms:modified>
</cp:coreProperties>
</file>

<file path=docProps/custom.xml><?xml version="1.0" encoding="utf-8"?>
<Properties xmlns="http://schemas.openxmlformats.org/officeDocument/2006/custom-properties" xmlns:vt="http://schemas.openxmlformats.org/officeDocument/2006/docPropsVTypes"/>
</file>