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1A54F" w14:textId="77777777" w:rsidR="001F50AE" w:rsidRPr="001F50AE" w:rsidRDefault="001F50AE" w:rsidP="001F50AE">
      <w:pPr>
        <w:numPr>
          <w:ilvl w:val="0"/>
          <w:numId w:val="1"/>
        </w:numPr>
        <w:spacing w:line="240" w:lineRule="auto"/>
        <w:contextualSpacing/>
        <w:rPr>
          <w:rFonts w:asciiTheme="majorBidi" w:hAnsiTheme="majorBidi" w:cstheme="majorBidi"/>
          <w:b/>
          <w:bCs/>
          <w:sz w:val="28"/>
          <w:szCs w:val="28"/>
          <w:lang w:val="fr-FR"/>
        </w:rPr>
      </w:pPr>
      <w:r w:rsidRPr="001F50AE">
        <w:rPr>
          <w:rFonts w:asciiTheme="majorBidi" w:hAnsiTheme="majorBidi" w:cstheme="majorBidi"/>
          <w:b/>
          <w:bCs/>
          <w:sz w:val="28"/>
          <w:szCs w:val="28"/>
          <w:lang w:val="fr-FR"/>
        </w:rPr>
        <w:t xml:space="preserve">Contexte et problématique </w:t>
      </w:r>
    </w:p>
    <w:p w14:paraId="203FA48A" w14:textId="1BF04537" w:rsidR="001F50AE" w:rsidRPr="001F50AE" w:rsidRDefault="001F50AE" w:rsidP="001F50AE">
      <w:pPr>
        <w:keepNext/>
        <w:keepLines/>
        <w:shd w:val="clear" w:color="auto" w:fill="FFFFFF"/>
        <w:spacing w:before="240" w:after="0"/>
        <w:jc w:val="both"/>
        <w:outlineLvl w:val="0"/>
        <w:rPr>
          <w:rFonts w:asciiTheme="majorBidi" w:eastAsiaTheme="majorEastAsia" w:hAnsiTheme="majorBidi" w:cstheme="majorBidi"/>
          <w:kern w:val="0"/>
          <w:sz w:val="24"/>
          <w:szCs w:val="24"/>
          <w:lang w:val="fr-FR"/>
          <w14:ligatures w14:val="none"/>
        </w:rPr>
      </w:pPr>
      <w:r w:rsidRPr="001F50AE">
        <w:rPr>
          <w:rFonts w:asciiTheme="majorBidi" w:eastAsiaTheme="majorEastAsia" w:hAnsiTheme="majorBidi" w:cstheme="majorBidi"/>
          <w:kern w:val="0"/>
          <w:sz w:val="24"/>
          <w:szCs w:val="24"/>
          <w:lang w:val="fr-FR"/>
          <w14:ligatures w14:val="none"/>
        </w:rPr>
        <w:t>L'amputation est un événement qui change la vie avec un effet immédiat et évident sur les activités quotidiennes, la qualité de vie</w:t>
      </w:r>
      <w:r w:rsidRPr="001F50AE">
        <w:rPr>
          <w:rFonts w:asciiTheme="majorBidi" w:eastAsiaTheme="majorEastAsia" w:hAnsiTheme="majorBidi" w:cstheme="majorBidi"/>
          <w:b/>
          <w:bCs/>
          <w:kern w:val="0"/>
          <w:sz w:val="24"/>
          <w:szCs w:val="24"/>
          <w:lang w:val="fr-FR"/>
          <w14:ligatures w14:val="none"/>
        </w:rPr>
        <w:t xml:space="preserve"> </w:t>
      </w:r>
      <w:r w:rsidRPr="001F50AE">
        <w:rPr>
          <w:rFonts w:asciiTheme="majorBidi" w:eastAsiaTheme="majorEastAsia" w:hAnsiTheme="majorBidi" w:cstheme="majorBidi"/>
          <w:b/>
          <w:bCs/>
          <w:kern w:val="0"/>
          <w:sz w:val="24"/>
          <w:szCs w:val="24"/>
          <w:lang w:val="fr-FR"/>
          <w14:ligatures w14:val="none"/>
        </w:rPr>
        <w:fldChar w:fldCharType="begin"/>
      </w:r>
      <w:r>
        <w:rPr>
          <w:rFonts w:asciiTheme="majorBidi" w:eastAsiaTheme="majorEastAsia" w:hAnsiTheme="majorBidi" w:cstheme="majorBidi"/>
          <w:b/>
          <w:bCs/>
          <w:kern w:val="0"/>
          <w:sz w:val="24"/>
          <w:szCs w:val="24"/>
          <w:lang w:val="fr-FR"/>
          <w14:ligatures w14:val="none"/>
        </w:rPr>
        <w:instrText xml:space="preserve"> ADDIN ZOTERO_ITEM CSL_CITATION {"citationID":"IRMgcBdx","properties":{"formattedCitation":"[1]","plainCitation":"[1]","noteIndex":0},"citationItems":[{"id":"XJgTUHJD/WQYOoRqH","uris":["http://zotero.org/users/5505563/items/USEEYB7Z"],"itemData":{"id":392,"type":"article-journal","abstract":"BACKGROUND: Effects presented on the use of assistive devices such as prosthesis are often based on laboratory findings (i.e. efficacy).\nOBJECTIVES: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cost-effectiveness.\nSTUDY DESIGN: Systematic review.\nMETHODS: We included controlled studies and non-controlled follow-up studies including both baseline and follow-up data. Using 14 different databases supplemented with manual searches, we searched for studies published from 1998 until June 2009.\nRESULTS: Out of an initial 818 identified publications, eight met the inclusion criteria. Four studies reported on the effectiveness of a microprocessor-controlled knee (MP-knee) compared to a non-microprocessor-controlled knee (NMP-knee). Results were inconsistent except for quality of life and use/non-use, where the authors reported an improvement with the MP-knee compared to the NMP-knee. The remaining four studies included a diversity of prosthetic intervention measures and types of endpoints.\nCONCLUSIONS: Overall, there was an inconsistency in results and study quality. This review highlights the need for high-quality research studies that reflect the effectiveness of different prosthesis interventions in terms of users' daily living and QoL.\nCLINICAL RELEVANCE: 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importance.","container-title":"Prosthetics and Orthotics International","DOI":"10.1177/0309364611432794","ISSN":"1746-1553","issue":"2","journalAbbreviation":"Prosthet Orthot Int","language":"eng","note":"PMID: 22307861","page":"145-158","source":"PubMed","title":"Effects of lower limb prosthesis on activity, participation, and quality of life: a systematic review","title-short":"Effects of lower limb prosthesis on activity, participation, and quality of life","volume":"36","author":[{"family":"Samuelsson","given":"Kersti A. M."},{"family":"Töytäri","given":"Outi"},{"family":"Salminen","given":"Anna-Liisa"},{"family":"Brandt","given":"Ase"}],"issued":{"date-parts":[["2012",6]]}}}],"schema":"https://github.com/citation-style-language/schema/raw/master/csl-citation.json"} </w:instrText>
      </w:r>
      <w:r w:rsidRPr="001F50AE">
        <w:rPr>
          <w:rFonts w:asciiTheme="majorBidi" w:eastAsiaTheme="majorEastAsia" w:hAnsiTheme="majorBidi" w:cstheme="majorBidi"/>
          <w:b/>
          <w:bCs/>
          <w:kern w:val="0"/>
          <w:sz w:val="24"/>
          <w:szCs w:val="24"/>
          <w:lang w:val="fr-FR"/>
          <w14:ligatures w14:val="none"/>
        </w:rPr>
        <w:fldChar w:fldCharType="separate"/>
      </w:r>
      <w:r w:rsidRPr="001F50AE">
        <w:rPr>
          <w:rFonts w:ascii="Times New Roman" w:hAnsi="Times New Roman" w:cs="Times New Roman"/>
          <w:sz w:val="24"/>
        </w:rPr>
        <w:t>[1]</w:t>
      </w:r>
      <w:r w:rsidRPr="001F50AE">
        <w:rPr>
          <w:rFonts w:asciiTheme="majorBidi" w:eastAsiaTheme="majorEastAsia" w:hAnsiTheme="majorBidi" w:cstheme="majorBidi"/>
          <w:b/>
          <w:bCs/>
          <w:kern w:val="0"/>
          <w:sz w:val="24"/>
          <w:szCs w:val="24"/>
          <w:lang w:val="fr-FR"/>
          <w14:ligatures w14:val="none"/>
        </w:rPr>
        <w:fldChar w:fldCharType="end"/>
      </w:r>
      <w:r w:rsidRPr="001F50AE">
        <w:rPr>
          <w:rFonts w:asciiTheme="majorBidi" w:eastAsiaTheme="majorEastAsia" w:hAnsiTheme="majorBidi" w:cstheme="majorBidi"/>
          <w:b/>
          <w:bCs/>
          <w:kern w:val="0"/>
          <w:sz w:val="24"/>
          <w:szCs w:val="24"/>
          <w14:ligatures w14:val="none"/>
        </w:rPr>
        <w:t xml:space="preserve"> </w:t>
      </w:r>
      <w:r w:rsidRPr="001F50AE">
        <w:rPr>
          <w:rFonts w:asciiTheme="majorBidi" w:eastAsiaTheme="majorEastAsia" w:hAnsiTheme="majorBidi" w:cstheme="majorBidi"/>
          <w:kern w:val="0"/>
          <w:sz w:val="24"/>
          <w:szCs w:val="24"/>
          <w14:ligatures w14:val="none"/>
        </w:rPr>
        <w:t xml:space="preserve">et le bien être psychosocial </w:t>
      </w:r>
      <w:r w:rsidRPr="001F50AE">
        <w:rPr>
          <w:rFonts w:asciiTheme="majorBidi" w:eastAsiaTheme="majorEastAsia" w:hAnsiTheme="majorBidi" w:cstheme="majorBidi"/>
          <w:kern w:val="0"/>
          <w:sz w:val="24"/>
          <w:szCs w:val="24"/>
          <w:lang w:val="fr-FR"/>
          <w14:ligatures w14:val="none"/>
        </w:rPr>
        <w:fldChar w:fldCharType="begin"/>
      </w:r>
      <w:r>
        <w:rPr>
          <w:rFonts w:asciiTheme="majorBidi" w:eastAsiaTheme="majorEastAsia" w:hAnsiTheme="majorBidi" w:cstheme="majorBidi"/>
          <w:kern w:val="0"/>
          <w:sz w:val="24"/>
          <w:szCs w:val="24"/>
          <w14:ligatures w14:val="none"/>
        </w:rPr>
        <w:instrText xml:space="preserve"> ADDIN ZOTERO_ITEM CSL_CITATION {"citationID":"t6YeOroq","properties":{"formattedCitation":"[2]","plainCitation":"[2]","noteIndex":0},"citationItems":[{"id":"XJgTUHJD/4Yhb2P6a","uris":["http://zotero.org/users/5505563/items/VX94C9U6"],"itemData":{"id":400,"type":"article-journal","abstract":"OBJECTIVE: To examine the long-term outcomes of persons undergoing trauma-related amputations, and to explore factors affecting their physical, social, and mental health and the role of inpatient rehabilitation in improving such outcomes.\nDESIGN: Abstracted medical records and interview data sought for a retrospective cohort of persons who had undergone a lower-limb trauma-related amputation.\nPARTICIPANTS: Patients identified with a principal or secondary diagnosis of a trauma-related amputation to the lower extremity at the University of Maryland Shock Trauma Center between 1984 and 1994. Patients with spinal cord injury or traumatic brain injury were excluded.\nRESULTS: Of 146 patients who had trauma-related amputations to the lower limb at the University of Maryland Shock Trauma Center during the study period, nearly 9% died during the acute admission and 3.5% died after discharge. About 87% of all trauma-related amputations involved males, and roughly three quarters involved white persons. About 80% of all amputations occurred before age 40. The health profile of traumatic amputee subjects interviewed in the study (n = 78, 68% response rate) was systematically lower th</w:instrText>
      </w:r>
      <w:r w:rsidRPr="001F50AE">
        <w:rPr>
          <w:rFonts w:asciiTheme="majorBidi" w:eastAsiaTheme="majorEastAsia" w:hAnsiTheme="majorBidi" w:cstheme="majorBidi"/>
          <w:kern w:val="0"/>
          <w:sz w:val="24"/>
          <w:szCs w:val="24"/>
          <w:lang w:val="fr-FR"/>
          <w14:ligatures w14:val="none"/>
        </w:rPr>
        <w:instrText xml:space="preserve">an that of the general US population for all SF-36 scores. The differences in profiles were largest among SF-36 scales sensitive to differences in physical health status, particularly physical functioning, role limitations due to physical health, and bodily pain. About one fourth of persons with a trauma-related amputation reported ongoing severe problems with the residual limb, including phantom pain, wounds, and sores. The number of inpatient rehabilitation nights significantly improved the ability of patients with amputation to function in their physical roles, increased vitality, and reduced bodily pain. Inpatient rehabilitation was also significantly correlated with improved vocational outcomes.\nCONCLUSIONS: These findings suggest a substantial effect of inpatient rehabilitation in improving long-term outcomes of persons with trauma-related amputations.","container-title":"Archives of Physical Medicine and Rehabilitation","DOI":"10.1016/s0003-9993(00)90074-1","ISSN":"0003-9993","issue":"3","journalAbbreviation":"Arch Phys Med Rehabil","language":"eng","note":"PMID: 10724073","page":"292-300","source":"PubMed","title":"Rehabilitation and the long-term outcomes of persons with trauma-related amputations","volume":"81","author":[{"family":"Pezzin","given":"L. E."},{"family":"Dillingham","given":"T. R."},{"family":"MacKenzie","given":"E. J."}],"issued":{"date-parts":[["2000",3]]}}}],"schema":"https://github.com/citation-style-language/schema/raw/master/csl-citation.json"} </w:instrText>
      </w:r>
      <w:r w:rsidRPr="001F50AE">
        <w:rPr>
          <w:rFonts w:asciiTheme="majorBidi" w:eastAsiaTheme="majorEastAsia" w:hAnsiTheme="majorBidi" w:cstheme="majorBidi"/>
          <w:kern w:val="0"/>
          <w:sz w:val="24"/>
          <w:szCs w:val="24"/>
          <w:lang w:val="fr-FR"/>
          <w14:ligatures w14:val="none"/>
        </w:rPr>
        <w:fldChar w:fldCharType="separate"/>
      </w:r>
      <w:r w:rsidRPr="001F50AE">
        <w:rPr>
          <w:rFonts w:ascii="Times New Roman" w:hAnsi="Times New Roman" w:cs="Times New Roman"/>
          <w:sz w:val="24"/>
          <w:lang w:val="fr-FR"/>
        </w:rPr>
        <w:t>[2]</w:t>
      </w:r>
      <w:r w:rsidRPr="001F50AE">
        <w:rPr>
          <w:rFonts w:asciiTheme="majorBidi" w:eastAsiaTheme="majorEastAsia" w:hAnsiTheme="majorBidi" w:cstheme="majorBidi"/>
          <w:kern w:val="0"/>
          <w:sz w:val="24"/>
          <w:szCs w:val="24"/>
          <w:lang w:val="fr-FR"/>
          <w14:ligatures w14:val="none"/>
        </w:rPr>
        <w:fldChar w:fldCharType="end"/>
      </w:r>
      <w:r w:rsidRPr="001F50AE">
        <w:rPr>
          <w:rFonts w:asciiTheme="majorBidi" w:eastAsiaTheme="majorEastAsia" w:hAnsiTheme="majorBidi" w:cstheme="majorBidi"/>
          <w:kern w:val="0"/>
          <w:sz w:val="24"/>
          <w:szCs w:val="24"/>
          <w:lang w:val="fr-FR"/>
          <w14:ligatures w14:val="none"/>
        </w:rPr>
        <w:t xml:space="preserve">. Elle est une préoccupation de santé publique dont on estime à 0,7 % la prévalence mondiale, </w:t>
      </w:r>
      <w:r w:rsidRPr="001F50AE">
        <w:rPr>
          <w:rFonts w:asciiTheme="majorBidi" w:eastAsiaTheme="majorEastAsia" w:hAnsiTheme="majorBidi" w:cstheme="majorBidi"/>
          <w:kern w:val="0"/>
          <w:sz w:val="24"/>
          <w:szCs w:val="24"/>
          <w:shd w:val="clear" w:color="auto" w:fill="FFFFFF"/>
          <w:lang w:val="fr-FR"/>
          <w14:ligatures w14:val="none"/>
        </w:rPr>
        <w:t xml:space="preserve">Les incidences d'amputation dans divers pays varient de 1,2 à 4,4 pour 10 000 personnes </w:t>
      </w:r>
      <w:r w:rsidRPr="001F50AE">
        <w:rPr>
          <w:rFonts w:asciiTheme="majorBidi" w:eastAsiaTheme="majorEastAsia" w:hAnsiTheme="majorBidi" w:cstheme="majorBidi"/>
          <w:kern w:val="0"/>
          <w:sz w:val="24"/>
          <w:szCs w:val="24"/>
          <w:shd w:val="clear" w:color="auto" w:fill="FFFFFF"/>
          <w:lang w:val="fr-FR"/>
          <w14:ligatures w14:val="none"/>
        </w:rPr>
        <w:fldChar w:fldCharType="begin"/>
      </w:r>
      <w:r>
        <w:rPr>
          <w:rFonts w:asciiTheme="majorBidi" w:eastAsiaTheme="majorEastAsia" w:hAnsiTheme="majorBidi" w:cstheme="majorBidi"/>
          <w:kern w:val="0"/>
          <w:sz w:val="24"/>
          <w:szCs w:val="24"/>
          <w:shd w:val="clear" w:color="auto" w:fill="FFFFFF"/>
          <w:lang w:val="fr-FR"/>
          <w14:ligatures w14:val="none"/>
        </w:rPr>
        <w:instrText xml:space="preserve"> ADDIN ZOTERO_ITEM CSL_CITATION {"citationID":"yC2s2SOg","properties":{"formattedCitation":"[3]","plainCitation":"[3]","noteIndex":0},"citationItems":[{"id":"XJgTUHJD/RPE8gv4i","uris":["http://zotero.org/users/5505563/items/DCQ87N8R"],"itemData":{"id":422,"type":"article-journal","abstract":"This study was established to enable a comparison of lower extremity amputation incidence rates between different centres around the world.Ten centres, all with populations greater than 200 000, in Japan, Taiwan, Spain, Italy, North America and England collected data on all amputations done between July 1995 and June 1997. Patients were identified from at least two data sources (to allow checks on ascertainment); denominator populations were based on census figures.The highest amputation rates were in the Navajo population (43·9 per 100 000 population per year for first major amputation in men) and the lowest in Madrid, Spain (2·8 per 100 000 per year). The incidence of amputation rose steeply with age; most amputations occurred in patients over 60 years. In most centres the incidence was higher in men than women and the incidence of major amputations was greater than that of minor amputations. Diabetes was associated with between 25 and 90 per cent of amputations.Apart from the Navajo centre, differences in the known prevalence of diabetes could not account for the differences in overall incidence of amputation. Differences in the prevalence of peripheral vascular disease are likely to be important, but this and the role of other factors, including availability of health care, are worthy of further investigation.","container-title":"British Journal of Surgery","DOI":"10.1046/j.1365-2168.2000.01344.x","ISSN":"0007-1323","issue":"3","journalAbbreviation":"British Journal of Surgery","page":"328-337","source":"Silverchair","title":"Epidemiology of lower extremity amputation in centres in Europe, North America and East Asia","volume":"87","author":[{"literal":"The Global Lower Extremity Amputation Study Group"}],"issued":{"date-parts":[["2000",3,1]]}}}],"schema":"https://github.com/citation-style-language/schema/raw/master/csl-citation.json"} </w:instrText>
      </w:r>
      <w:r w:rsidRPr="001F50AE">
        <w:rPr>
          <w:rFonts w:asciiTheme="majorBidi" w:eastAsiaTheme="majorEastAsia" w:hAnsiTheme="majorBidi" w:cstheme="majorBidi"/>
          <w:kern w:val="0"/>
          <w:sz w:val="24"/>
          <w:szCs w:val="24"/>
          <w:shd w:val="clear" w:color="auto" w:fill="FFFFFF"/>
          <w:lang w:val="fr-FR"/>
          <w14:ligatures w14:val="none"/>
        </w:rPr>
        <w:fldChar w:fldCharType="separate"/>
      </w:r>
      <w:r w:rsidRPr="001F50AE">
        <w:rPr>
          <w:rFonts w:ascii="Times New Roman" w:hAnsi="Times New Roman" w:cs="Times New Roman"/>
          <w:sz w:val="24"/>
          <w:lang w:val="fr-FR"/>
        </w:rPr>
        <w:t>[3]</w:t>
      </w:r>
      <w:r w:rsidRPr="001F50AE">
        <w:rPr>
          <w:rFonts w:asciiTheme="majorBidi" w:eastAsiaTheme="majorEastAsia" w:hAnsiTheme="majorBidi" w:cstheme="majorBidi"/>
          <w:kern w:val="0"/>
          <w:sz w:val="24"/>
          <w:szCs w:val="24"/>
          <w:shd w:val="clear" w:color="auto" w:fill="FFFFFF"/>
          <w:lang w:val="fr-FR"/>
          <w14:ligatures w14:val="none"/>
        </w:rPr>
        <w:fldChar w:fldCharType="end"/>
      </w:r>
      <w:r w:rsidRPr="001F50AE">
        <w:rPr>
          <w:rFonts w:asciiTheme="majorBidi" w:eastAsiaTheme="majorEastAsia" w:hAnsiTheme="majorBidi" w:cstheme="majorBidi"/>
          <w:kern w:val="0"/>
          <w:sz w:val="24"/>
          <w:szCs w:val="24"/>
          <w:shd w:val="clear" w:color="auto" w:fill="FFFFFF"/>
          <w:lang w:val="fr-FR"/>
          <w14:ligatures w14:val="none"/>
        </w:rPr>
        <w:t xml:space="preserve">. En </w:t>
      </w:r>
      <w:r w:rsidRPr="004C5736">
        <w:rPr>
          <w:rFonts w:asciiTheme="majorBidi" w:eastAsiaTheme="majorEastAsia" w:hAnsiTheme="majorBidi" w:cstheme="majorBidi"/>
          <w:color w:val="FF0000"/>
          <w:kern w:val="0"/>
          <w:sz w:val="24"/>
          <w:szCs w:val="24"/>
          <w:shd w:val="clear" w:color="auto" w:fill="FFFFFF"/>
          <w:lang w:val="fr-FR"/>
          <w14:ligatures w14:val="none"/>
        </w:rPr>
        <w:t>20</w:t>
      </w:r>
      <w:r w:rsidR="004C5736" w:rsidRPr="004C5736">
        <w:rPr>
          <w:rFonts w:asciiTheme="majorBidi" w:eastAsiaTheme="majorEastAsia" w:hAnsiTheme="majorBidi" w:cstheme="majorBidi"/>
          <w:color w:val="FF0000"/>
          <w:kern w:val="0"/>
          <w:sz w:val="24"/>
          <w:szCs w:val="24"/>
          <w:shd w:val="clear" w:color="auto" w:fill="FFFFFF"/>
          <w:lang w:val="fr-FR"/>
          <w14:ligatures w14:val="none"/>
        </w:rPr>
        <w:t>10</w:t>
      </w:r>
      <w:r w:rsidRPr="001F50AE">
        <w:rPr>
          <w:rFonts w:asciiTheme="majorBidi" w:eastAsiaTheme="majorEastAsia" w:hAnsiTheme="majorBidi" w:cstheme="majorBidi"/>
          <w:kern w:val="0"/>
          <w:sz w:val="24"/>
          <w:szCs w:val="24"/>
          <w:shd w:val="clear" w:color="auto" w:fill="FFFFFF"/>
          <w:lang w:val="fr-FR"/>
          <w14:ligatures w14:val="none"/>
        </w:rPr>
        <w:t xml:space="preserve">, 1,6 million de personnes vivaient avec la perte d'un membre et on prévoit que ce nombre fera plus que doubler d'ici 2050 pour atteindre 3,6 millions </w:t>
      </w:r>
      <w:r w:rsidRPr="001F50AE">
        <w:rPr>
          <w:rFonts w:asciiTheme="majorBidi" w:eastAsiaTheme="majorEastAsia" w:hAnsiTheme="majorBidi" w:cstheme="majorBidi"/>
          <w:kern w:val="0"/>
          <w:sz w:val="24"/>
          <w:szCs w:val="24"/>
          <w:shd w:val="clear" w:color="auto" w:fill="FFFFFF"/>
          <w:lang w:val="fr-FR"/>
          <w14:ligatures w14:val="none"/>
        </w:rPr>
        <w:fldChar w:fldCharType="begin"/>
      </w:r>
      <w:r>
        <w:rPr>
          <w:rFonts w:asciiTheme="majorBidi" w:eastAsiaTheme="majorEastAsia" w:hAnsiTheme="majorBidi" w:cstheme="majorBidi"/>
          <w:kern w:val="0"/>
          <w:sz w:val="24"/>
          <w:szCs w:val="24"/>
          <w:shd w:val="clear" w:color="auto" w:fill="FFFFFF"/>
          <w:lang w:val="fr-FR"/>
          <w14:ligatures w14:val="none"/>
        </w:rPr>
        <w:instrText xml:space="preserve"> ADDIN ZOTERO_ITEM CSL_CITATION {"citationID":"JucQF7BN","properties":{"formattedCitation":"[4]","plainCitation":"[4]","noteIndex":0},"citationItems":[{"id":"XJgTUHJD/Pf9XeYx6","uris":["http://zotero.org/users/5505563/items/NDBUXQVW"],"itemData":{"id":427,"type":"article-journal","abstract":"OBJECTIVE: To estimate the current prevalence of limb loss in the United States and project the future prevalence to the year 2050.\nDESIGN: Estimates were constructed using age-, sex-, and race-specific incidence rates for amputation combined with age-, sex-, and race-specific assumptions about mortality. Incidence rates were derived from the 1988 to 1999 Nationwide Inpatient Sample of the Healthcare Cost and Utilization Project, corrected for the likelihood of reamputation among those undergoing amputation for vascular disease. Incidence rates were assumed to remain constant over time and applied to historic mortality and population data along with the best available estimates of relative risk, future mortality, and future population projections. To investigate the sensitivity of our projections to increasing or decreasing incidence, we developed alternative sets of estimates of limb loss related to dysvascular conditions based on assumptions of a 10% or 25% increase or decrease in incidence of amputations for these conditions.\nSETTING: Community, nonfederal, short-term hospitals in the United States.\nPARTICIPANTS: Persons who were discharged from a hospital with a procedure code for upper-limb or lower-limb amputation or diagnosis code of traumatic amputation.\nINTERVENTIONS: Not applicable.\nMAIN OUTCOME MEASURES: Prevalence of limb loss by age, sex, race, etiology, and level in 2005 and projections to the year 2050.\nRESULTS: In the year 2005, 1.6 million persons were living with the loss of a limb. Of these subjects, 42% were nonwhite and 38% had an amputation secondary to dysvascular disease with a comorbid diagnosis of diabetes mellitus. It is projected that the number of people living with the loss of a limb will more than double by the year 2050 to 3.6 million. If incidence rates secondary to dysvascular disease can be reduced by 10%, this number would be lowered by 225,000.\nCONCLUSIONS: One in 190 Americans is currently living with the loss of a limb. Unchecked, this number may double by the year 2050.","container-title":"Archives of Physical Medicine and Rehabilitation","DOI":"10.1016/j.apmr.2007.11.005","ISSN":"1532-821X","issue":"3","journalAbbreviation":"Arch Phys Med Rehabil","language":"eng","note":"PMID: 18295618","page":"422-429","source":"PubMed","title":"Estimating the prevalence of limb loss in the United States: 2005 to 2050","title-short":"Estimating the prevalence of limb loss in the United States","volume":"89","author":[{"family":"Ziegler-Graham","given":"Kathryn"},{"family":"MacKenzie","given":"Ellen J."},{"family":"Ephraim","given":"Patti L."},{"family":"Travison","given":"Thomas G."},{"family":"Brookmeyer","given":"Ron"}],"issued":{"date-parts":[["2008",3]]}}}],"schema":"https://github.com/citation-style-language/schema/raw/master/csl-citation.json"} </w:instrText>
      </w:r>
      <w:r w:rsidRPr="001F50AE">
        <w:rPr>
          <w:rFonts w:asciiTheme="majorBidi" w:eastAsiaTheme="majorEastAsia" w:hAnsiTheme="majorBidi" w:cstheme="majorBidi"/>
          <w:kern w:val="0"/>
          <w:sz w:val="24"/>
          <w:szCs w:val="24"/>
          <w:shd w:val="clear" w:color="auto" w:fill="FFFFFF"/>
          <w:lang w:val="fr-FR"/>
          <w14:ligatures w14:val="none"/>
        </w:rPr>
        <w:fldChar w:fldCharType="separate"/>
      </w:r>
      <w:r w:rsidRPr="001F50AE">
        <w:rPr>
          <w:rFonts w:ascii="Times New Roman" w:hAnsi="Times New Roman" w:cs="Times New Roman"/>
          <w:sz w:val="24"/>
          <w:lang w:val="fr-FR"/>
        </w:rPr>
        <w:t>[4]</w:t>
      </w:r>
      <w:r w:rsidRPr="001F50AE">
        <w:rPr>
          <w:rFonts w:asciiTheme="majorBidi" w:eastAsiaTheme="majorEastAsia" w:hAnsiTheme="majorBidi" w:cstheme="majorBidi"/>
          <w:kern w:val="0"/>
          <w:sz w:val="24"/>
          <w:szCs w:val="24"/>
          <w:shd w:val="clear" w:color="auto" w:fill="FFFFFF"/>
          <w:lang w:val="fr-FR"/>
          <w14:ligatures w14:val="none"/>
        </w:rPr>
        <w:fldChar w:fldCharType="end"/>
      </w:r>
      <w:r w:rsidRPr="001F50AE">
        <w:rPr>
          <w:rFonts w:asciiTheme="majorBidi" w:eastAsiaTheme="majorEastAsia" w:hAnsiTheme="majorBidi" w:cstheme="majorBidi"/>
          <w:kern w:val="0"/>
          <w:sz w:val="24"/>
          <w:szCs w:val="24"/>
          <w:shd w:val="clear" w:color="auto" w:fill="FFFFFF"/>
          <w:lang w:val="fr-FR"/>
          <w14:ligatures w14:val="none"/>
        </w:rPr>
        <w:t xml:space="preserve">. </w:t>
      </w:r>
    </w:p>
    <w:p w14:paraId="4497F7A2" w14:textId="73A4C03F" w:rsidR="001F50AE" w:rsidRPr="001F50AE" w:rsidRDefault="001F50AE" w:rsidP="001F50AE">
      <w:pPr>
        <w:keepNext/>
        <w:keepLines/>
        <w:shd w:val="clear" w:color="auto" w:fill="FFFFFF"/>
        <w:spacing w:before="240" w:after="0"/>
        <w:jc w:val="both"/>
        <w:outlineLvl w:val="0"/>
        <w:rPr>
          <w:rFonts w:asciiTheme="majorBidi" w:eastAsiaTheme="majorEastAsia" w:hAnsiTheme="majorBidi" w:cstheme="majorBidi"/>
          <w:kern w:val="0"/>
          <w:sz w:val="24"/>
          <w:szCs w:val="24"/>
          <w:shd w:val="clear" w:color="auto" w:fill="FFFFFF"/>
          <w:lang w:val="fr-FR"/>
          <w14:ligatures w14:val="none"/>
        </w:rPr>
      </w:pPr>
      <w:r w:rsidRPr="001F50AE">
        <w:rPr>
          <w:rFonts w:asciiTheme="majorBidi" w:eastAsiaTheme="majorEastAsia" w:hAnsiTheme="majorBidi" w:cstheme="majorBidi"/>
          <w:kern w:val="0"/>
          <w:sz w:val="24"/>
          <w:szCs w:val="24"/>
          <w:lang w:val="fr-FR"/>
          <w14:ligatures w14:val="none"/>
        </w:rPr>
        <w:t>L</w:t>
      </w:r>
      <w:r w:rsidRPr="001F50AE">
        <w:rPr>
          <w:rFonts w:asciiTheme="majorBidi" w:eastAsiaTheme="majorEastAsia" w:hAnsiTheme="majorBidi" w:cstheme="majorBidi"/>
          <w:kern w:val="0"/>
          <w:sz w:val="24"/>
          <w:szCs w:val="24"/>
          <w:shd w:val="clear" w:color="auto" w:fill="FFFFFF"/>
          <w:lang w:val="fr-FR"/>
          <w14:ligatures w14:val="none"/>
        </w:rPr>
        <w:t xml:space="preserve">es personnes amputées sont plus susceptibles de développer de multiples complications de santé à long terme, telles que l'obésité, les maladies cardiovasculaires, l'arthrose, les douleurs des membres résiduels et les lombalgies </w:t>
      </w:r>
      <w:r w:rsidRPr="001F50AE">
        <w:rPr>
          <w:rFonts w:asciiTheme="majorBidi" w:eastAsiaTheme="majorEastAsia" w:hAnsiTheme="majorBidi" w:cstheme="majorBidi"/>
          <w:kern w:val="0"/>
          <w:sz w:val="24"/>
          <w:szCs w:val="24"/>
          <w:shd w:val="clear" w:color="auto" w:fill="FFFFFF"/>
          <w:lang w:val="fr-FR"/>
          <w14:ligatures w14:val="none"/>
        </w:rPr>
        <w:fldChar w:fldCharType="begin"/>
      </w:r>
      <w:r>
        <w:rPr>
          <w:rFonts w:asciiTheme="majorBidi" w:eastAsiaTheme="majorEastAsia" w:hAnsiTheme="majorBidi" w:cstheme="majorBidi"/>
          <w:kern w:val="0"/>
          <w:sz w:val="24"/>
          <w:szCs w:val="24"/>
          <w:shd w:val="clear" w:color="auto" w:fill="FFFFFF"/>
          <w:lang w:val="fr-FR"/>
          <w14:ligatures w14:val="none"/>
        </w:rPr>
        <w:instrText xml:space="preserve"> ADDIN ZOTERO_ITEM CSL_CITATION {"citationID":"sJ7AYNCA","properties":{"formattedCitation":"[5]","plainCitation":"[5]","noteIndex":0},"citationItems":[{"id":"XJgTUHJD/7A8h7wgq","uris":["http://zotero.org/users/5505563/items/CYU99K2I"],"itemData":{"id":431,"type":"article-journal","abstract":"OBJECTIVE: To review the influence of physical capacity on regaining walking ability and the development of walking ability after lower limb amputation.\nDESIGN: A systematic search of literature was performed. The quality of all relevant studies was evaluated according to a checklist for statistical review of general papers.\nSUBJECTS: Lower limb amputees.\nMAIN MEASURES: Physical capacity (expressed by aerobic capacity, anaerobic capacity, muscle force, flexibility and balance) and walking ability (expressed by the walking velocity and symmetry).\nRESULTS: A total of 48 studies that complied with the inclusion criteria were selected. From these studies there is strong evidence for deterioration of two aspects of physical capacity (muscle strength and balance) and of two aspects of walking ability (walking velocity and symmetry) after lower limb amputation. Strong evidence was found for a relation between balance and walking ability.\nCONCLUSION: Strong evidence was only found for a relation between balance and walking ability. Evidence about a relation between other elements of physical capacity and walking ability was insufficient. Training of physical capacity as well as walking ability during rehabilitation following lower limb amputation should not be discouraged since several parameters have been shown to be reduced after amputation, although their relation to regaining walking ability and to the development of walking ability remains unclear.","container-title":"Clinical Rehabilitation","DOI":"10.1177/0269215506070700","ISSN":"0269-2155","issue":"11","journalAbbreviation":"Clin Rehabil","language":"eng","note":"PMID: 17065543","page":"999-1016","source":"PubMed","title":"Physical capacity and walking ability after lower limb amputation: a systematic review","title-short":"Physical capacity and walking ability after lower limb amputation","volume":"20","author":[{"family":"Velzen","given":"J. M.","non-dropping-particle":"van"},{"family":"Bennekom","given":"C. a. M.","non-dropping-particle":"van"},{"family":"Polomski","given":"W."},{"family":"Slootman","given":"J. R."},{"family":"Woude","given":"L. H. V.","non-dropping-particle":"van der"},{"family":"Houdijk","given":"H."}],"issued":{"date-parts":[["2006",11]]}}}],"schema":"https://github.com/citation-style-language/schema/raw/master/csl-citation.json"} </w:instrText>
      </w:r>
      <w:r w:rsidRPr="001F50AE">
        <w:rPr>
          <w:rFonts w:asciiTheme="majorBidi" w:eastAsiaTheme="majorEastAsia" w:hAnsiTheme="majorBidi" w:cstheme="majorBidi"/>
          <w:kern w:val="0"/>
          <w:sz w:val="24"/>
          <w:szCs w:val="24"/>
          <w:shd w:val="clear" w:color="auto" w:fill="FFFFFF"/>
          <w:lang w:val="fr-FR"/>
          <w14:ligatures w14:val="none"/>
        </w:rPr>
        <w:fldChar w:fldCharType="separate"/>
      </w:r>
      <w:r w:rsidRPr="001F50AE">
        <w:rPr>
          <w:rFonts w:ascii="Times New Roman" w:hAnsi="Times New Roman" w:cs="Times New Roman"/>
          <w:sz w:val="24"/>
          <w:lang w:val="fr-FR"/>
        </w:rPr>
        <w:t>[5]</w:t>
      </w:r>
      <w:r w:rsidRPr="001F50AE">
        <w:rPr>
          <w:rFonts w:asciiTheme="majorBidi" w:eastAsiaTheme="majorEastAsia" w:hAnsiTheme="majorBidi" w:cstheme="majorBidi"/>
          <w:kern w:val="0"/>
          <w:sz w:val="24"/>
          <w:szCs w:val="24"/>
          <w:shd w:val="clear" w:color="auto" w:fill="FFFFFF"/>
          <w:lang w:val="fr-FR"/>
          <w14:ligatures w14:val="none"/>
        </w:rPr>
        <w:fldChar w:fldCharType="end"/>
      </w:r>
      <w:r w:rsidRPr="001F50AE">
        <w:rPr>
          <w:rFonts w:asciiTheme="majorBidi" w:eastAsiaTheme="majorEastAsia" w:hAnsiTheme="majorBidi" w:cstheme="majorBidi"/>
          <w:kern w:val="0"/>
          <w:sz w:val="24"/>
          <w:szCs w:val="24"/>
          <w:shd w:val="clear" w:color="auto" w:fill="FFFFFF"/>
          <w:lang w:val="fr-FR"/>
          <w14:ligatures w14:val="none"/>
        </w:rPr>
        <w:t>.</w:t>
      </w:r>
    </w:p>
    <w:p w14:paraId="1503CFDB" w14:textId="77777777" w:rsidR="001F50AE" w:rsidRPr="001F50AE" w:rsidRDefault="001F50AE" w:rsidP="001F50AE">
      <w:pPr>
        <w:jc w:val="both"/>
        <w:rPr>
          <w:lang w:val="fr-FR"/>
        </w:rPr>
      </w:pPr>
    </w:p>
    <w:p w14:paraId="4E49BB68" w14:textId="55CAC10E" w:rsidR="001F50AE" w:rsidRPr="001F50AE" w:rsidRDefault="001F50AE" w:rsidP="001F50AE">
      <w:pPr>
        <w:jc w:val="both"/>
        <w:rPr>
          <w:rFonts w:asciiTheme="majorBidi" w:hAnsiTheme="majorBidi" w:cstheme="majorBidi"/>
          <w:sz w:val="24"/>
          <w:szCs w:val="24"/>
          <w:lang w:val="fr-FR"/>
        </w:rPr>
      </w:pPr>
      <w:r w:rsidRPr="001F50AE">
        <w:rPr>
          <w:rFonts w:asciiTheme="majorBidi" w:hAnsiTheme="majorBidi" w:cstheme="majorBidi"/>
          <w:sz w:val="24"/>
          <w:szCs w:val="24"/>
          <w:lang w:val="fr-FR" w:bidi="ar-MA"/>
        </w:rPr>
        <w:t xml:space="preserve">Une amputation du membre inférieur est pratiquée la plupart du temps suite à une insuffisance artérielle (92% des cas) ou un traumatisme (7%), </w:t>
      </w:r>
      <w:r w:rsidRPr="001F50AE">
        <w:rPr>
          <w:rFonts w:asciiTheme="majorBidi" w:hAnsiTheme="majorBidi" w:cstheme="majorBidi"/>
          <w:sz w:val="24"/>
          <w:szCs w:val="24"/>
          <w:lang w:val="fr-FR"/>
        </w:rPr>
        <w:t xml:space="preserve">le diabète sucré est la cause la plus fréquente d’amputation des membre inférieurs dans le monde </w:t>
      </w:r>
      <w:r w:rsidRPr="001F50AE">
        <w:rPr>
          <w:rFonts w:asciiTheme="majorBidi" w:hAnsiTheme="majorBidi" w:cstheme="majorBidi"/>
          <w:sz w:val="24"/>
          <w:szCs w:val="24"/>
          <w:lang w:val="fr-FR"/>
        </w:rPr>
        <w:fldChar w:fldCharType="begin"/>
      </w:r>
      <w:r>
        <w:rPr>
          <w:rFonts w:asciiTheme="majorBidi" w:hAnsiTheme="majorBidi" w:cstheme="majorBidi"/>
          <w:sz w:val="24"/>
          <w:szCs w:val="24"/>
          <w:lang w:val="fr-FR"/>
        </w:rPr>
        <w:instrText xml:space="preserve"> ADDIN ZOTERO_ITEM CSL_CITATION {"citationID":"n9WWhtJ0","properties":{"formattedCitation":"[6]","plainCitation":"[6]","noteIndex":0},"citationItems":[{"id":"XJgTUHJD/mt6OoycR","uris":["http://zotero.org/users/5505563/items/GRYEA5X4"],"itemData":{"id":379,"type":"article-journal","abstract":"Life does not end after a major lower extremity amputation. With advances in surgical technique and in sophistication and capabilities of prosthetics, patients should be reasonably expected to return to most of their pre-amputation physical capabilities. This article highlights management and operative principles that will optimize patients' physical function and quality of life following a major lower extremity amputation.","container-title":"Orthoplastic Surgery","DOI":"10.1016/j.orthop.2023.05.001","ISSN":"2666769X","journalAbbreviation":"Orthoplastic Surgery","language":"en","page":"1-14","source":"DOI.org (Crossref)","title":"Evolution of amputee care","volume":"12","author":[{"family":"Chang","given":"Brian L."},{"family":"Kleiber","given":"Grant M."}],"issued":{"date-parts":[["2023",6]]}}}],"schema":"https://github.com/citation-style-language/schema/raw/master/csl-citation.json"} </w:instrText>
      </w:r>
      <w:r w:rsidRPr="001F50AE">
        <w:rPr>
          <w:rFonts w:asciiTheme="majorBidi" w:hAnsiTheme="majorBidi" w:cstheme="majorBidi"/>
          <w:sz w:val="24"/>
          <w:szCs w:val="24"/>
          <w:lang w:val="fr-FR"/>
        </w:rPr>
        <w:fldChar w:fldCharType="separate"/>
      </w:r>
      <w:r w:rsidRPr="001F50AE">
        <w:rPr>
          <w:rFonts w:ascii="Times New Roman" w:hAnsi="Times New Roman" w:cs="Times New Roman"/>
          <w:sz w:val="24"/>
          <w:lang w:val="fr-FR"/>
        </w:rPr>
        <w:t>[6]</w:t>
      </w:r>
      <w:r w:rsidRPr="001F50AE">
        <w:rPr>
          <w:rFonts w:asciiTheme="majorBidi" w:hAnsiTheme="majorBidi" w:cstheme="majorBidi"/>
          <w:sz w:val="24"/>
          <w:szCs w:val="24"/>
          <w:lang w:val="fr-FR"/>
        </w:rPr>
        <w:fldChar w:fldCharType="end"/>
      </w:r>
      <w:r w:rsidRPr="001F50AE">
        <w:rPr>
          <w:rFonts w:asciiTheme="majorBidi" w:hAnsiTheme="majorBidi" w:cstheme="majorBidi"/>
          <w:sz w:val="24"/>
          <w:szCs w:val="24"/>
          <w:lang w:val="fr-FR"/>
        </w:rPr>
        <w:t xml:space="preserve">. </w:t>
      </w:r>
    </w:p>
    <w:p w14:paraId="7DA75D1E" w14:textId="41524C33" w:rsidR="001F50AE" w:rsidRPr="001F50AE" w:rsidRDefault="001F50AE" w:rsidP="001F50AE">
      <w:pPr>
        <w:jc w:val="both"/>
        <w:rPr>
          <w:rFonts w:asciiTheme="majorBidi" w:hAnsiTheme="majorBidi" w:cstheme="majorBidi"/>
          <w:sz w:val="24"/>
          <w:szCs w:val="24"/>
          <w:lang w:val="fr-FR"/>
        </w:rPr>
      </w:pPr>
      <w:r w:rsidRPr="001F50AE">
        <w:rPr>
          <w:rFonts w:asciiTheme="majorBidi" w:hAnsiTheme="majorBidi" w:cstheme="majorBidi"/>
          <w:sz w:val="24"/>
          <w:szCs w:val="24"/>
          <w:lang w:val="fr-FR"/>
        </w:rPr>
        <w:t xml:space="preserve">Le nombre de personnes atteintes de diabète dans le monde est passé de 108 millions en 1980 à 422 millions en 2014. Le risque d’amputation d’un membre chez les patients diabétiques est </w:t>
      </w:r>
      <w:r w:rsidR="001B1480" w:rsidRPr="001B1480">
        <w:rPr>
          <w:rFonts w:asciiTheme="majorBidi" w:hAnsiTheme="majorBidi" w:cstheme="majorBidi"/>
          <w:color w:val="FF0000"/>
          <w:sz w:val="24"/>
          <w:szCs w:val="24"/>
          <w:lang w:val="fr-FR"/>
        </w:rPr>
        <w:t>10 à 30</w:t>
      </w:r>
      <w:r w:rsidRPr="001B1480">
        <w:rPr>
          <w:rFonts w:asciiTheme="majorBidi" w:hAnsiTheme="majorBidi" w:cstheme="majorBidi"/>
          <w:color w:val="FF0000"/>
          <w:sz w:val="24"/>
          <w:szCs w:val="24"/>
          <w:lang w:val="fr-FR"/>
        </w:rPr>
        <w:t xml:space="preserve"> </w:t>
      </w:r>
      <w:r w:rsidRPr="001F50AE">
        <w:rPr>
          <w:rFonts w:asciiTheme="majorBidi" w:hAnsiTheme="majorBidi" w:cstheme="majorBidi"/>
          <w:sz w:val="24"/>
          <w:szCs w:val="24"/>
          <w:lang w:val="fr-FR"/>
        </w:rPr>
        <w:t>fois plus élevé que chez les personnes non diabétiques</w:t>
      </w:r>
      <w:r w:rsidRPr="001F50AE">
        <w:rPr>
          <w:rFonts w:asciiTheme="majorBidi" w:hAnsiTheme="majorBidi" w:cstheme="majorBidi"/>
          <w:sz w:val="24"/>
          <w:szCs w:val="24"/>
          <w:lang w:val="fr-FR"/>
        </w:rPr>
        <w:fldChar w:fldCharType="begin"/>
      </w:r>
      <w:r>
        <w:rPr>
          <w:rFonts w:asciiTheme="majorBidi" w:hAnsiTheme="majorBidi" w:cstheme="majorBidi"/>
          <w:sz w:val="24"/>
          <w:szCs w:val="24"/>
          <w:lang w:val="fr-FR"/>
        </w:rPr>
        <w:instrText xml:space="preserve"> ADDIN ZOTERO_ITEM CSL_CITATION {"citationID":"3eIfABmQ","properties":{"formattedCitation":"[7]","plainCitation":"[7]","noteIndex":0},"citationItems":[{"id":"XJgTUHJD/s5QQV87u","uris":["http://zotero.org/users/5505563/items/SZ8NNL54"],"itemData":{"id":637,"type":"article","abstract":"Introduction. Diabetes mellitus is one of the most common chronic diseases with a high number of sufferers worldwide. Diabetic neuropathy and diabetic angiopathy lead to serious infectious complications which are very difficult to combat and may finally lead to the amputation of a lower limb. The aim of the study was to evaluate the quality of life, the level of acceptance of the illness and the nutritional status of patients after lower limb amputation due to diabetes.\nMethods. Ninety nine patients (23 men and 76 women) were enrolled into the study. They had all undergone lower limb amputation due to diabetic foot in the Department of General and Oncological Surgery. The following questionnaires were used: the WHO Quality of Life-BREF, the Mini Nutritional Assessment, the Acceptance of Illness Scale and the socio-demographic questionnaire. Results. The diabetes-related amputees had a higher QoL within the social domain (64.48), an intermediate QoL –within the environmental domain (63.04) and the mental domain (59.61), and a lower QoL – within physical (somatic) domain (54.69). There was no statistical correlation between genders or between all the domains of QoL (p&gt;0.05). The patients were at risk of malnutrition (MNA was 22.66). There were statistical differences between women and men as regards nutritional status (p=0.034). The mean AIS score was 27.65, which means that the respondents accept their disease. There was no statistical correlation between gender and the acceptance of the disease (p=0.288). There was not statistical correlation between age and QoL (p&gt;0.05). There were statistical differences between age and nutritional status (p&lt;0.05), and between age and acceptance of the illness (p=0.044).\nConclusions. The better the quality of life was in all the domains, the better the level of acceptance of illness was. The less malnourished the patient was, the better their quality of life was in all the domains.","DOI":"10.21203/rs.3.rs-24304/v1","language":"en","license":"https://creativecommons.org/licenses/by/4.0/","source":"In Review","title":"Acceptance of illness, quality of life and nutritional status of patients after lower limb amputation due to diabetes mellitus","URL":"https://www.researchsquare.com/article/rs-24304/v1","author":[{"family":"Szymanska-Chabowska","given":"Anna"},{"family":"Łabuń","given":"Adrianna"},{"family":"Tański","given":"Wojciech"},{"family":"Zielińska","given":"Dorota"},{"family":"Juzwiszyn","given":"Jan"},{"family":"Chabowski","given":"Mariusz"}],"accessed":{"date-parts":[["2024",9,11]]},"issued":{"date-parts":[["2020",4,27]]}}}],"schema":"https://github.com/citation-style-language/schema/raw/master/csl-citation.json"} </w:instrText>
      </w:r>
      <w:r w:rsidRPr="001F50AE">
        <w:rPr>
          <w:rFonts w:asciiTheme="majorBidi" w:hAnsiTheme="majorBidi" w:cstheme="majorBidi"/>
          <w:sz w:val="24"/>
          <w:szCs w:val="24"/>
          <w:lang w:val="fr-FR"/>
        </w:rPr>
        <w:fldChar w:fldCharType="separate"/>
      </w:r>
      <w:r w:rsidRPr="001F50AE">
        <w:rPr>
          <w:rFonts w:ascii="Times New Roman" w:hAnsi="Times New Roman" w:cs="Times New Roman"/>
          <w:sz w:val="24"/>
          <w:lang w:val="fr-FR"/>
        </w:rPr>
        <w:t>[7]</w:t>
      </w:r>
      <w:r w:rsidRPr="001F50AE">
        <w:rPr>
          <w:rFonts w:asciiTheme="majorBidi" w:hAnsiTheme="majorBidi" w:cstheme="majorBidi"/>
          <w:sz w:val="24"/>
          <w:szCs w:val="24"/>
          <w:lang w:val="fr-FR"/>
        </w:rPr>
        <w:fldChar w:fldCharType="end"/>
      </w:r>
      <w:r w:rsidRPr="001F50AE">
        <w:rPr>
          <w:rFonts w:asciiTheme="majorBidi" w:hAnsiTheme="majorBidi" w:cstheme="majorBidi"/>
          <w:sz w:val="24"/>
          <w:szCs w:val="24"/>
          <w:lang w:val="fr-FR"/>
        </w:rPr>
        <w:t>.</w:t>
      </w:r>
    </w:p>
    <w:p w14:paraId="18AC4E06" w14:textId="43BF4E6A" w:rsidR="001F50AE" w:rsidRPr="001F50AE" w:rsidRDefault="001F50AE" w:rsidP="001F50AE">
      <w:pPr>
        <w:jc w:val="both"/>
        <w:rPr>
          <w:rFonts w:asciiTheme="majorBidi" w:hAnsiTheme="majorBidi" w:cstheme="majorBidi"/>
          <w:sz w:val="24"/>
          <w:szCs w:val="24"/>
          <w:lang w:val="fr-FR" w:bidi="ar-MA"/>
        </w:rPr>
      </w:pPr>
      <w:r w:rsidRPr="001F50AE">
        <w:rPr>
          <w:rFonts w:asciiTheme="majorBidi" w:hAnsiTheme="majorBidi" w:cstheme="majorBidi"/>
          <w:sz w:val="24"/>
          <w:szCs w:val="24"/>
          <w:lang w:val="fr-FR" w:bidi="ar-MA"/>
        </w:rPr>
        <w:t xml:space="preserve">Les patients diabétiques présentent un risque accru de revascularisation et d'amputation des membres inférieurs en raison d'un risque plus élevé de maladie artérielle périphérique </w:t>
      </w:r>
      <w:r w:rsidRPr="001F50AE">
        <w:rPr>
          <w:rFonts w:asciiTheme="majorBidi" w:hAnsiTheme="majorBidi" w:cstheme="majorBidi"/>
          <w:color w:val="000000"/>
          <w:kern w:val="0"/>
          <w:sz w:val="24"/>
          <w:szCs w:val="24"/>
          <w:lang w:val="fr-FR"/>
        </w:rPr>
        <w:t xml:space="preserve">(MAP) </w:t>
      </w:r>
      <w:r w:rsidRPr="001F50AE">
        <w:rPr>
          <w:rFonts w:asciiTheme="majorBidi" w:hAnsiTheme="majorBidi" w:cstheme="majorBidi"/>
          <w:sz w:val="24"/>
          <w:szCs w:val="24"/>
          <w:lang w:val="fr-FR" w:bidi="ar-MA"/>
        </w:rPr>
        <w:t xml:space="preserve">et de neuropathie périphérique </w:t>
      </w:r>
      <w:r w:rsidRPr="001F50AE">
        <w:rPr>
          <w:rFonts w:asciiTheme="majorBidi" w:hAnsiTheme="majorBidi" w:cstheme="majorBidi"/>
          <w:sz w:val="24"/>
          <w:szCs w:val="24"/>
          <w:lang w:val="fr-FR" w:bidi="ar-MA"/>
        </w:rPr>
        <w:fldChar w:fldCharType="begin"/>
      </w:r>
      <w:r>
        <w:rPr>
          <w:rFonts w:asciiTheme="majorBidi" w:hAnsiTheme="majorBidi" w:cstheme="majorBidi"/>
          <w:sz w:val="24"/>
          <w:szCs w:val="24"/>
          <w:lang w:val="fr-FR" w:bidi="ar-MA"/>
        </w:rPr>
        <w:instrText xml:space="preserve"> ADDIN ZOTERO_ITEM CSL_CITATION {"citationID":"DSZ5Z7MD","properties":{"formattedCitation":"[8]","plainCitation":"[8]","noteIndex":0},"citationItems":[{"id":"XJgTUHJD/aDu3XPy3","uris":["http://zotero.org/users/5505563/items/TQULG4UI"],"itemData":{"id":404,"type":"article-journal","abstract":"INTRODUCTION: Patients with diabetes have increased risk of lower limb revascularization and amputation due to higher risk of peripheral artery disease (PAD) and peripheral neuropathy. The additive effect of coronary artery disease (CAD) is less clear. We examined the risk of PAD, lower limb revascularization, and amputation in diabetes and non-diabetes patients with and without CAD in patients examined by coronary angiography (CAG).\nRESEARCH DESIGN AND METHODS: We included all patients undergoing CAG between 2003 and 2016 in Western Denmark. Patients with previous CAD, PAD, lower limb revascularization, or amputation were excluded. Patients were stratified by diabetes and CAD status and followed for a maximum of 10 years. Outcomes were PAD, lower limb revascularization, and amputation. We estimated 10-year cumulative incidences and adjusted HRs (aHRs) using patients neither diabetes nor CAD as reference.\nRESULTS: A total of 118 787 patients were included, of whom 41 878 (35%) had neither diabetes nor CAD, 5735 (5%) had diabetes alone, 59 427 (50%) had CAD alone, and 11 747 (10%) had both diabetes and CAD. Median follow-up was 6.9 years. Diabetes patients without CAD had higher risk of PAD (3.5%, aHR 1.73, 95% CI 1.51 to 1.97), lower limb revascularization (1.6%, aHR 1.55, 95% CI 1.16 to 2.05), and lower limb amputation (2.4%, aHR 5.51, 95% CI 4.09 to 7.43) compared with patients with neither diabetes nor CAD. CAD was associated with 2.5-fold and 1.8-fold higher risk of PAD and amputation, respectively, among patients without diabetes, and associated with 3.9-fold and 9.5-fold higher risk of PAD and lower limb amputation among patients with diabetes.\nCONCLUSIONS: Despite absence of obstructive CAD, patients with diabetes remained at higher risk of PAD, lower limb revascularization, and lower limb amputation. Diabetes was more strongly associated with amputation than CAD, but CAD exacerbated the risks of PAD, revascularization, and amputation in patients with diabetes.","container-title":"BMJ open diabetes research &amp; care","DOI":"10.1136/bmjdrc-2020-001803","ISSN":"2052-4897","issue":"1","journalAbbreviation":"BMJ Open Diabetes Res Care","language":"eng","note":"PMID: 33414173\nPMCID: PMC7797253","page":"e001803","source":"PubMed","title":"Peripheral artery disease, lower limb revascularization, and amputation in diabetes patients with and without coronary artery disease: a cohort study from the Western Denmark Heart Registry","title-short":"Peripheral artery disease, lower limb revascularization, and amputation in diabetes patients with and without coronary artery disease","volume":"9","author":[{"family":"Olesen","given":"Kevin Kris Warnakula"},{"family":"Gyldenkerne","given":"Christine"},{"family":"Thim","given":"Troels"},{"family":"Thomsen","given":"Reimar Wernich"},{"family":"Maeng","given":"Michael"}],"issued":{"date-parts":[["2021",1]]}}}],"schema":"https://github.com/citation-style-language/schema/raw/master/csl-citation.json"} </w:instrText>
      </w:r>
      <w:r w:rsidRPr="001F50AE">
        <w:rPr>
          <w:rFonts w:asciiTheme="majorBidi" w:hAnsiTheme="majorBidi" w:cstheme="majorBidi"/>
          <w:sz w:val="24"/>
          <w:szCs w:val="24"/>
          <w:lang w:val="fr-FR" w:bidi="ar-MA"/>
        </w:rPr>
        <w:fldChar w:fldCharType="separate"/>
      </w:r>
      <w:r w:rsidRPr="001F50AE">
        <w:rPr>
          <w:rFonts w:ascii="Times New Roman" w:hAnsi="Times New Roman" w:cs="Times New Roman"/>
          <w:sz w:val="24"/>
          <w:lang w:val="fr-FR"/>
        </w:rPr>
        <w:t>[8]</w:t>
      </w:r>
      <w:r w:rsidRPr="001F50AE">
        <w:rPr>
          <w:rFonts w:asciiTheme="majorBidi" w:hAnsiTheme="majorBidi" w:cstheme="majorBidi"/>
          <w:sz w:val="24"/>
          <w:szCs w:val="24"/>
          <w:lang w:val="fr-FR" w:bidi="ar-MA"/>
        </w:rPr>
        <w:fldChar w:fldCharType="end"/>
      </w:r>
      <w:r w:rsidRPr="001F50AE">
        <w:rPr>
          <w:rFonts w:asciiTheme="majorBidi" w:hAnsiTheme="majorBidi" w:cstheme="majorBidi"/>
          <w:sz w:val="24"/>
          <w:szCs w:val="24"/>
          <w:lang w:val="fr-FR" w:bidi="ar-MA"/>
        </w:rPr>
        <w:t>.</w:t>
      </w:r>
    </w:p>
    <w:p w14:paraId="4D07D3C9" w14:textId="65356587" w:rsidR="00A94E34" w:rsidRPr="00A94E34" w:rsidRDefault="00A94E34" w:rsidP="00A94E34">
      <w:pPr>
        <w:autoSpaceDE w:val="0"/>
        <w:autoSpaceDN w:val="0"/>
        <w:adjustRightInd w:val="0"/>
        <w:spacing w:after="0" w:line="240" w:lineRule="auto"/>
        <w:jc w:val="both"/>
        <w:rPr>
          <w:rFonts w:asciiTheme="majorBidi" w:hAnsiTheme="majorBidi" w:cstheme="majorBidi"/>
          <w:color w:val="000000"/>
          <w:kern w:val="0"/>
          <w:sz w:val="24"/>
          <w:szCs w:val="24"/>
          <w:lang w:val="fr-FR"/>
        </w:rPr>
      </w:pPr>
      <w:r w:rsidRPr="00A94E34">
        <w:rPr>
          <w:rFonts w:asciiTheme="majorBidi" w:hAnsiTheme="majorBidi" w:cstheme="majorBidi"/>
          <w:color w:val="000000"/>
          <w:kern w:val="0"/>
          <w:sz w:val="24"/>
          <w:szCs w:val="24"/>
          <w:lang w:val="fr-FR"/>
        </w:rPr>
        <w:t>L'amputation est une complication dévastatrice mais évitable du diabète et de la MAP. Les coûts financiers, physiques et sociétaux de l’amputation sont élevés, avec des coûts financiers estimés à 8,7 milliards de dollars pour la seule année 2013. L’amputation est également un marqueur de maladie cardiovasculaire terminale grave, les patients diabétiques subissant une amputation liée à une MAP ont une mortalité de 50 à 7</w:t>
      </w:r>
      <w:r w:rsidR="00EE1C8E">
        <w:rPr>
          <w:rFonts w:asciiTheme="majorBidi" w:hAnsiTheme="majorBidi" w:cstheme="majorBidi"/>
          <w:color w:val="000000"/>
          <w:kern w:val="0"/>
          <w:sz w:val="24"/>
          <w:szCs w:val="24"/>
          <w:lang w:val="fr-FR"/>
        </w:rPr>
        <w:t>5</w:t>
      </w:r>
      <w:r w:rsidRPr="00A94E34">
        <w:rPr>
          <w:rFonts w:asciiTheme="majorBidi" w:hAnsiTheme="majorBidi" w:cstheme="majorBidi"/>
          <w:color w:val="000000"/>
          <w:kern w:val="0"/>
          <w:sz w:val="24"/>
          <w:szCs w:val="24"/>
          <w:lang w:val="fr-FR"/>
        </w:rPr>
        <w:t xml:space="preserve"> % sur 5 ans, principalement due aux complications cardiaques et cérébrovasculaires associée </w:t>
      </w:r>
      <w:r>
        <w:rPr>
          <w:rFonts w:asciiTheme="majorBidi" w:hAnsiTheme="majorBidi" w:cstheme="majorBidi"/>
          <w:color w:val="000000"/>
          <w:kern w:val="0"/>
          <w:sz w:val="24"/>
          <w:szCs w:val="24"/>
        </w:rPr>
        <w:fldChar w:fldCharType="begin"/>
      </w:r>
      <w:r>
        <w:rPr>
          <w:rFonts w:asciiTheme="majorBidi" w:hAnsiTheme="majorBidi" w:cstheme="majorBidi"/>
          <w:color w:val="000000"/>
          <w:kern w:val="0"/>
          <w:sz w:val="24"/>
          <w:szCs w:val="24"/>
          <w:lang w:val="fr-FR"/>
        </w:rPr>
        <w:instrText xml:space="preserve"> ADDIN ZOTERO_ITEM CSL_CITATION {"citationID":"KKuwCBCE","properties":{"formattedCitation":"[9]","plainCitation":"[9]","noteIndex":0},"citationItems":[{"id":"XJgTUHJD/i28B3G9S","uris":["http://zotero.org/users/5505563/items/RJ265982"],"itemData":{"id":518,"type":"webpage","abstract":"The Amputee Coalition is dedicated to enhancing the quality of life for amputees and their families, improving patient care and preventing limb loss.","container-title":"Amputee Coalition","language":"en-US","title":"Amputee Coalition - Learn about amputation &amp; prosthetic care &amp; request support for people living with limb loss, their families, caregivers and clinicians who care for amputees.","URL":"https://www.amputee-coalition.org/","accessed":{"date-parts":[["2024",7,23]]}}}],"schema":"https://github.com/citation-style-language/schema/raw/master/csl-citation.json"} </w:instrText>
      </w:r>
      <w:r>
        <w:rPr>
          <w:rFonts w:asciiTheme="majorBidi" w:hAnsiTheme="majorBidi" w:cstheme="majorBidi"/>
          <w:color w:val="000000"/>
          <w:kern w:val="0"/>
          <w:sz w:val="24"/>
          <w:szCs w:val="24"/>
        </w:rPr>
        <w:fldChar w:fldCharType="separate"/>
      </w:r>
      <w:r w:rsidRPr="00A94E34">
        <w:rPr>
          <w:rFonts w:ascii="Times New Roman" w:hAnsi="Times New Roman" w:cs="Times New Roman"/>
          <w:sz w:val="24"/>
          <w:lang w:val="fr-FR"/>
        </w:rPr>
        <w:t>[9]</w:t>
      </w:r>
      <w:r>
        <w:rPr>
          <w:rFonts w:asciiTheme="majorBidi" w:hAnsiTheme="majorBidi" w:cstheme="majorBidi"/>
          <w:color w:val="000000"/>
          <w:kern w:val="0"/>
          <w:sz w:val="24"/>
          <w:szCs w:val="24"/>
        </w:rPr>
        <w:fldChar w:fldCharType="end"/>
      </w:r>
      <w:r w:rsidRPr="00A94E34">
        <w:rPr>
          <w:rFonts w:asciiTheme="majorBidi" w:hAnsiTheme="majorBidi" w:cstheme="majorBidi"/>
          <w:color w:val="000000"/>
          <w:kern w:val="0"/>
          <w:sz w:val="24"/>
          <w:szCs w:val="24"/>
          <w:lang w:val="fr-FR"/>
        </w:rPr>
        <w:t>.</w:t>
      </w:r>
      <w:r w:rsidRPr="00A94E34">
        <w:rPr>
          <w:rFonts w:asciiTheme="majorBidi" w:eastAsia="Times New Roman" w:hAnsiTheme="majorBidi" w:cstheme="majorBidi"/>
          <w:b/>
          <w:bCs/>
          <w:kern w:val="36"/>
          <w:sz w:val="48"/>
          <w:szCs w:val="48"/>
          <w:lang w:val="fr-FR" w:eastAsia="fr-FR"/>
        </w:rPr>
        <w:t xml:space="preserve"> </w:t>
      </w:r>
    </w:p>
    <w:p w14:paraId="7B9644EB" w14:textId="6FE19E48" w:rsidR="005A47E3" w:rsidRPr="00A94E34" w:rsidRDefault="005A47E3">
      <w:pPr>
        <w:rPr>
          <w:lang w:val="fr-FR"/>
        </w:rPr>
      </w:pPr>
    </w:p>
    <w:p w14:paraId="3D821C5A" w14:textId="3093C2D0" w:rsidR="001F50AE" w:rsidRPr="00A94E34" w:rsidRDefault="001F50AE">
      <w:pPr>
        <w:rPr>
          <w:lang w:val="fr-FR"/>
        </w:rPr>
      </w:pPr>
      <w:r w:rsidRPr="00A94E34">
        <w:rPr>
          <w:lang w:val="fr-FR"/>
        </w:rPr>
        <w:t>Références :</w:t>
      </w:r>
    </w:p>
    <w:p w14:paraId="35BFE690" w14:textId="77777777" w:rsidR="00A94E34" w:rsidRPr="00A94E34" w:rsidRDefault="001F50AE" w:rsidP="00A94E34">
      <w:pPr>
        <w:pStyle w:val="Bibliographie"/>
        <w:rPr>
          <w:rFonts w:ascii="Calibri" w:hAnsi="Calibri" w:cs="Calibri"/>
        </w:rPr>
      </w:pPr>
      <w:r>
        <w:fldChar w:fldCharType="begin"/>
      </w:r>
      <w:r w:rsidR="00A94E34" w:rsidRPr="004C5736">
        <w:rPr>
          <w:lang w:val="fr-FR"/>
        </w:rPr>
        <w:instrText xml:space="preserve"> ADDIN ZOTERO_BIBL {"uncited":[],"omitted":[],"custom":[]} CSL_BIBLIOGRAPHY </w:instrText>
      </w:r>
      <w:r>
        <w:fldChar w:fldCharType="separate"/>
      </w:r>
      <w:r w:rsidR="00A94E34" w:rsidRPr="004C5736">
        <w:rPr>
          <w:rFonts w:ascii="Calibri" w:hAnsi="Calibri" w:cs="Calibri"/>
          <w:lang w:val="fr-FR"/>
        </w:rPr>
        <w:t xml:space="preserve">[1] </w:t>
      </w:r>
      <w:r w:rsidR="00A94E34" w:rsidRPr="004C5736">
        <w:rPr>
          <w:rFonts w:ascii="Calibri" w:hAnsi="Calibri" w:cs="Calibri"/>
          <w:lang w:val="fr-FR"/>
        </w:rPr>
        <w:tab/>
        <w:t xml:space="preserve">Samuelsson KAM, Töytäri O, Salminen A-L, et al. </w:t>
      </w:r>
      <w:r w:rsidR="00A94E34" w:rsidRPr="00A94E34">
        <w:rPr>
          <w:rFonts w:ascii="Calibri" w:hAnsi="Calibri" w:cs="Calibri"/>
        </w:rPr>
        <w:t xml:space="preserve">Effects of lower limb prosthesis on activity, participation, and quality of life: a systematic review. </w:t>
      </w:r>
      <w:r w:rsidR="00A94E34" w:rsidRPr="00A94E34">
        <w:rPr>
          <w:rFonts w:ascii="Calibri" w:hAnsi="Calibri" w:cs="Calibri"/>
          <w:i/>
          <w:iCs/>
        </w:rPr>
        <w:t>Prosthet Orthot Int</w:t>
      </w:r>
      <w:r w:rsidR="00A94E34" w:rsidRPr="00A94E34">
        <w:rPr>
          <w:rFonts w:ascii="Calibri" w:hAnsi="Calibri" w:cs="Calibri"/>
        </w:rPr>
        <w:t xml:space="preserve"> 2012; 36: 145–158.</w:t>
      </w:r>
    </w:p>
    <w:p w14:paraId="1DFCE11B" w14:textId="77777777" w:rsidR="00A94E34" w:rsidRPr="00A94E34" w:rsidRDefault="00A94E34" w:rsidP="00A94E34">
      <w:pPr>
        <w:pStyle w:val="Bibliographie"/>
        <w:rPr>
          <w:rFonts w:ascii="Calibri" w:hAnsi="Calibri" w:cs="Calibri"/>
        </w:rPr>
      </w:pPr>
      <w:r w:rsidRPr="00A94E34">
        <w:rPr>
          <w:rFonts w:ascii="Calibri" w:hAnsi="Calibri" w:cs="Calibri"/>
        </w:rPr>
        <w:t xml:space="preserve">[2] </w:t>
      </w:r>
      <w:r w:rsidRPr="00A94E34">
        <w:rPr>
          <w:rFonts w:ascii="Calibri" w:hAnsi="Calibri" w:cs="Calibri"/>
        </w:rPr>
        <w:tab/>
        <w:t xml:space="preserve">Pezzin LE, Dillingham TR, MacKenzie EJ. Rehabilitation and the long-term outcomes of persons with trauma-related amputations. </w:t>
      </w:r>
      <w:r w:rsidRPr="00A94E34">
        <w:rPr>
          <w:rFonts w:ascii="Calibri" w:hAnsi="Calibri" w:cs="Calibri"/>
          <w:i/>
          <w:iCs/>
        </w:rPr>
        <w:t>Arch Phys Med Rehabil</w:t>
      </w:r>
      <w:r w:rsidRPr="00A94E34">
        <w:rPr>
          <w:rFonts w:ascii="Calibri" w:hAnsi="Calibri" w:cs="Calibri"/>
        </w:rPr>
        <w:t xml:space="preserve"> 2000; 81: 292–300.</w:t>
      </w:r>
    </w:p>
    <w:p w14:paraId="09548488" w14:textId="77777777" w:rsidR="00A94E34" w:rsidRPr="00A94E34" w:rsidRDefault="00A94E34" w:rsidP="00A94E34">
      <w:pPr>
        <w:pStyle w:val="Bibliographie"/>
        <w:rPr>
          <w:rFonts w:ascii="Calibri" w:hAnsi="Calibri" w:cs="Calibri"/>
          <w:lang w:val="fr-FR"/>
        </w:rPr>
      </w:pPr>
      <w:r w:rsidRPr="00A94E34">
        <w:rPr>
          <w:rFonts w:ascii="Calibri" w:hAnsi="Calibri" w:cs="Calibri"/>
        </w:rPr>
        <w:t xml:space="preserve">[3] </w:t>
      </w:r>
      <w:r w:rsidRPr="00A94E34">
        <w:rPr>
          <w:rFonts w:ascii="Calibri" w:hAnsi="Calibri" w:cs="Calibri"/>
        </w:rPr>
        <w:tab/>
        <w:t xml:space="preserve">The Global Lower Extremity Amputation Study Group. Epidemiology of lower extremity amputation in centres in Europe, North America and East Asia. </w:t>
      </w:r>
      <w:r w:rsidRPr="00A94E34">
        <w:rPr>
          <w:rFonts w:ascii="Calibri" w:hAnsi="Calibri" w:cs="Calibri"/>
          <w:i/>
          <w:iCs/>
          <w:lang w:val="fr-FR"/>
        </w:rPr>
        <w:t>Br J Surg</w:t>
      </w:r>
      <w:r w:rsidRPr="00A94E34">
        <w:rPr>
          <w:rFonts w:ascii="Calibri" w:hAnsi="Calibri" w:cs="Calibri"/>
          <w:lang w:val="fr-FR"/>
        </w:rPr>
        <w:t xml:space="preserve"> 2000; 87: 328–337.</w:t>
      </w:r>
    </w:p>
    <w:p w14:paraId="0A6CFFF8" w14:textId="77777777" w:rsidR="00A94E34" w:rsidRPr="00A94E34" w:rsidRDefault="00A94E34" w:rsidP="00A94E34">
      <w:pPr>
        <w:pStyle w:val="Bibliographie"/>
        <w:rPr>
          <w:rFonts w:ascii="Calibri" w:hAnsi="Calibri" w:cs="Calibri"/>
        </w:rPr>
      </w:pPr>
      <w:r w:rsidRPr="00A94E34">
        <w:rPr>
          <w:rFonts w:ascii="Calibri" w:hAnsi="Calibri" w:cs="Calibri"/>
          <w:lang w:val="fr-FR"/>
        </w:rPr>
        <w:t xml:space="preserve">[4] </w:t>
      </w:r>
      <w:r w:rsidRPr="00A94E34">
        <w:rPr>
          <w:rFonts w:ascii="Calibri" w:hAnsi="Calibri" w:cs="Calibri"/>
          <w:lang w:val="fr-FR"/>
        </w:rPr>
        <w:tab/>
        <w:t xml:space="preserve">Ziegler-Graham K, MacKenzie EJ, Ephraim PL, et al. </w:t>
      </w:r>
      <w:r w:rsidRPr="00A94E34">
        <w:rPr>
          <w:rFonts w:ascii="Calibri" w:hAnsi="Calibri" w:cs="Calibri"/>
        </w:rPr>
        <w:t xml:space="preserve">Estimating the prevalence of limb loss in the United States: 2005 to 2050. </w:t>
      </w:r>
      <w:r w:rsidRPr="00A94E34">
        <w:rPr>
          <w:rFonts w:ascii="Calibri" w:hAnsi="Calibri" w:cs="Calibri"/>
          <w:i/>
          <w:iCs/>
        </w:rPr>
        <w:t>Arch Phys Med Rehabil</w:t>
      </w:r>
      <w:r w:rsidRPr="00A94E34">
        <w:rPr>
          <w:rFonts w:ascii="Calibri" w:hAnsi="Calibri" w:cs="Calibri"/>
        </w:rPr>
        <w:t xml:space="preserve"> 2008; 89: 422–429.</w:t>
      </w:r>
    </w:p>
    <w:p w14:paraId="12A4872B" w14:textId="77777777" w:rsidR="00A94E34" w:rsidRPr="00A94E34" w:rsidRDefault="00A94E34" w:rsidP="00A94E34">
      <w:pPr>
        <w:pStyle w:val="Bibliographie"/>
        <w:rPr>
          <w:rFonts w:ascii="Calibri" w:hAnsi="Calibri" w:cs="Calibri"/>
        </w:rPr>
      </w:pPr>
      <w:r w:rsidRPr="00A94E34">
        <w:rPr>
          <w:rFonts w:ascii="Calibri" w:hAnsi="Calibri" w:cs="Calibri"/>
        </w:rPr>
        <w:t xml:space="preserve">[5] </w:t>
      </w:r>
      <w:r w:rsidRPr="00A94E34">
        <w:rPr>
          <w:rFonts w:ascii="Calibri" w:hAnsi="Calibri" w:cs="Calibri"/>
        </w:rPr>
        <w:tab/>
        <w:t xml:space="preserve">van Velzen JM, van Bennekom C a. M, Polomski W, et al. Physical capacity and walking ability after lower limb amputation: a systematic review. </w:t>
      </w:r>
      <w:r w:rsidRPr="00A94E34">
        <w:rPr>
          <w:rFonts w:ascii="Calibri" w:hAnsi="Calibri" w:cs="Calibri"/>
          <w:i/>
          <w:iCs/>
        </w:rPr>
        <w:t>Clin Rehabil</w:t>
      </w:r>
      <w:r w:rsidRPr="00A94E34">
        <w:rPr>
          <w:rFonts w:ascii="Calibri" w:hAnsi="Calibri" w:cs="Calibri"/>
        </w:rPr>
        <w:t xml:space="preserve"> 2006; 20: 999–1016.</w:t>
      </w:r>
    </w:p>
    <w:p w14:paraId="4CE22754" w14:textId="77777777" w:rsidR="00A94E34" w:rsidRPr="00A94E34" w:rsidRDefault="00A94E34" w:rsidP="00A94E34">
      <w:pPr>
        <w:pStyle w:val="Bibliographie"/>
        <w:rPr>
          <w:rFonts w:ascii="Calibri" w:hAnsi="Calibri" w:cs="Calibri"/>
        </w:rPr>
      </w:pPr>
      <w:r w:rsidRPr="00A94E34">
        <w:rPr>
          <w:rFonts w:ascii="Calibri" w:hAnsi="Calibri" w:cs="Calibri"/>
        </w:rPr>
        <w:t xml:space="preserve">[6] </w:t>
      </w:r>
      <w:r w:rsidRPr="00A94E34">
        <w:rPr>
          <w:rFonts w:ascii="Calibri" w:hAnsi="Calibri" w:cs="Calibri"/>
        </w:rPr>
        <w:tab/>
        <w:t xml:space="preserve">Chang BL, Kleiber GM. Evolution of amputee care. </w:t>
      </w:r>
      <w:r w:rsidRPr="00A94E34">
        <w:rPr>
          <w:rFonts w:ascii="Calibri" w:hAnsi="Calibri" w:cs="Calibri"/>
          <w:i/>
          <w:iCs/>
        </w:rPr>
        <w:t>Orthoplastic Surg</w:t>
      </w:r>
      <w:r w:rsidRPr="00A94E34">
        <w:rPr>
          <w:rFonts w:ascii="Calibri" w:hAnsi="Calibri" w:cs="Calibri"/>
        </w:rPr>
        <w:t xml:space="preserve"> 2023; 12: 1–14.</w:t>
      </w:r>
    </w:p>
    <w:p w14:paraId="1B0BAFE3" w14:textId="77777777" w:rsidR="00A94E34" w:rsidRPr="00A94E34" w:rsidRDefault="00A94E34" w:rsidP="00A94E34">
      <w:pPr>
        <w:pStyle w:val="Bibliographie"/>
        <w:rPr>
          <w:rFonts w:ascii="Calibri" w:hAnsi="Calibri" w:cs="Calibri"/>
        </w:rPr>
      </w:pPr>
      <w:r w:rsidRPr="00A94E34">
        <w:rPr>
          <w:rFonts w:ascii="Calibri" w:hAnsi="Calibri" w:cs="Calibri"/>
        </w:rPr>
        <w:lastRenderedPageBreak/>
        <w:t xml:space="preserve">[7] </w:t>
      </w:r>
      <w:r w:rsidRPr="00A94E34">
        <w:rPr>
          <w:rFonts w:ascii="Calibri" w:hAnsi="Calibri" w:cs="Calibri"/>
        </w:rPr>
        <w:tab/>
        <w:t>Szymanska-Chabowska A, Łabuń A, Tański W, et al. Acceptance of illness, quality of life and nutritional status of patients after lower limb amputation due to diabetes mellitus. Epub ahead of print 27 April 2020. DOI: 10.21203/rs.3.rs-24304/v1.</w:t>
      </w:r>
    </w:p>
    <w:p w14:paraId="2A67604C" w14:textId="77777777" w:rsidR="00A94E34" w:rsidRPr="00A94E34" w:rsidRDefault="00A94E34" w:rsidP="00A94E34">
      <w:pPr>
        <w:pStyle w:val="Bibliographie"/>
        <w:rPr>
          <w:rFonts w:ascii="Calibri" w:hAnsi="Calibri" w:cs="Calibri"/>
        </w:rPr>
      </w:pPr>
      <w:r w:rsidRPr="00A94E34">
        <w:rPr>
          <w:rFonts w:ascii="Calibri" w:hAnsi="Calibri" w:cs="Calibri"/>
        </w:rPr>
        <w:t xml:space="preserve">[8] </w:t>
      </w:r>
      <w:r w:rsidRPr="00A94E34">
        <w:rPr>
          <w:rFonts w:ascii="Calibri" w:hAnsi="Calibri" w:cs="Calibri"/>
        </w:rPr>
        <w:tab/>
        <w:t xml:space="preserve">Olesen KKW, Gyldenkerne C, Thim T, et al. Peripheral artery disease, lower limb revascularization, and amputation in diabetes patients with and without coronary artery disease: a cohort study from the Western Denmark Heart Registry. </w:t>
      </w:r>
      <w:r w:rsidRPr="00A94E34">
        <w:rPr>
          <w:rFonts w:ascii="Calibri" w:hAnsi="Calibri" w:cs="Calibri"/>
          <w:i/>
          <w:iCs/>
        </w:rPr>
        <w:t>BMJ Open Diabetes Res Care</w:t>
      </w:r>
      <w:r w:rsidRPr="00A94E34">
        <w:rPr>
          <w:rFonts w:ascii="Calibri" w:hAnsi="Calibri" w:cs="Calibri"/>
        </w:rPr>
        <w:t xml:space="preserve"> 2021; 9: e001803.</w:t>
      </w:r>
    </w:p>
    <w:p w14:paraId="5AE60C5D" w14:textId="77777777" w:rsidR="00A94E34" w:rsidRPr="00A94E34" w:rsidRDefault="00A94E34" w:rsidP="00A94E34">
      <w:pPr>
        <w:pStyle w:val="Bibliographie"/>
        <w:rPr>
          <w:rFonts w:ascii="Calibri" w:hAnsi="Calibri" w:cs="Calibri"/>
        </w:rPr>
      </w:pPr>
      <w:r w:rsidRPr="00A94E34">
        <w:rPr>
          <w:rFonts w:ascii="Calibri" w:hAnsi="Calibri" w:cs="Calibri"/>
        </w:rPr>
        <w:t xml:space="preserve">[9] </w:t>
      </w:r>
      <w:r w:rsidRPr="00A94E34">
        <w:rPr>
          <w:rFonts w:ascii="Calibri" w:hAnsi="Calibri" w:cs="Calibri"/>
        </w:rPr>
        <w:tab/>
        <w:t xml:space="preserve">Amputee Coalition - Learn about amputation &amp; prosthetic care &amp; request support for people living with limb loss, their families, caregivers and clinicians who care for amputees. </w:t>
      </w:r>
      <w:r w:rsidRPr="00A94E34">
        <w:rPr>
          <w:rFonts w:ascii="Calibri" w:hAnsi="Calibri" w:cs="Calibri"/>
          <w:i/>
          <w:iCs/>
        </w:rPr>
        <w:t>Amputee Coalition</w:t>
      </w:r>
      <w:r w:rsidRPr="00A94E34">
        <w:rPr>
          <w:rFonts w:ascii="Calibri" w:hAnsi="Calibri" w:cs="Calibri"/>
        </w:rPr>
        <w:t>, https://www.amputee-coalition.org/ (accessed 23 July 2024).</w:t>
      </w:r>
    </w:p>
    <w:p w14:paraId="2FA57FB4" w14:textId="19564419" w:rsidR="001F50AE" w:rsidRDefault="001F50AE">
      <w:r>
        <w:fldChar w:fldCharType="end"/>
      </w:r>
    </w:p>
    <w:p w14:paraId="6087FB30" w14:textId="77777777" w:rsidR="001F50AE" w:rsidRDefault="001F50AE"/>
    <w:sectPr w:rsidR="001F50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020B4C"/>
    <w:multiLevelType w:val="hybridMultilevel"/>
    <w:tmpl w:val="C8F037D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8F"/>
    <w:rsid w:val="001B1480"/>
    <w:rsid w:val="001F50AE"/>
    <w:rsid w:val="004C5736"/>
    <w:rsid w:val="005A47E3"/>
    <w:rsid w:val="00A94E34"/>
    <w:rsid w:val="00B419C9"/>
    <w:rsid w:val="00DE5A8F"/>
    <w:rsid w:val="00EE1C8E"/>
    <w:rsid w:val="00FF0CD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4B8C8"/>
  <w15:chartTrackingRefBased/>
  <w15:docId w15:val="{2BC9439E-F0DA-421E-A8B4-D507FBCF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Bibliographie">
    <w:name w:val="Bibliography"/>
    <w:basedOn w:val="Normal"/>
    <w:next w:val="Normal"/>
    <w:uiPriority w:val="37"/>
    <w:unhideWhenUsed/>
    <w:rsid w:val="001F50AE"/>
    <w:pPr>
      <w:tabs>
        <w:tab w:val="left" w:pos="504"/>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4013</Words>
  <Characters>22073</Characters>
  <Application>Microsoft Office Word</Application>
  <DocSecurity>0</DocSecurity>
  <Lines>183</Lines>
  <Paragraphs>52</Paragraphs>
  <ScaleCrop>false</ScaleCrop>
  <Company/>
  <LinksUpToDate>false</LinksUpToDate>
  <CharactersWithSpaces>26034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AHOUKAR Mohamed Amine</dc:creator>
  <cp:keywords/>
  <dc:description/>
  <cp:lastModifiedBy>AHOUKAR Mohamed Amine</cp:lastModifiedBy>
  <cp:revision>10</cp:revision>
  <dcterms:created xsi:type="dcterms:W3CDTF">2025-11-26T16:45:00Z</dcterms:created>
  <dcterms:modified xsi:type="dcterms:W3CDTF">2025-11-27T16:51:00Z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id="XJgTUHJD"/&gt;&lt;style id="http://www.zotero.org/styles/sage-vancouver-brackets"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