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1A54F" w14:textId="77777777" w:rsidR="001F50AE" w:rsidRPr="001F50AE" w:rsidRDefault="001F50AE" w:rsidP="001F50AE">
      <w:pPr>
        <w:numPr>
          <w:ilvl w:val="0"/>
          <w:numId w:val="1"/>
        </w:numPr>
        <w:spacing w:line="240" w:lineRule="auto"/>
        <w:contextualSpacing/>
        <w:rPr>
          <w:rFonts w:asciiTheme="majorBidi" w:hAnsiTheme="majorBidi" w:cstheme="majorBidi"/>
          <w:b/>
          <w:bCs/>
          <w:sz w:val="28"/>
          <w:szCs w:val="28"/>
          <w:lang w:val="fr-FR"/>
        </w:rPr>
      </w:pPr>
      <w:r w:rsidRPr="001F50AE">
        <w:rPr>
          <w:rFonts w:asciiTheme="majorBidi" w:hAnsiTheme="majorBidi" w:cstheme="majorBidi"/>
          <w:b/>
          <w:bCs/>
          <w:sz w:val="28"/>
          <w:szCs w:val="28"/>
          <w:lang w:val="fr-FR"/>
        </w:rPr>
        <w:t xml:space="preserve">Contexte et problématique </w:t>
      </w:r>
    </w:p>
    <w:p w14:paraId="203FA48A" w14:textId="1BF04537"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lang w:val="fr-FR"/>
          <w14:ligatures w14:val="none"/>
        </w:rPr>
      </w:pPr>
      <w:r w:rsidRPr="001F50AE">
        <w:rPr>
          <w:rFonts w:asciiTheme="majorBidi" w:eastAsiaTheme="majorEastAsia" w:hAnsiTheme="majorBidi" w:cstheme="majorBidi"/>
          <w:kern w:val="0"/>
          <w:sz w:val="24"/>
          <w:szCs w:val="24"/>
          <w:lang w:val="fr-FR"/>
          <w14:ligatures w14:val="none"/>
        </w:rPr>
        <w:t>L'amputation est un événement qui change la vie avec un effet immédiat et évident sur les activités quotidiennes, la qualité de vie</w:t>
      </w:r>
      <w:r w:rsidRPr="001F50AE">
        <w:rPr>
          <w:rFonts w:asciiTheme="majorBidi" w:eastAsiaTheme="majorEastAsia" w:hAnsiTheme="majorBidi" w:cstheme="majorBidi"/>
          <w:b/>
          <w:bCs/>
          <w:kern w:val="0"/>
          <w:sz w:val="24"/>
          <w:szCs w:val="24"/>
          <w:lang w:val="fr-FR"/>
          <w14:ligatures w14:val="none"/>
        </w:rPr>
        <w:t xml:space="preserve"> </w:t>
      </w:r>
      <w:r w:rsidRPr="001F50AE">
        <w:rPr>
          <w:rFonts w:asciiTheme="majorBidi" w:eastAsiaTheme="majorEastAsia" w:hAnsiTheme="majorBidi" w:cstheme="majorBidi"/>
          <w:b/>
          <w:bCs/>
          <w:kern w:val="0"/>
          <w:sz w:val="24"/>
          <w:szCs w:val="24"/>
          <w:lang w:val="fr-FR"/>
          <w14:ligatures w14:val="none"/>
        </w:rPr>
        <w:fldChar w:fldCharType="begin"/>
      </w:r>
      <w:r>
        <w:rPr>
          <w:rFonts w:asciiTheme="majorBidi" w:eastAsiaTheme="majorEastAsia" w:hAnsiTheme="majorBidi" w:cstheme="majorBidi"/>
          <w:b/>
          <w:bCs/>
          <w:kern w:val="0"/>
          <w:sz w:val="24"/>
          <w:szCs w:val="24"/>
          <w:lang w:val="fr-FR"/>
          <w14:ligatures w14:val="none"/>
        </w:rPr>
        <w:instrText xml:space="preserve"> ADDIN ZOTERO_ITEM CSL_CITATION {"citationID":"IRMgcBdx","properties":{"formattedCitation":"[1]","plainCitation":"[1]","noteIndex":0},"citationItems":[{"id":"XJgTUHJD/WQYOoRqH","uris":["http://zotero.org/users/5505563/items/USEEYB7Z"],"itemData":{"id":392,"type":"article-journal","abstract":"BACKGROUND: Effects presented on the use of assistive devices such as prosthesis are often based on laboratory findings (i.e. efficacy).\nOBJECTIVES: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cost-effectiveness.\nSTUDY DESIGN: Systematic review.\nMETHODS: We included controlled studies and non-controlled follow-up studies including both baseline and follow-up data. Using 14 different databases supplemented with manual searches, we searched for studies published from 1998 until June 2009.\nRESULTS: Out of an initial 818 identified publications, eight met the inclusion criteria. Four studies reported on the effectiveness of a microprocessor-controlled knee (MP-knee) compared to a non-microprocessor-controlled knee (NMP-knee). Results were inconsistent except for quality of life and use/non-use, where the authors reported an improvement with the MP-knee compared to the NMP-knee. The remaining four studies included a diversity of prosthetic intervention measures and types of endpoints.\nCONCLUSIONS: Overall, there was an inconsistency in results and study quality. This review highlights the need for high-quality research studies that reflect the effectiveness of different prosthesis interventions in terms of users' daily living and QoL.\nCLINICAL RELEVANCE: 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importance.","container-title":"Prosthetics and Orthotics International","DOI":"10.1177/0309364611432794","ISSN":"1746-1553","issue":"2","journalAbbreviation":"Prosthet Orthot Int","language":"eng","note":"PMID: 22307861","page":"145-158","source":"PubMed","title":"Effects of lower limb prosthesis on activity, participation, and quality of life: a systematic review","title-short":"Effects of lower limb prosthesis on activity, participation, and quality of life","volume":"36","author":[{"family":"Samuelsson","given":"Kersti A. M."},{"family":"Töytäri","given":"Outi"},{"family":"Salminen","given":"Anna-Liisa"},{"family":"Brandt","given":"Ase"}],"issued":{"date-parts":[["2012",6]]}}}],"schema":"https://github.com/citation-style-language/schema/raw/master/csl-citation.json"} </w:instrText>
      </w:r>
      <w:r w:rsidRPr="001F50AE">
        <w:rPr>
          <w:rFonts w:asciiTheme="majorBidi" w:eastAsiaTheme="majorEastAsia" w:hAnsiTheme="majorBidi" w:cstheme="majorBidi"/>
          <w:b/>
          <w:bCs/>
          <w:kern w:val="0"/>
          <w:sz w:val="24"/>
          <w:szCs w:val="24"/>
          <w:lang w:val="fr-FR"/>
          <w14:ligatures w14:val="none"/>
        </w:rPr>
        <w:fldChar w:fldCharType="separate"/>
      </w:r>
      <w:r w:rsidRPr="001F50AE">
        <w:rPr>
          <w:rFonts w:ascii="Times New Roman" w:hAnsi="Times New Roman" w:cs="Times New Roman"/>
          <w:sz w:val="24"/>
        </w:rPr>
        <w:t>[1]</w:t>
      </w:r>
      <w:r w:rsidRPr="001F50AE">
        <w:rPr>
          <w:rFonts w:asciiTheme="majorBidi" w:eastAsiaTheme="majorEastAsia" w:hAnsiTheme="majorBidi" w:cstheme="majorBidi"/>
          <w:b/>
          <w:bCs/>
          <w:kern w:val="0"/>
          <w:sz w:val="24"/>
          <w:szCs w:val="24"/>
          <w:lang w:val="fr-FR"/>
          <w14:ligatures w14:val="none"/>
        </w:rPr>
        <w:fldChar w:fldCharType="end"/>
      </w:r>
      <w:r w:rsidRPr="001F50AE">
        <w:rPr>
          <w:rFonts w:asciiTheme="majorBidi" w:eastAsiaTheme="majorEastAsia" w:hAnsiTheme="majorBidi" w:cstheme="majorBidi"/>
          <w:b/>
          <w:bCs/>
          <w:kern w:val="0"/>
          <w:sz w:val="24"/>
          <w:szCs w:val="24"/>
          <w14:ligatures w14:val="none"/>
        </w:rPr>
        <w:t xml:space="preserve"> </w:t>
      </w:r>
      <w:r w:rsidRPr="001F50AE">
        <w:rPr>
          <w:rFonts w:asciiTheme="majorBidi" w:eastAsiaTheme="majorEastAsia" w:hAnsiTheme="majorBidi" w:cstheme="majorBidi"/>
          <w:kern w:val="0"/>
          <w:sz w:val="24"/>
          <w:szCs w:val="24"/>
          <w14:ligatures w14:val="none"/>
        </w:rPr>
        <w:t xml:space="preserve">et le bien </w:t>
      </w:r>
      <w:proofErr w:type="spellStart"/>
      <w:r w:rsidRPr="001F50AE">
        <w:rPr>
          <w:rFonts w:asciiTheme="majorBidi" w:eastAsiaTheme="majorEastAsia" w:hAnsiTheme="majorBidi" w:cstheme="majorBidi"/>
          <w:kern w:val="0"/>
          <w:sz w:val="24"/>
          <w:szCs w:val="24"/>
          <w14:ligatures w14:val="none"/>
        </w:rPr>
        <w:t>être</w:t>
      </w:r>
      <w:proofErr w:type="spellEnd"/>
      <w:r w:rsidRPr="001F50AE">
        <w:rPr>
          <w:rFonts w:asciiTheme="majorBidi" w:eastAsiaTheme="majorEastAsia" w:hAnsiTheme="majorBidi" w:cstheme="majorBidi"/>
          <w:kern w:val="0"/>
          <w:sz w:val="24"/>
          <w:szCs w:val="24"/>
          <w14:ligatures w14:val="none"/>
        </w:rPr>
        <w:t xml:space="preserve"> psychosocial </w:t>
      </w:r>
      <w:r w:rsidRPr="001F50AE">
        <w:rPr>
          <w:rFonts w:asciiTheme="majorBidi" w:eastAsiaTheme="majorEastAsia" w:hAnsiTheme="majorBidi" w:cstheme="majorBidi"/>
          <w:kern w:val="0"/>
          <w:sz w:val="24"/>
          <w:szCs w:val="24"/>
          <w:lang w:val="fr-FR"/>
          <w14:ligatures w14:val="none"/>
        </w:rPr>
        <w:fldChar w:fldCharType="begin"/>
      </w:r>
      <w:r>
        <w:rPr>
          <w:rFonts w:asciiTheme="majorBidi" w:eastAsiaTheme="majorEastAsia" w:hAnsiTheme="majorBidi" w:cstheme="majorBidi"/>
          <w:kern w:val="0"/>
          <w:sz w:val="24"/>
          <w:szCs w:val="24"/>
          <w14:ligatures w14:val="none"/>
        </w:rPr>
        <w:instrText xml:space="preserve"> ADDIN ZOTERO_ITEM CSL_CITATION {"citationID":"t6YeOroq","properties":{"formattedCitation":"[2]","plainCitation":"[2]","noteIndex":0},"citationItems":[{"id":"XJgTUHJD/4Yhb2P6a","uris":["http://zotero.org/users/5505563/items/VX94C9U6"],"itemData":{"id":400,"type":"article-journal","abstract":"OBJECTIVE: To examine the long-term outcomes of persons undergoing trauma-related amputations, and to explore factors affecting their physical, social, and mental health and the role of inpatient rehabilitation in improving such outcomes.\nDESIGN: Abstracted medical records and interview data sought for a retrospective cohort of persons who had undergone a lower-limb trauma-related amputation.\nPARTICIPANTS: Patients identified with a principal or secondary diagnosis of a trauma-related amputation to the lower extremity at the University of Maryland Shock Trauma Center between 1984 and 1994. Patients with spinal cord injury or traumatic brain injury were excluded.\nRESULTS: Of 146 patients who had trauma-related amputations to the lower limb at the University of Maryland Shock Trauma Center during the study period, nearly 9% died during the acute admission and 3.5% died after discharge. About 87% of all trauma-related amputations involved males, and roughly three quarters involved white persons. About 80% of all amputations occurred before age 40. The health profile of traumatic amputee subjects interviewed in the study (n = 78, 68% response rate) was systematically lower th</w:instrText>
      </w:r>
      <w:r w:rsidRPr="001F50AE">
        <w:rPr>
          <w:rFonts w:asciiTheme="majorBidi" w:eastAsiaTheme="majorEastAsia" w:hAnsiTheme="majorBidi" w:cstheme="majorBidi"/>
          <w:kern w:val="0"/>
          <w:sz w:val="24"/>
          <w:szCs w:val="24"/>
          <w:lang w:val="fr-FR"/>
          <w14:ligatures w14:val="none"/>
        </w:rPr>
        <w:instrText xml:space="preserve">an that of the general US population for all SF-36 scores. The differences in profiles were largest among SF-36 scales sensitive to differences in physical health status, particularly physical functioning, role limitations due to physical health, and bodily pain. About one fourth of persons with a trauma-related amputation reported ongoing severe problems with the residual limb, including phantom pain, wounds, and sores. The number of inpatient rehabilitation nights significantly improved the ability of patients with amputation to function in their physical roles, increased vitality, and reduced bodily pain. Inpatient rehabilitation was also significantly correlated with improved vocational outcomes.\nCONCLUSIONS: These findings suggest a substantial effect of inpatient rehabilitation in improving long-term outcomes of persons with trauma-related amputations.","container-title":"Archives of Physical Medicine and Rehabilitation","DOI":"10.1016/s0003-9993(00)90074-1","ISSN":"0003-9993","issue":"3","journalAbbreviation":"Arch Phys Med Rehabil","language":"eng","note":"PMID: 10724073","page":"292-300","source":"PubMed","title":"Rehabilitation and the long-term outcomes of persons with trauma-related amputations","volume":"81","author":[{"family":"Pezzin","given":"L. E."},{"family":"Dillingham","given":"T. R."},{"family":"MacKenzie","given":"E. J."}],"issued":{"date-parts":[["2000",3]]}}}],"schema":"https://github.com/citation-style-language/schema/raw/master/csl-citation.json"} </w:instrText>
      </w:r>
      <w:r w:rsidRPr="001F50AE">
        <w:rPr>
          <w:rFonts w:asciiTheme="majorBidi" w:eastAsiaTheme="majorEastAsia" w:hAnsiTheme="majorBidi" w:cstheme="majorBidi"/>
          <w:kern w:val="0"/>
          <w:sz w:val="24"/>
          <w:szCs w:val="24"/>
          <w:lang w:val="fr-FR"/>
          <w14:ligatures w14:val="none"/>
        </w:rPr>
        <w:fldChar w:fldCharType="separate"/>
      </w:r>
      <w:r w:rsidRPr="001F50AE">
        <w:rPr>
          <w:rFonts w:ascii="Times New Roman" w:hAnsi="Times New Roman" w:cs="Times New Roman"/>
          <w:sz w:val="24"/>
          <w:lang w:val="fr-FR"/>
        </w:rPr>
        <w:t>[2]</w:t>
      </w:r>
      <w:r w:rsidRPr="001F50AE">
        <w:rPr>
          <w:rFonts w:asciiTheme="majorBidi" w:eastAsiaTheme="majorEastAsia" w:hAnsiTheme="majorBidi" w:cstheme="majorBidi"/>
          <w:kern w:val="0"/>
          <w:sz w:val="24"/>
          <w:szCs w:val="24"/>
          <w:lang w:val="fr-FR"/>
          <w14:ligatures w14:val="none"/>
        </w:rPr>
        <w:fldChar w:fldCharType="end"/>
      </w:r>
      <w:r w:rsidRPr="001F50AE">
        <w:rPr>
          <w:rFonts w:asciiTheme="majorBidi" w:eastAsiaTheme="majorEastAsia" w:hAnsiTheme="majorBidi" w:cstheme="majorBidi"/>
          <w:kern w:val="0"/>
          <w:sz w:val="24"/>
          <w:szCs w:val="24"/>
          <w:lang w:val="fr-FR"/>
          <w14:ligatures w14:val="none"/>
        </w:rPr>
        <w:t xml:space="preserve">. Elle est une préoccupation de santé publique dont on estime à 0,7 % la prévalence mondiale, </w:t>
      </w:r>
      <w:r w:rsidRPr="001F50AE">
        <w:rPr>
          <w:rFonts w:asciiTheme="majorBidi" w:eastAsiaTheme="majorEastAsia" w:hAnsiTheme="majorBidi" w:cstheme="majorBidi"/>
          <w:kern w:val="0"/>
          <w:sz w:val="24"/>
          <w:szCs w:val="24"/>
          <w:shd w:val="clear" w:color="auto" w:fill="FFFFFF"/>
          <w:lang w:val="fr-FR"/>
          <w14:ligatures w14:val="none"/>
        </w:rPr>
        <w:t xml:space="preserve">Les incidences d'amputation dans divers pays varient de 1,2 à 4,4 pour 10 000 personnes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{"citationID":"yC2s2SOg","properties":{"formattedCitation":"[3]","plainCitation":"[3]","noteIndex":0},"citationItems":[{"id":"XJgTUHJD/RPE8gv4i","uris":["http://zotero.org/users/5505563/items/DCQ87N8R"],"itemData":{"id":422,"type":"article-journal","abstract":"This study was established to enable a comparison of lower extremity amputation incidence rates between different centres around the world.Ten centres, all with populations greater than 200 000, in Japan, Taiwan, Spain, Italy, North America and England collected data on all amputations done between July 1995 and June 1997. Patients were identified from at least two data sources (to allow checks on ascertainment); denominator populations were based on census figures.The highest amputation rates were in the Navajo population (43·9 per 100 000 population per year for first major amputation in men) and the lowest in Madrid, Spain (2·8 per 100 000 per year). The incidence of amputation rose steeply with age; most amputations occurred in patients over 60 years. In most centres the incidence was higher in men than women and the incidence of major amputations was greater than that of minor amputations. Diabetes was associated with between 25 and 90 per cent of amputations.Apart from the Navajo centre, differences in the known prevalence of diabetes could not account for the differences in overall incidence of amputation. Differences in the prevalence of peripheral vascular disease are likely to be important, but this and the role of other factors, including availability of health care, are worthy of further investigation.","container-title":"British Journal of Surgery","DOI":"10.1046/j.1365-2168.2000.01344.x","ISSN":"0007-1323","issue":"3","journalAbbreviation":"British Journal of Surgery","page":"328-337","source":"Silverchair","title":"Epidemiology of lower extremity amputation in centres in Europe, North America and East Asia","volume":"87","author":[{"literal":"The Global Lower Extremity Amputation Study Group"}],"issued":{"date-parts":[["2000",3,1]]}}}],"schema":"https://github.com/citation-style-language/schema/raw/master/csl-citation.json"}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[3]</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En </w:t>
      </w:r>
      <w:r w:rsidRPr="004C5736">
        <w:rPr>
          <w:rFonts w:asciiTheme="majorBidi" w:eastAsiaTheme="majorEastAsia" w:hAnsiTheme="majorBidi" w:cstheme="majorBidi"/>
          <w:color w:val="FF0000"/>
          <w:kern w:val="0"/>
          <w:sz w:val="24"/>
          <w:szCs w:val="24"/>
          <w:shd w:val="clear" w:color="auto" w:fill="FFFFFF"/>
          <w:lang w:val="fr-FR"/>
          <w14:ligatures w14:val="none"/>
        </w:rPr>
        <w:t>20</w:t>
      </w:r>
      <w:r w:rsidR="004C5736" w:rsidRPr="004C5736">
        <w:rPr>
          <w:rFonts w:asciiTheme="majorBidi" w:eastAsiaTheme="majorEastAsia" w:hAnsiTheme="majorBidi" w:cstheme="majorBidi"/>
          <w:color w:val="FF0000"/>
          <w:kern w:val="0"/>
          <w:sz w:val="24"/>
          <w:szCs w:val="24"/>
          <w:shd w:val="clear" w:color="auto" w:fill="FFFFFF"/>
          <w:lang w:val="fr-FR"/>
          <w14:ligatures w14:val="none"/>
        </w:rPr>
        <w:t>10</w:t>
      </w:r>
      <w:r w:rsidRPr="001F50AE">
        <w:rPr>
          <w:rFonts w:asciiTheme="majorBidi" w:eastAsiaTheme="majorEastAsia" w:hAnsiTheme="majorBidi" w:cstheme="majorBidi"/>
          <w:kern w:val="0"/>
          <w:sz w:val="24"/>
          <w:szCs w:val="24"/>
          <w:shd w:val="clear" w:color="auto" w:fill="FFFFFF"/>
          <w:lang w:val="fr-FR"/>
          <w14:ligatures w14:val="none"/>
        </w:rPr>
        <w:t xml:space="preserve">, 1,6 million de personnes vivaient avec la perte d'un membre et on prévoit que ce nombre fera plus que doubler d'ici 2050 pour atteindre 3,6 millions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{"citationID":"JucQF7BN","properties":{"formattedCitation":"[4]","plainCitation":"[4]","noteIndex":0},"citationItems":[{"id":"XJgTUHJD/Pf9XeYx6","uris":["http://zotero.org/users/5505563/items/NDBUXQVW"],"itemData":{"id":427,"type":"article-journal","abstract":"OBJECTIVE: To estimate the current prevalence of limb loss in the United States and project the future prevalence to the year 2050.\nDESIGN: Estimates were constructed using age-, sex-, and race-specific incidence rates for amputation combined with age-, sex-, and race-specific assumptions about mortality. Incidence rates were derived from the 1988 to 1999 Nationwide Inpatient Sample of the Healthcare Cost and Utilization Project, corrected for the likelihood of reamputation among those undergoing amputation for vascular disease. Incidence rates were assumed to remain constant over time and applied to historic mortality and population data along with the best available estimates of relative risk, future mortality, and future population projections. To investigate the sensitivity of our projections to increasing or decreasing incidence, we developed alternative sets of estimates of limb loss related to dysvascular conditions based on assumptions of a 10% or 25% increase or decrease in incidence of amputations for these conditions.\nSETTING: Community, nonfederal, short-term hospitals in the United States.\nPARTICIPANTS: Persons who were discharged from a hospital with a procedure code for upper-limb or lower-limb amputation or diagnosis code of traumatic amputation.\nINTERVENTIONS: Not applicable.\nMAIN OUTCOME MEASURES: Prevalence of limb loss by age, sex, race, etiology, and level in 2005 and projections to the year 2050.\nRESULTS: In the year 2005, 1.6 million persons were living with the loss of a limb. Of these subjects, 42% were nonwhite and 38% had an amputation secondary to dysvascular disease with a comorbid diagnosis of diabetes mellitus. It is projected that the number of people living with the loss of a limb will more than double by the year 2050 to 3.6 million. If incidence rates secondary to dysvascular disease can be reduced by 10%, this number would be lowered by 225,000.\nCONCLUSIONS: One in 190 Americans is currently living with the loss of a limb. Unchecked, this number may double by the year 2050.","container-title":"Archives of Physical Medicine and Rehabilitation","DOI":"10.1016/j.apmr.2007.11.005","ISSN":"1532-821X","issue":"3","journalAbbreviation":"Arch Phys Med Rehabil","language":"eng","note":"PMID: 18295618","page":"422-429","source":"PubMed","title":"Estimating the prevalence of limb loss in the United States: 2005 to 2050","title-short":"Estimating the prevalence of limb loss in the United States","volume":"89","author":[{"family":"Ziegler-Graham","given":"Kathryn"},{"family":"MacKenzie","given":"Ellen J."},{"family":"Ephraim","given":"Patti L."},{"family":"Travison","given":"Thomas G."},{"family":"Brookmeyer","given":"Ron"}],"issued":{"date-parts":[["2008",3]]}}}],"schema":"https://github.com/citation-style-language/schema/raw/master/csl-citation.json"}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[4]</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w:t>
      </w:r>
    </w:p>
    <w:p w14:paraId="4497F7A2" w14:textId="73A4C03F"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shd w:val="clear" w:color="auto" w:fill="FFFFFF"/>
          <w:lang w:val="fr-FR"/>
          <w14:ligatures w14:val="none"/>
        </w:rPr>
      </w:pPr>
      <w:r w:rsidRPr="001F50AE">
        <w:rPr>
          <w:rFonts w:asciiTheme="majorBidi" w:eastAsiaTheme="majorEastAsia" w:hAnsiTheme="majorBidi" w:cstheme="majorBidi"/>
          <w:kern w:val="0"/>
          <w:sz w:val="24"/>
          <w:szCs w:val="24"/>
          <w:lang w:val="fr-FR"/>
          <w14:ligatures w14:val="none"/>
        </w:rPr>
        <w:t>L</w:t>
      </w:r>
      <w:r w:rsidRPr="001F50AE">
        <w:rPr>
          <w:rFonts w:asciiTheme="majorBidi" w:eastAsiaTheme="majorEastAsia" w:hAnsiTheme="majorBidi" w:cstheme="majorBidi"/>
          <w:kern w:val="0"/>
          <w:sz w:val="24"/>
          <w:szCs w:val="24"/>
          <w:shd w:val="clear" w:color="auto" w:fill="FFFFFF"/>
          <w:lang w:val="fr-FR"/>
          <w14:ligatures w14:val="none"/>
        </w:rPr>
        <w:t xml:space="preserve">es personnes amputées sont plus susceptibles de développer de multiples complications de santé à long terme, telles que l'obésité, les maladies cardiovasculaires, l'arthrose, les douleurs des membres résiduels et les lombalgies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{"citationID":"sJ7AYNCA","properties":{"formattedCitation":"[5]","plainCitation":"[5]","noteIndex":0},"citationItems":[{"id":"XJgTUHJD/7A8h7wgq","uris":["http://zotero.org/users/5505563/items/CYU99K2I"],"itemData":{"id":431,"type":"article-journal","abstract":"OBJECTIVE: To review the influence of physical capacity on regaining walking ability and the development of walking ability after lower limb amputation.\nDESIGN: A systematic search of literature was performed. The quality of all relevant studies was evaluated according to a checklist for statistical review of general papers.\nSUBJECTS: Lower limb amputees.\nMAIN MEASURES: Physical capacity (expressed by aerobic capacity, anaerobic capacity, muscle force, flexibility and balance) and walking ability (expressed by the walking velocity and symmetry).\nRESULTS: A total of 48 studies that complied with the inclusion criteria were selected. From these studies there is strong evidence for deterioration of two aspects of physical capacity (muscle strength and balance) and of two aspects of walking ability (walking velocity and symmetry) after lower limb amputation. Strong evidence was found for a relation between balance and walking ability.\nCONCLUSION: Strong evidence was only found for a relation between balance and walking ability. Evidence about a relation between other elements of physical capacity and walking ability was insufficient. Training of physical capacity as well as walking ability during rehabilitation following lower limb amputation should not be discouraged since several parameters have been shown to be reduced after amputation, although their relation to regaining walking ability and to the development of walking ability remains unclear.","container-title":"Clinical Rehabilitation","DOI":"10.1177/0269215506070700","ISSN":"0269-2155","issue":"11","journalAbbreviation":"Clin Rehabil","language":"eng","note":"PMID: 17065543","page":"999-1016","source":"PubMed","title":"Physical capacity and walking ability after lower limb amputation: a systematic review","title-short":"Physical capacity and walking ability after lower limb amputation","volume":"20","author":[{"family":"Velzen","given":"J. M.","non-dropping-particle":"van"},{"family":"Bennekom","given":"C. a. M.","non-dropping-particle":"van"},{"family":"Polomski","given":"W."},{"family":"Slootman","given":"J. R."},{"family":"Woude","given":"L. H. V.","non-dropping-particle":"van der"},{"family":"Houdijk","given":"H."}],"issued":{"date-parts":[["2006",11]]}}}],"schema":"https://github.com/citation-style-language/schema/raw/master/csl-citation.json"}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[5]</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w:t>
      </w:r>
    </w:p>
    <w:p w14:paraId="1503CFDB" w14:textId="77777777" w:rsidR="001F50AE" w:rsidRPr="001F50AE" w:rsidRDefault="001F50AE" w:rsidP="001F50AE">
      <w:pPr>
        <w:jc w:val="both"/>
        <w:rPr>
          <w:lang w:val="fr-FR"/>
        </w:rPr>
      </w:pPr>
    </w:p>
    <w:p w14:paraId="4E49BB68" w14:textId="55CAC10E"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bidi="ar-MA"/>
        </w:rPr>
        <w:t xml:space="preserve">Une amputation du membre inférieur est pratiquée la plupart du temps suite à une insuffisance artérielle (92% des cas) ou un traumatisme (7%), </w:t>
      </w:r>
      <w:r w:rsidRPr="001F50AE">
        <w:rPr>
          <w:rFonts w:asciiTheme="majorBidi" w:hAnsiTheme="majorBidi" w:cstheme="majorBidi"/>
          <w:sz w:val="24"/>
          <w:szCs w:val="24"/>
          <w:lang w:val="fr-FR"/>
        </w:rPr>
        <w:t xml:space="preserve">le diabète sucré est la cause la plus fréquente d’amputation des membre inférieurs dans le monde </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{"citationID":"n9WWhtJ0","properties":{"formattedCitation":"[6]","plainCitation":"[6]","noteIndex":0},"citationItems":[{"id":"XJgTUHJD/mt6OoycR","uris":["http://zotero.org/users/5505563/items/GRYEA5X4"],"itemData":{"id":379,"type":"article-journal","abstract":"Life does not end after a major lower extremity amputation. With advances in surgical technique and in sophistication and capabilities of prosthetics, patients should be reasonably expected to return to most of their pre-amputation physical capabilities. This article highlights management and operative principles that will optimize patients' physical function and quality of life following a major lower extremity amputation.","container-title":"Orthoplastic Surgery","DOI":"10.1016/j.orthop.2023.05.001","ISSN":"2666769X","journalAbbreviation":"Orthoplastic Surgery","language":"en","page":"1-14","source":"DOI.org (Crossref)","title":"Evolution of amputee care","volume":"12","author":[{"family":"Chang","given":"Brian L."},{"family":"Kleiber","given":"Grant M."}],"issued":{"date-parts":[["2023",6]]}}}],"schema":"https://github.com/citation-style-language/schema/raw/master/csl-citation.json"}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[6]</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 xml:space="preserve">. </w:t>
      </w:r>
    </w:p>
    <w:p w14:paraId="7DA75D1E" w14:textId="37B580FB"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rPr>
        <w:t>Le nombre de personnes atteintes de diabète dans le monde est passé de 108 millions en 1980 à 422 millions en 2014. Le risque d’amputation d’un membre chez les patients diabétiques est 15 à 20 fois plus élevé que chez les personnes non diabétiques</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{"citationID":"3eIfABmQ","properties":{"formattedCitation":"[7]","plainCitation":"[7]","noteIndex":0},"citationItems":[{"id":"XJgTUHJD/s5QQV87u","uris":["http://zotero.org/users/5505563/items/SZ8NNL54"],"itemData":{"id":637,"type":"article","abstract":"Introduction. Diabetes mellitus is one of the most common chronic diseases with a high number of sufferers worldwide. Diabetic neuropathy and diabetic angiopathy lead to serious infectious complications which are very difficult to combat and may finally lead to the amputation of a lower limb. The aim of the study was to evaluate the quality of life, the level of acceptance of the illness and the nutritional status of patients after lower limb amputation due to diabetes.\nMethods. Ninety nine patients (23 men and 76 women) were enrolled into the study. They had all undergone lower limb amputation due to diabetic foot in the Department of General and Oncological Surgery. The following questionnaires were used: the WHO Quality of Life-BREF, the Mini Nutritional Assessment, the Acceptance of Illness Scale and the socio-demographic questionnaire. Results. The diabetes-related amputees had a higher QoL within the social domain (64.48), an intermediate QoL –within the environmental domain (63.04) and the mental domain (59.61), and a lower QoL – within physical (somatic) domain (54.69). There was no statistical correlation between genders or between all the domains of QoL (p&gt;0.05). The patients were at risk of malnutrition (MNA was 22.66). There were statistical differences between women and men as regards nutritional status (p=0.034). The mean AIS score was 27.65, which means that the respondents accept their disease. There was no statistical correlation between gender and the acceptance of the disease (p=0.288). There was not statistical correlation between age and QoL (p&gt;0.05). There were statistical differences between age and nutritional status (p&lt;0.05), and between age and acceptance of the illness (p=0.044).\nConclusions. The better the quality of life was in all the domains, the better the level of acceptance of illness was. The less malnourished the patient was, the better their quality of life was in all the domains.","DOI":"10.21203/rs.3.rs-24304/v1","language":"en","license":"https://creativecommons.org/licenses/by/4.0/","source":"In Review","title":"Acceptance of illness, quality of life and nutritional status of patients after lower limb amputation due to diabetes mellitus","URL":"https://www.researchsquare.com/article/rs-24304/v1","author":[{"family":"Szymanska-Chabowska","given":"Anna"},{"family":"Łabuń","given":"Adrianna"},{"family":"Tański","given":"Wojciech"},{"family":"Zielińska","given":"Dorota"},{"family":"Juzwiszyn","given":"Jan"},{"family":"Chabowski","given":"Mariusz"}],"accessed":{"date-parts":[["2024",9,11]]},"issued":{"date-parts":[["2020",4,27]]}}}],"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[7]</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w:t>
      </w:r>
    </w:p>
    <w:p w14:paraId="18AC4E06" w14:textId="43BF4E6A" w:rsidR="001F50AE" w:rsidRPr="001F50AE" w:rsidRDefault="001F50AE" w:rsidP="001F50AE">
      <w:pPr>
        <w:jc w:val="both"/>
        <w:rPr>
          <w:rFonts w:asciiTheme="majorBidi" w:hAnsiTheme="majorBidi" w:cstheme="majorBidi"/>
          <w:sz w:val="24"/>
          <w:szCs w:val="24"/>
          <w:lang w:val="fr-FR" w:bidi="ar-MA"/>
        </w:rPr>
      </w:pPr>
      <w:r w:rsidRPr="001F50AE">
        <w:rPr>
          <w:rFonts w:asciiTheme="majorBidi" w:hAnsiTheme="majorBidi" w:cstheme="majorBidi"/>
          <w:sz w:val="24"/>
          <w:szCs w:val="24"/>
          <w:lang w:val="fr-FR" w:bidi="ar-MA"/>
        </w:rPr>
        <w:t xml:space="preserve">Les patients diabétiques présentent un risque accru de revascularisation et d'amputation des membres inférieurs en raison d'un risque plus élevé de maladie artérielle périphérique </w:t>
      </w:r>
      <w:r w:rsidRPr="001F50AE">
        <w:rPr>
          <w:rFonts w:asciiTheme="majorBidi" w:hAnsiTheme="majorBidi" w:cstheme="majorBidi"/>
          <w:color w:val="000000"/>
          <w:kern w:val="0"/>
          <w:sz w:val="24"/>
          <w:szCs w:val="24"/>
          <w:lang w:val="fr-FR"/>
        </w:rPr>
        <w:t xml:space="preserve">(MAP) </w:t>
      </w:r>
      <w:r w:rsidRPr="001F50AE">
        <w:rPr>
          <w:rFonts w:asciiTheme="majorBidi" w:hAnsiTheme="majorBidi" w:cstheme="majorBidi"/>
          <w:sz w:val="24"/>
          <w:szCs w:val="24"/>
          <w:lang w:val="fr-FR" w:bidi="ar-MA"/>
        </w:rPr>
        <w:t xml:space="preserve">et de neuropathie périphérique </w:t>
      </w:r>
      <w:r w:rsidRPr="001F50AE">
        <w:rPr>
          <w:rFonts w:asciiTheme="majorBidi" w:hAnsiTheme="majorBidi" w:cstheme="majorBidi"/>
          <w:sz w:val="24"/>
          <w:szCs w:val="24"/>
          <w:lang w:val="fr-FR" w:bidi="ar-MA"/>
        </w:rPr>
        <w:fldChar w:fldCharType="begin"/>
      </w:r>
      <w:r>
        <w:rPr>
          <w:rFonts w:asciiTheme="majorBidi" w:hAnsiTheme="majorBidi" w:cstheme="majorBidi"/>
          <w:sz w:val="24"/>
          <w:szCs w:val="24"/>
          <w:lang w:val="fr-FR" w:bidi="ar-MA"/>
        </w:rPr>
        <w:instrText xml:space="preserve"> ADDIN ZOTERO_ITEM CSL_CITATION {"citationID":"DSZ5Z7MD","properties":{"formattedCitation":"[8]","plainCitation":"[8]","noteIndex":0},"citationItems":[{"id":"XJgTUHJD/aDu3XPy3","uris":["http://zotero.org/users/5505563/items/TQULG4UI"],"itemData":{"id":404,"type":"article-journal","abstract":"INTRODUCTION: Patients with diabetes have increased risk of lower limb revascularization and amputation due to higher risk of peripheral artery disease (PAD) and peripheral neuropathy. The additive effect of coronary artery disease (CAD) is less clear. We examined the risk of PAD, lower limb revascularization, and amputation in diabetes and non-diabetes patients with and without CAD in patients examined by coronary angiography (CAG).\nRESEARCH DESIGN AND METHODS: We included all patients undergoing CAG between 2003 and 2016 in Western Denmark. Patients with previous CAD, PAD, lower limb revascularization, or amputation were excluded. Patients were stratified by diabetes and CAD status and followed for a maximum of 10 years. Outcomes were PAD, lower limb revascularization, and amputation. We estimated 10-year cumulative incidences and adjusted HRs (aHRs) using patients neither diabetes nor CAD as reference.\nRESULTS: A total of 118 787 patients were included, of whom 41 878 (35%) had neither diabetes nor CAD, 5735 (5%) had diabetes alone, 59 427 (50%) had CAD alone, and 11 747 (10%) had both diabetes and CAD. Median follow-up was 6.9 years. Diabetes patients without CAD had higher risk of PAD (3.5%, aHR 1.73, 95% CI 1.51 to 1.97), lower limb revascularization (1.6%, aHR 1.55, 95% CI 1.16 to 2.05), and lower limb amputation (2.4%, aHR 5.51, 95% CI 4.09 to 7.43) compared with patients with neither diabetes nor CAD. CAD was associated with 2.5-fold and 1.8-fold higher risk of PAD and amputation, respectively, among patients without diabetes, and associated with 3.9-fold and 9.5-fold higher risk of PAD and lower limb amputation among patients with diabetes.\nCONCLUSIONS: Despite absence of obstructive CAD, patients with diabetes remained at higher risk of PAD, lower limb revascularization, and lower limb amputation. Diabetes was more strongly associated with amputation than CAD, but CAD exacerbated the risks of PAD, revascularization, and amputation in patients with diabetes.","container-title":"BMJ open diabetes research &amp; care","DOI":"10.1136/bmjdrc-2020-001803","ISSN":"2052-4897","issue":"1","journalAbbreviation":"BMJ Open Diabetes Res Care","language":"eng","note":"PMID: 33414173\nPMCID: PMC7797253","page":"e001803","source":"PubMed","title":"Peripheral artery disease, lower limb revascularization, and amputation in diabetes patients with and without coronary artery disease: a cohort study from the Western Denmark Heart Registry","title-short":"Peripheral artery disease, lower limb revascularization, and amputation in diabetes patients with and without coronary artery disease","volume":"9","author":[{"family":"Olesen","given":"Kevin Kris Warnakula"},{"family":"Gyldenkerne","given":"Christine"},{"family":"Thim","given":"Troels"},{"family":"Thomsen","given":"Reimar Wernich"},{"family":"Maeng","given":"Michael"}],"issued":{"date-parts":[["2021",1]]}}}],"schema":"https://github.com/citation-style-language/schema/raw/master/csl-citation.json"} </w:instrText>
      </w:r>
      <w:r w:rsidRPr="001F50AE">
        <w:rPr>
          <w:rFonts w:asciiTheme="majorBidi" w:hAnsiTheme="majorBidi" w:cstheme="majorBidi"/>
          <w:sz w:val="24"/>
          <w:szCs w:val="24"/>
          <w:lang w:val="fr-FR" w:bidi="ar-MA"/>
        </w:rPr>
        <w:fldChar w:fldCharType="separate"/>
      </w:r>
      <w:r w:rsidRPr="001F50AE">
        <w:rPr>
          <w:rFonts w:ascii="Times New Roman" w:hAnsi="Times New Roman" w:cs="Times New Roman"/>
          <w:sz w:val="24"/>
          <w:lang w:val="fr-FR"/>
        </w:rPr>
        <w:t>[8]</w:t>
      </w:r>
      <w:r w:rsidRPr="001F50AE">
        <w:rPr>
          <w:rFonts w:asciiTheme="majorBidi" w:hAnsiTheme="majorBidi" w:cstheme="majorBidi"/>
          <w:sz w:val="24"/>
          <w:szCs w:val="24"/>
          <w:lang w:val="fr-FR" w:bidi="ar-MA"/>
        </w:rPr>
        <w:fldChar w:fldCharType="end"/>
      </w:r>
      <w:r w:rsidRPr="001F50AE">
        <w:rPr>
          <w:rFonts w:asciiTheme="majorBidi" w:hAnsiTheme="majorBidi" w:cstheme="majorBidi"/>
          <w:sz w:val="24"/>
          <w:szCs w:val="24"/>
          <w:lang w:val="fr-FR" w:bidi="ar-MA"/>
        </w:rPr>
        <w:t>.</w:t>
      </w:r>
    </w:p>
    <w:p w14:paraId="4D07D3C9" w14:textId="3765E16F" w:rsidR="00A94E34" w:rsidRPr="00A94E34" w:rsidRDefault="00A94E34" w:rsidP="00A94E34">
      <w:pPr>
        <w:autoSpaceDE w:val="0"/>
        <w:autoSpaceDN w:val="0"/>
        <w:adjustRightInd w:val="0"/>
        <w:spacing w:after="0" w:line="240" w:lineRule="auto"/>
        <w:jc w:val="both"/>
        <w:rPr>
          <w:rFonts w:asciiTheme="majorBidi" w:hAnsiTheme="majorBidi" w:cstheme="majorBidi"/>
          <w:color w:val="000000"/>
          <w:kern w:val="0"/>
          <w:sz w:val="24"/>
          <w:szCs w:val="24"/>
          <w:lang w:val="fr-FR"/>
        </w:rPr>
      </w:pPr>
      <w:r w:rsidRPr="00A94E34">
        <w:rPr>
          <w:rFonts w:asciiTheme="majorBidi" w:hAnsiTheme="majorBidi" w:cstheme="majorBidi"/>
          <w:color w:val="000000"/>
          <w:kern w:val="0"/>
          <w:sz w:val="24"/>
          <w:szCs w:val="24"/>
          <w:lang w:val="fr-FR"/>
        </w:rPr>
        <w:t xml:space="preserve">L'amputation est une complication dévastatrice mais évitable du diabète et de la MAP. Les coûts financiers, physiques et sociétaux de l’amputation sont élevés, avec des coûts financiers estimés à 8,7 milliards de dollars pour la seule année 2013. L’amputation est également un marqueur de maladie cardiovasculaire terminale grave, les patients diabétiques subissant une amputation liée à une MAP ont une mortalité de 50 à 74 % sur 5 ans, principalement due aux complications cardiaques et </w:t>
      </w:r>
      <w:proofErr w:type="spellStart"/>
      <w:r w:rsidRPr="00A94E34">
        <w:rPr>
          <w:rFonts w:asciiTheme="majorBidi" w:hAnsiTheme="majorBidi" w:cstheme="majorBidi"/>
          <w:color w:val="000000"/>
          <w:kern w:val="0"/>
          <w:sz w:val="24"/>
          <w:szCs w:val="24"/>
          <w:lang w:val="fr-FR"/>
        </w:rPr>
        <w:t>cérébrovasculaires</w:t>
      </w:r>
      <w:proofErr w:type="spellEnd"/>
      <w:r w:rsidRPr="00A94E34">
        <w:rPr>
          <w:rFonts w:asciiTheme="majorBidi" w:hAnsiTheme="majorBidi" w:cstheme="majorBidi"/>
          <w:color w:val="000000"/>
          <w:kern w:val="0"/>
          <w:sz w:val="24"/>
          <w:szCs w:val="24"/>
          <w:lang w:val="fr-FR"/>
        </w:rPr>
        <w:t xml:space="preserve"> associée </w:t>
      </w:r>
      <w:r>
        <w:rPr>
          <w:rFonts w:asciiTheme="majorBidi" w:hAnsiTheme="majorBidi" w:cstheme="majorBidi"/>
          <w:color w:val="000000"/>
          <w:kern w:val="0"/>
          <w:sz w:val="24"/>
          <w:szCs w:val="24"/>
        </w:rPr>
        <w:fldChar w:fldCharType="begin"/>
      </w:r>
      <w:r>
        <w:rPr>
          <w:rFonts w:asciiTheme="majorBidi" w:hAnsiTheme="majorBidi" w:cstheme="majorBidi"/>
          <w:color w:val="000000"/>
          <w:kern w:val="0"/>
          <w:sz w:val="24"/>
          <w:szCs w:val="24"/>
          <w:lang w:val="fr-FR"/>
        </w:rPr>
        <w:instrText xml:space="preserve"> ADDIN ZOTERO_ITEM CSL_CITATION {"citationID":"KKuwCBCE","properties":{"formattedCitation":"[9]","plainCitation":"[9]","noteIndex":0},"citationItems":[{"id":"XJgTUHJD/i28B3G9S","uris":["http://zotero.org/users/5505563/items/RJ265982"],"itemData":{"id":518,"type":"webpage","abstract":"The Amputee Coalition is dedicated to enhancing the quality of life for amputees and their families, improving patient care and preventing limb loss.","container-title":"Amputee Coalition","language":"en-US","title":"Amputee Coalition - Learn about amputation &amp; prosthetic care &amp; request support for people living with limb loss, their families, caregivers and clinicians who care for amputees.","URL":"https://www.amputee-coalition.org/","accessed":{"date-parts":[["2024",7,23]]}}}],"schema":"https://github.com/citation-style-language/schema/raw/master/csl-citation.json"} </w:instrText>
      </w:r>
      <w:r>
        <w:rPr>
          <w:rFonts w:asciiTheme="majorBidi" w:hAnsiTheme="majorBidi" w:cstheme="majorBidi"/>
          <w:color w:val="000000"/>
          <w:kern w:val="0"/>
          <w:sz w:val="24"/>
          <w:szCs w:val="24"/>
        </w:rPr>
        <w:fldChar w:fldCharType="separate"/>
      </w:r>
      <w:r w:rsidRPr="00A94E34">
        <w:rPr>
          <w:rFonts w:ascii="Times New Roman" w:hAnsi="Times New Roman" w:cs="Times New Roman"/>
          <w:sz w:val="24"/>
          <w:lang w:val="fr-FR"/>
        </w:rPr>
        <w:t>[9]</w:t>
      </w:r>
      <w:r>
        <w:rPr>
          <w:rFonts w:asciiTheme="majorBidi" w:hAnsiTheme="majorBidi" w:cstheme="majorBidi"/>
          <w:color w:val="000000"/>
          <w:kern w:val="0"/>
          <w:sz w:val="24"/>
          <w:szCs w:val="24"/>
        </w:rPr>
        <w:fldChar w:fldCharType="end"/>
      </w:r>
      <w:r w:rsidRPr="00A94E34">
        <w:rPr>
          <w:rFonts w:asciiTheme="majorBidi" w:hAnsiTheme="majorBidi" w:cstheme="majorBidi"/>
          <w:color w:val="000000"/>
          <w:kern w:val="0"/>
          <w:sz w:val="24"/>
          <w:szCs w:val="24"/>
          <w:lang w:val="fr-FR"/>
        </w:rPr>
        <w:t>.</w:t>
      </w:r>
      <w:r w:rsidRPr="00A94E34">
        <w:rPr>
          <w:rFonts w:asciiTheme="majorBidi" w:eastAsia="Times New Roman" w:hAnsiTheme="majorBidi" w:cstheme="majorBidi"/>
          <w:b/>
          <w:bCs/>
          <w:kern w:val="36"/>
          <w:sz w:val="48"/>
          <w:szCs w:val="48"/>
          <w:lang w:val="fr-FR" w:eastAsia="fr-FR"/>
        </w:rPr>
        <w:t xml:space="preserve"> </w:t>
      </w:r>
    </w:p>
    <w:p w14:paraId="7B9644EB" w14:textId="6FE19E48" w:rsidR="005A47E3" w:rsidRPr="00A94E34" w:rsidRDefault="005A47E3">
      <w:pPr>
        <w:rPr>
          <w:lang w:val="fr-FR"/>
        </w:rPr>
      </w:pPr>
    </w:p>
    <w:p w14:paraId="3D821C5A" w14:textId="3093C2D0" w:rsidR="001F50AE" w:rsidRPr="00A94E34" w:rsidRDefault="001F50AE">
      <w:pPr>
        <w:rPr>
          <w:lang w:val="fr-FR"/>
        </w:rPr>
      </w:pPr>
      <w:r w:rsidRPr="00A94E34">
        <w:rPr>
          <w:lang w:val="fr-FR"/>
        </w:rPr>
        <w:t>Références :</w:t>
      </w:r>
    </w:p>
    <w:p w14:paraId="35BFE690" w14:textId="77777777" w:rsidR="00A94E34" w:rsidRPr="00A94E34" w:rsidRDefault="001F50AE" w:rsidP="00A94E34">
      <w:pPr>
        <w:pStyle w:val="Bibliographie"/>
        <w:rPr>
          <w:rFonts w:ascii="Calibri" w:hAnsi="Calibri" w:cs="Calibri"/>
        </w:rPr>
      </w:pPr>
      <w:r>
        <w:fldChar w:fldCharType="begin"/>
      </w:r>
      <w:r w:rsidR="00A94E34" w:rsidRPr="004C5736">
        <w:rPr>
          <w:lang w:val="fr-FR"/>
        </w:rPr>
        <w:instrText xml:space="preserve"> ADDIN ZOTERO_BIBL {"uncited":[],"omitted":[],"custom":[]} CSL_BIBLIOGRAPHY </w:instrText>
      </w:r>
      <w:r>
        <w:fldChar w:fldCharType="separate"/>
      </w:r>
      <w:r w:rsidR="00A94E34" w:rsidRPr="004C5736">
        <w:rPr>
          <w:rFonts w:ascii="Calibri" w:hAnsi="Calibri" w:cs="Calibri"/>
          <w:lang w:val="fr-FR"/>
        </w:rPr>
        <w:t xml:space="preserve">[1] </w:t>
      </w:r>
      <w:r w:rsidR="00A94E34" w:rsidRPr="004C5736">
        <w:rPr>
          <w:rFonts w:ascii="Calibri" w:hAnsi="Calibri" w:cs="Calibri"/>
          <w:lang w:val="fr-FR"/>
        </w:rPr>
        <w:tab/>
        <w:t xml:space="preserve">Samuelsson KAM, </w:t>
      </w:r>
      <w:proofErr w:type="spellStart"/>
      <w:r w:rsidR="00A94E34" w:rsidRPr="004C5736">
        <w:rPr>
          <w:rFonts w:ascii="Calibri" w:hAnsi="Calibri" w:cs="Calibri"/>
          <w:lang w:val="fr-FR"/>
        </w:rPr>
        <w:t>Töytäri</w:t>
      </w:r>
      <w:proofErr w:type="spellEnd"/>
      <w:r w:rsidR="00A94E34" w:rsidRPr="004C5736">
        <w:rPr>
          <w:rFonts w:ascii="Calibri" w:hAnsi="Calibri" w:cs="Calibri"/>
          <w:lang w:val="fr-FR"/>
        </w:rPr>
        <w:t xml:space="preserve"> O, </w:t>
      </w:r>
      <w:proofErr w:type="spellStart"/>
      <w:r w:rsidR="00A94E34" w:rsidRPr="004C5736">
        <w:rPr>
          <w:rFonts w:ascii="Calibri" w:hAnsi="Calibri" w:cs="Calibri"/>
          <w:lang w:val="fr-FR"/>
        </w:rPr>
        <w:t>Salminen</w:t>
      </w:r>
      <w:proofErr w:type="spellEnd"/>
      <w:r w:rsidR="00A94E34" w:rsidRPr="004C5736">
        <w:rPr>
          <w:rFonts w:ascii="Calibri" w:hAnsi="Calibri" w:cs="Calibri"/>
          <w:lang w:val="fr-FR"/>
        </w:rPr>
        <w:t xml:space="preserve"> A-L, et al. </w:t>
      </w:r>
      <w:r w:rsidR="00A94E34" w:rsidRPr="00A94E34">
        <w:rPr>
          <w:rFonts w:ascii="Calibri" w:hAnsi="Calibri" w:cs="Calibri"/>
        </w:rPr>
        <w:t xml:space="preserve">Effects of lower limb prosthesis on activity, participation, and quality of life: a systematic review. </w:t>
      </w:r>
      <w:r w:rsidR="00A94E34" w:rsidRPr="00A94E34">
        <w:rPr>
          <w:rFonts w:ascii="Calibri" w:hAnsi="Calibri" w:cs="Calibri"/>
          <w:i/>
          <w:iCs/>
        </w:rPr>
        <w:t>Prosthet Orthot Int</w:t>
      </w:r>
      <w:r w:rsidR="00A94E34" w:rsidRPr="00A94E34">
        <w:rPr>
          <w:rFonts w:ascii="Calibri" w:hAnsi="Calibri" w:cs="Calibri"/>
        </w:rPr>
        <w:t xml:space="preserve"> 2012; 36: 145–158.</w:t>
      </w:r>
    </w:p>
    <w:p w14:paraId="1DFCE11B" w14:textId="77777777" w:rsidR="00A94E34" w:rsidRPr="00A94E34" w:rsidRDefault="00A94E34" w:rsidP="00A94E34">
      <w:pPr>
        <w:pStyle w:val="Bibliographie"/>
        <w:rPr>
          <w:rFonts w:ascii="Calibri" w:hAnsi="Calibri" w:cs="Calibri"/>
        </w:rPr>
      </w:pPr>
      <w:r w:rsidRPr="00A94E34">
        <w:rPr>
          <w:rFonts w:ascii="Calibri" w:hAnsi="Calibri" w:cs="Calibri"/>
        </w:rPr>
        <w:t xml:space="preserve">[2] </w:t>
      </w:r>
      <w:r w:rsidRPr="00A94E34">
        <w:rPr>
          <w:rFonts w:ascii="Calibri" w:hAnsi="Calibri" w:cs="Calibri"/>
        </w:rPr>
        <w:tab/>
        <w:t xml:space="preserve">Pezzin LE, Dillingham TR, MacKenzie EJ. Rehabilitation and the long-term outcomes of persons with trauma-related amputations. </w:t>
      </w:r>
      <w:r w:rsidRPr="00A94E34">
        <w:rPr>
          <w:rFonts w:ascii="Calibri" w:hAnsi="Calibri" w:cs="Calibri"/>
          <w:i/>
          <w:iCs/>
        </w:rPr>
        <w:t>Arch Phys Med Rehabil</w:t>
      </w:r>
      <w:r w:rsidRPr="00A94E34">
        <w:rPr>
          <w:rFonts w:ascii="Calibri" w:hAnsi="Calibri" w:cs="Calibri"/>
        </w:rPr>
        <w:t xml:space="preserve"> 2000; 81: 292–300.</w:t>
      </w:r>
    </w:p>
    <w:p w14:paraId="09548488" w14:textId="77777777" w:rsidR="00A94E34" w:rsidRPr="00A94E34" w:rsidRDefault="00A94E34" w:rsidP="00A94E34">
      <w:pPr>
        <w:pStyle w:val="Bibliographie"/>
        <w:rPr>
          <w:rFonts w:ascii="Calibri" w:hAnsi="Calibri" w:cs="Calibri"/>
          <w:lang w:val="fr-FR"/>
        </w:rPr>
      </w:pPr>
      <w:r w:rsidRPr="00A94E34">
        <w:rPr>
          <w:rFonts w:ascii="Calibri" w:hAnsi="Calibri" w:cs="Calibri"/>
        </w:rPr>
        <w:t xml:space="preserve">[3] </w:t>
      </w:r>
      <w:r w:rsidRPr="00A94E34">
        <w:rPr>
          <w:rFonts w:ascii="Calibri" w:hAnsi="Calibri" w:cs="Calibri"/>
        </w:rPr>
        <w:tab/>
        <w:t xml:space="preserve">The Global Lower Extremity Amputation Study Group. Epidemiology of lower extremity amputation in centres in Europe, North America and East Asia. </w:t>
      </w:r>
      <w:r w:rsidRPr="00A94E34">
        <w:rPr>
          <w:rFonts w:ascii="Calibri" w:hAnsi="Calibri" w:cs="Calibri"/>
          <w:i/>
          <w:iCs/>
          <w:lang w:val="fr-FR"/>
        </w:rPr>
        <w:t>Br J Surg</w:t>
      </w:r>
      <w:r w:rsidRPr="00A94E34">
        <w:rPr>
          <w:rFonts w:ascii="Calibri" w:hAnsi="Calibri" w:cs="Calibri"/>
          <w:lang w:val="fr-FR"/>
        </w:rPr>
        <w:t xml:space="preserve"> 2000; 87: 328–337.</w:t>
      </w:r>
    </w:p>
    <w:p w14:paraId="0A6CFFF8" w14:textId="77777777" w:rsidR="00A94E34" w:rsidRPr="00A94E34" w:rsidRDefault="00A94E34" w:rsidP="00A94E34">
      <w:pPr>
        <w:pStyle w:val="Bibliographie"/>
        <w:rPr>
          <w:rFonts w:ascii="Calibri" w:hAnsi="Calibri" w:cs="Calibri"/>
        </w:rPr>
      </w:pPr>
      <w:r w:rsidRPr="00A94E34">
        <w:rPr>
          <w:rFonts w:ascii="Calibri" w:hAnsi="Calibri" w:cs="Calibri"/>
          <w:lang w:val="fr-FR"/>
        </w:rPr>
        <w:t xml:space="preserve">[4] </w:t>
      </w:r>
      <w:r w:rsidRPr="00A94E34">
        <w:rPr>
          <w:rFonts w:ascii="Calibri" w:hAnsi="Calibri" w:cs="Calibri"/>
          <w:lang w:val="fr-FR"/>
        </w:rPr>
        <w:tab/>
        <w:t xml:space="preserve">Ziegler-Graham K, MacKenzie EJ, Ephraim PL, et al. </w:t>
      </w:r>
      <w:r w:rsidRPr="00A94E34">
        <w:rPr>
          <w:rFonts w:ascii="Calibri" w:hAnsi="Calibri" w:cs="Calibri"/>
        </w:rPr>
        <w:t xml:space="preserve">Estimating the prevalence of limb loss in the United States: 2005 to 2050. </w:t>
      </w:r>
      <w:r w:rsidRPr="00A94E34">
        <w:rPr>
          <w:rFonts w:ascii="Calibri" w:hAnsi="Calibri" w:cs="Calibri"/>
          <w:i/>
          <w:iCs/>
        </w:rPr>
        <w:t>Arch Phys Med Rehabil</w:t>
      </w:r>
      <w:r w:rsidRPr="00A94E34">
        <w:rPr>
          <w:rFonts w:ascii="Calibri" w:hAnsi="Calibri" w:cs="Calibri"/>
        </w:rPr>
        <w:t xml:space="preserve"> 2008; 89: 422–429.</w:t>
      </w:r>
    </w:p>
    <w:p w14:paraId="12A4872B" w14:textId="77777777" w:rsidR="00A94E34" w:rsidRPr="00A94E34" w:rsidRDefault="00A94E34" w:rsidP="00A94E34">
      <w:pPr>
        <w:pStyle w:val="Bibliographie"/>
        <w:rPr>
          <w:rFonts w:ascii="Calibri" w:hAnsi="Calibri" w:cs="Calibri"/>
        </w:rPr>
      </w:pPr>
      <w:r w:rsidRPr="00A94E34">
        <w:rPr>
          <w:rFonts w:ascii="Calibri" w:hAnsi="Calibri" w:cs="Calibri"/>
        </w:rPr>
        <w:t xml:space="preserve">[5] </w:t>
      </w:r>
      <w:r w:rsidRPr="00A94E34">
        <w:rPr>
          <w:rFonts w:ascii="Calibri" w:hAnsi="Calibri" w:cs="Calibri"/>
        </w:rPr>
        <w:tab/>
        <w:t xml:space="preserve">van Velzen JM, van Bennekom C a. M, Polomski W, et al. Physical capacity and walking ability after lower limb amputation: a systematic review. </w:t>
      </w:r>
      <w:r w:rsidRPr="00A94E34">
        <w:rPr>
          <w:rFonts w:ascii="Calibri" w:hAnsi="Calibri" w:cs="Calibri"/>
          <w:i/>
          <w:iCs/>
        </w:rPr>
        <w:t>Clin Rehabil</w:t>
      </w:r>
      <w:r w:rsidRPr="00A94E34">
        <w:rPr>
          <w:rFonts w:ascii="Calibri" w:hAnsi="Calibri" w:cs="Calibri"/>
        </w:rPr>
        <w:t xml:space="preserve"> 2006; 20: 999–1016.</w:t>
      </w:r>
    </w:p>
    <w:p w14:paraId="4CE22754" w14:textId="77777777" w:rsidR="00A94E34" w:rsidRPr="00A94E34" w:rsidRDefault="00A94E34" w:rsidP="00A94E34">
      <w:pPr>
        <w:pStyle w:val="Bibliographie"/>
        <w:rPr>
          <w:rFonts w:ascii="Calibri" w:hAnsi="Calibri" w:cs="Calibri"/>
        </w:rPr>
      </w:pPr>
      <w:r w:rsidRPr="00A94E34">
        <w:rPr>
          <w:rFonts w:ascii="Calibri" w:hAnsi="Calibri" w:cs="Calibri"/>
        </w:rPr>
        <w:t xml:space="preserve">[6] </w:t>
      </w:r>
      <w:r w:rsidRPr="00A94E34">
        <w:rPr>
          <w:rFonts w:ascii="Calibri" w:hAnsi="Calibri" w:cs="Calibri"/>
        </w:rPr>
        <w:tab/>
        <w:t xml:space="preserve">Chang BL, Kleiber GM. Evolution of amputee care. </w:t>
      </w:r>
      <w:r w:rsidRPr="00A94E34">
        <w:rPr>
          <w:rFonts w:ascii="Calibri" w:hAnsi="Calibri" w:cs="Calibri"/>
          <w:i/>
          <w:iCs/>
        </w:rPr>
        <w:t>Orthoplastic Surg</w:t>
      </w:r>
      <w:r w:rsidRPr="00A94E34">
        <w:rPr>
          <w:rFonts w:ascii="Calibri" w:hAnsi="Calibri" w:cs="Calibri"/>
        </w:rPr>
        <w:t xml:space="preserve"> 2023; 12: 1–14.</w:t>
      </w:r>
    </w:p>
    <w:p w14:paraId="1B0BAFE3" w14:textId="77777777" w:rsidR="00A94E34" w:rsidRPr="00A94E34" w:rsidRDefault="00A94E34" w:rsidP="00A94E34">
      <w:pPr>
        <w:pStyle w:val="Bibliographie"/>
        <w:rPr>
          <w:rFonts w:ascii="Calibri" w:hAnsi="Calibri" w:cs="Calibri"/>
        </w:rPr>
      </w:pPr>
      <w:r w:rsidRPr="00A94E34">
        <w:rPr>
          <w:rFonts w:ascii="Calibri" w:hAnsi="Calibri" w:cs="Calibri"/>
        </w:rPr>
        <w:lastRenderedPageBreak/>
        <w:t xml:space="preserve">[7] </w:t>
      </w:r>
      <w:r w:rsidRPr="00A94E34">
        <w:rPr>
          <w:rFonts w:ascii="Calibri" w:hAnsi="Calibri" w:cs="Calibri"/>
        </w:rPr>
        <w:tab/>
        <w:t>Szymanska-Chabowska A, Łabuń A, Tański W, et al. Acceptance of illness, quality of life and nutritional status of patients after lower limb amputation due to diabetes mellitus. Epub ahead of print 27 April 2020. DOI: 10.21203/rs.3.rs-24304/v1.</w:t>
      </w:r>
    </w:p>
    <w:p w14:paraId="2A67604C" w14:textId="77777777" w:rsidR="00A94E34" w:rsidRPr="00A94E34" w:rsidRDefault="00A94E34" w:rsidP="00A94E34">
      <w:pPr>
        <w:pStyle w:val="Bibliographie"/>
        <w:rPr>
          <w:rFonts w:ascii="Calibri" w:hAnsi="Calibri" w:cs="Calibri"/>
        </w:rPr>
      </w:pPr>
      <w:r w:rsidRPr="00A94E34">
        <w:rPr>
          <w:rFonts w:ascii="Calibri" w:hAnsi="Calibri" w:cs="Calibri"/>
        </w:rPr>
        <w:t xml:space="preserve">[8] </w:t>
      </w:r>
      <w:r w:rsidRPr="00A94E34">
        <w:rPr>
          <w:rFonts w:ascii="Calibri" w:hAnsi="Calibri" w:cs="Calibri"/>
        </w:rPr>
        <w:tab/>
        <w:t xml:space="preserve">Olesen KKW, Gyldenkerne C, Thim T, et al. Peripheral artery disease, lower limb revascularization, and amputation in diabetes patients with and without coronary artery disease: a cohort study from the Western Denmark Heart Registry. </w:t>
      </w:r>
      <w:r w:rsidRPr="00A94E34">
        <w:rPr>
          <w:rFonts w:ascii="Calibri" w:hAnsi="Calibri" w:cs="Calibri"/>
          <w:i/>
          <w:iCs/>
        </w:rPr>
        <w:t>BMJ Open Diabetes Res Care</w:t>
      </w:r>
      <w:r w:rsidRPr="00A94E34">
        <w:rPr>
          <w:rFonts w:ascii="Calibri" w:hAnsi="Calibri" w:cs="Calibri"/>
        </w:rPr>
        <w:t xml:space="preserve"> 2021; 9: e001803.</w:t>
      </w:r>
    </w:p>
    <w:p w14:paraId="5AE60C5D" w14:textId="77777777" w:rsidR="00A94E34" w:rsidRPr="00A94E34" w:rsidRDefault="00A94E34" w:rsidP="00A94E34">
      <w:pPr>
        <w:pStyle w:val="Bibliographie"/>
        <w:rPr>
          <w:rFonts w:ascii="Calibri" w:hAnsi="Calibri" w:cs="Calibri"/>
        </w:rPr>
      </w:pPr>
      <w:r w:rsidRPr="00A94E34">
        <w:rPr>
          <w:rFonts w:ascii="Calibri" w:hAnsi="Calibri" w:cs="Calibri"/>
        </w:rPr>
        <w:t xml:space="preserve">[9] </w:t>
      </w:r>
      <w:r w:rsidRPr="00A94E34">
        <w:rPr>
          <w:rFonts w:ascii="Calibri" w:hAnsi="Calibri" w:cs="Calibri"/>
        </w:rPr>
        <w:tab/>
        <w:t xml:space="preserve">Amputee Coalition - Learn about amputation &amp; prosthetic care &amp; request support for people living with limb loss, their families, caregivers and clinicians who care for amputees. </w:t>
      </w:r>
      <w:r w:rsidRPr="00A94E34">
        <w:rPr>
          <w:rFonts w:ascii="Calibri" w:hAnsi="Calibri" w:cs="Calibri"/>
          <w:i/>
          <w:iCs/>
        </w:rPr>
        <w:t>Amputee Coalition</w:t>
      </w:r>
      <w:r w:rsidRPr="00A94E34">
        <w:rPr>
          <w:rFonts w:ascii="Calibri" w:hAnsi="Calibri" w:cs="Calibri"/>
        </w:rPr>
        <w:t>, https://www.amputee-coalition.org/ (accessed 23 July 2024).</w:t>
      </w:r>
    </w:p>
    <w:p w14:paraId="2FA57FB4" w14:textId="19564419" w:rsidR="001F50AE" w:rsidRDefault="001F50AE">
      <w:r>
        <w:fldChar w:fldCharType="end"/>
      </w:r>
    </w:p>
    <w:p w14:paraId="6087FB30" w14:textId="77777777" w:rsidR="001F50AE" w:rsidRDefault="001F50AE"/>
    <w:sectPr w:rsidR="001F50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020B4C"/>
    <w:multiLevelType w:val="hybridMultilevel"/>
    <w:tmpl w:val="C8F037D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A8F"/>
    <w:rsid w:val="001F50AE"/>
    <w:rsid w:val="004C5736"/>
    <w:rsid w:val="005A47E3"/>
    <w:rsid w:val="00A94E34"/>
    <w:rsid w:val="00B419C9"/>
    <w:rsid w:val="00DE5A8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4B8C8"/>
  <w15:chartTrackingRefBased/>
  <w15:docId w15:val="{2BC9439E-F0DA-421E-A8B4-D507FBCF8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Bibliographie">
    <w:name w:val="Bibliography"/>
    <w:basedOn w:val="Normal"/>
    <w:next w:val="Normal"/>
    <w:uiPriority w:val="37"/>
    <w:unhideWhenUsed/>
    <w:rsid w:val="001F50AE"/>
    <w:pPr>
      <w:tabs>
        <w:tab w:val="left" w:pos="504"/>
      </w:tabs>
      <w:spacing w:after="24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4013</Words>
  <Characters>22073</Characters>
  <Application>Microsoft Office Word</Application>
  <DocSecurity>0</DocSecurity>
  <Lines>183</Lines>
  <Paragraphs>52</Paragraphs>
  <ScaleCrop>false</ScaleCrop>
  <Company/>
  <LinksUpToDate>false</LinksUpToDate>
  <CharactersWithSpaces>26034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AHOUKAR Mohamed Amine</dc:creator>
  <cp:keywords/>
  <dc:description/>
  <cp:lastModifiedBy>AHOUKAR Mohamed Amine</cp:lastModifiedBy>
  <cp:revision>4</cp:revision>
  <dcterms:created xsi:type="dcterms:W3CDTF">2025-11-26T16:45:00Z</dcterms:created>
  <dcterms:modified xsi:type="dcterms:W3CDTF">2025-11-27T16:05:00Z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id="XJgTUHJD"/&gt;&lt;style id="http://www.zotero.org/styles/sage-vancouver-brackets"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