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1bae2d0896c75f3c41adebd09dabb7bd115b5c"/>
    <w:p>
      <w:pPr>
        <w:pStyle w:val="Heading1"/>
      </w:pPr>
      <w:r>
        <w:t xml:space="preserve">Deliverable 42 — Issue 1 integrated into the framework builder + full-app agnosticism re-sweep; Issue 2 deferred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2026-10-19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CompanyIQ engineering</w:t>
      </w:r>
      <w:r>
        <w:t xml:space="preserve"> </w:t>
      </w:r>
      <w:r>
        <w:rPr>
          <w:bCs/>
          <w:b/>
        </w:rPr>
        <w:t xml:space="preserve">Commits:</w:t>
      </w:r>
      <w:r>
        <w:t xml:space="preserve"> </w:t>
      </w:r>
      <w:r>
        <w:rPr>
          <w:rStyle w:val="VerbatimChar"/>
        </w:rPr>
        <w:t xml:space="preserve">a8302a1</w:t>
      </w:r>
      <w:r>
        <w:t xml:space="preserve"> </w:t>
      </w:r>
      <w:r>
        <w:t xml:space="preserve">(Part A — builder stability),</w:t>
      </w:r>
      <w:r>
        <w:t xml:space="preserve"> </w:t>
      </w:r>
      <w:r>
        <w:rPr>
          <w:rStyle w:val="VerbatimChar"/>
        </w:rPr>
        <w:t xml:space="preserve">a3df49a</w:t>
      </w:r>
      <w:r>
        <w:t xml:space="preserve"> </w:t>
      </w:r>
      <w:r>
        <w:t xml:space="preserve">(Part B — agnosticism audit doc)</w:t>
      </w:r>
      <w:r>
        <w:t xml:space="preserve"> </w:t>
      </w:r>
      <w:r>
        <w:rPr>
          <w:bCs/>
          <w:b/>
        </w:rPr>
        <w:t xml:space="preserve">Production SHA (verified live):</w:t>
      </w:r>
      <w:r>
        <w:t xml:space="preserve"> </w:t>
      </w:r>
      <w:r>
        <w:rPr>
          <w:rStyle w:val="VerbatimChar"/>
        </w:rPr>
        <w:t xml:space="preserve">a3df49a</w:t>
      </w:r>
      <w:r>
        <w:t xml:space="preserve"> </w:t>
      </w:r>
      <w:r>
        <w:t xml:space="preserve">— production</w:t>
      </w:r>
      <w:r>
        <w:t xml:space="preserve"> </w:t>
      </w:r>
      <w:r>
        <w:rPr>
          <w:bCs/>
          <w:b/>
        </w:rPr>
        <w:t xml:space="preserve">app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worker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@ 2026-10-19T11:29:39Z</w:t>
      </w:r>
      <w:r>
        <w:t xml:space="preserve"> </w:t>
      </w:r>
      <w:r>
        <w:rPr>
          <w:bCs/>
          <w:b/>
        </w:rPr>
        <w:t xml:space="preserve">Verdict impact:</w:t>
      </w:r>
      <w:r>
        <w:t xml:space="preserve"> </w:t>
      </w:r>
      <w:r>
        <w:t xml:space="preserve">Yes→No =</w:t>
      </w:r>
      <w:r>
        <w:t xml:space="preserve"> </w:t>
      </w:r>
      <w:r>
        <w:rPr>
          <w:bCs/>
          <w:b/>
        </w:rPr>
        <w:t xml:space="preserve">0</w:t>
      </w:r>
      <w:r>
        <w:t xml:space="preserve">, No→Yes =</w:t>
      </w:r>
      <w:r>
        <w:t xml:space="preserve"> </w:t>
      </w:r>
      <w:r>
        <w:rPr>
          <w:bCs/>
          <w:b/>
        </w:rPr>
        <w:t xml:space="preserve">0</w:t>
      </w:r>
      <w:r>
        <w:t xml:space="preserve">, Total flips =</w:t>
      </w:r>
      <w:r>
        <w:t xml:space="preserve"> </w:t>
      </w:r>
      <w:r>
        <w:rPr>
          <w:bCs/>
          <w:b/>
        </w:rPr>
        <w:t xml:space="preserve">0</w:t>
      </w:r>
    </w:p>
    <w:p>
      <w:r>
        <w:pict>
          <v:rect style="width:0;height:1.5pt" o:hralign="center" o:hrstd="t" o:hr="t"/>
        </w:pict>
      </w:r>
    </w:p>
    <w:bookmarkStart w:id="20" w:name="what-you-asked-for"/>
    <w:p>
      <w:pPr>
        <w:pStyle w:val="Heading2"/>
      </w:pPr>
      <w:r>
        <w:t xml:space="preserve">1. What you asked for</w:t>
      </w:r>
    </w:p>
    <w:p>
      <w:pPr>
        <w:numPr>
          <w:ilvl w:val="0"/>
          <w:numId w:val="1001"/>
        </w:numPr>
        <w:pStyle w:val="Compact"/>
      </w:pPr>
      <w:r>
        <w:t xml:space="preserve">Defer Issue 2 instead of doing it now.</w:t>
      </w:r>
    </w:p>
    <w:p>
      <w:pPr>
        <w:numPr>
          <w:ilvl w:val="0"/>
          <w:numId w:val="1001"/>
        </w:numPr>
        <w:pStyle w:val="Compact"/>
      </w:pPr>
      <w:r>
        <w:t xml:space="preserve">The Issue 1 solution should be implemented at the level of the</w:t>
      </w:r>
      <w:r>
        <w:t xml:space="preserve"> </w:t>
      </w:r>
      <w:r>
        <w:rPr>
          <w:bCs/>
          <w:b/>
        </w:rPr>
        <w:t xml:space="preserve">framework builder</w:t>
      </w:r>
      <w:r>
        <w:t xml:space="preserve">, not based on a specific framework — integrated into the LLM builder — validated by creating a new framework.</w:t>
      </w:r>
    </w:p>
    <w:p>
      <w:pPr>
        <w:numPr>
          <w:ilvl w:val="0"/>
          <w:numId w:val="1001"/>
        </w:numPr>
        <w:pStyle w:val="Compact"/>
      </w:pPr>
      <w:r>
        <w:t xml:space="preserve">Review the whole application to ensure it is topic- and company-agnostic, with no requirements or components tailored to any specific topic or company.</w:t>
      </w:r>
    </w:p>
    <w:p>
      <w:pPr>
        <w:pStyle w:val="FirstParagraph"/>
      </w:pPr>
      <w:r>
        <w:t xml:space="preserve">This deliverable records all three outcomes. There is</w:t>
      </w:r>
      <w:r>
        <w:t xml:space="preserve"> </w:t>
      </w:r>
      <w:r>
        <w:rPr>
          <w:bCs/>
          <w:b/>
        </w:rPr>
        <w:t xml:space="preserve">no runtime verdict change</w:t>
      </w:r>
      <w:r>
        <w:t xml:space="preserve"> </w:t>
      </w:r>
      <w:r>
        <w:t xml:space="preserve">in any of them: Part A is build-time/advisory, Part B is documentation, and Issue 2 was not touched.</w:t>
      </w:r>
    </w:p>
    <w:p>
      <w:r>
        <w:pict>
          <v:rect style="width:0;height:1.5pt" o:hralign="center" o:hrstd="t" o:hr="t"/>
        </w:pict>
      </w:r>
    </w:p>
    <w:bookmarkEnd w:id="20"/>
    <w:bookmarkStart w:id="21" w:name="X199d8a2b0cd642bfe8c5770475910503954409c"/>
    <w:p>
      <w:pPr>
        <w:pStyle w:val="Heading2"/>
      </w:pPr>
      <w:r>
        <w:t xml:space="preserve">2. Issue 2 — deferred (recorded, not implemented)</w:t>
      </w:r>
    </w:p>
    <w:p>
      <w:pPr>
        <w:pStyle w:val="FirstParagraph"/>
      </w:pPr>
      <w:r>
        <w:t xml:space="preserve">Issue 2 (human-analyst holdout to validate the B5 context-trim on-flip gate) is</w:t>
      </w:r>
      <w:r>
        <w:t xml:space="preserve"> </w:t>
      </w:r>
      <w:r>
        <w:rPr>
          <w:bCs/>
          <w:b/>
        </w:rPr>
        <w:t xml:space="preserve">deferred at your request</w:t>
      </w:r>
      <w:r>
        <w:t xml:space="preserve">. No code, config, env flag, or batch was run for it. The on-flip gate for B5 remains deliberately</w:t>
      </w:r>
      <w:r>
        <w:t xml:space="preserve"> </w:t>
      </w:r>
      <w:r>
        <w:rPr>
          <w:bCs/>
          <w:b/>
        </w:rPr>
        <w:t xml:space="preserve">unarmed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CONTEXT_COST_POLICY</w:t>
      </w:r>
      <w:r>
        <w:t xml:space="preserve"> </w:t>
      </w:r>
      <w:r>
        <w:t xml:space="preserve">stays in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(owner decision A, ledger 2026-10-19) — exactly as before. Nothing about Issue 2’s eventual implementation is pre-empted or blocked by this turn’s work.</w:t>
      </w:r>
    </w:p>
    <w:p>
      <w:r>
        <w:pict>
          <v:rect style="width:0;height:1.5pt" o:hralign="center" o:hrstd="t" o:hr="t"/>
        </w:pict>
      </w:r>
    </w:p>
    <w:bookmarkEnd w:id="21"/>
    <w:bookmarkStart w:id="26" w:name="X7265a09cb7c32f27f5838eedc092c3d39ff8b90"/>
    <w:p>
      <w:pPr>
        <w:pStyle w:val="Heading2"/>
      </w:pPr>
      <w:r>
        <w:t xml:space="preserve">3. Issue 1 — now hardened at the builder level (every new framework, by design)</w:t>
      </w:r>
    </w:p>
    <w:bookmarkStart w:id="22" w:name="X83241b8234cb86fd1df57689d0b4c6eb3456899"/>
    <w:p>
      <w:pPr>
        <w:pStyle w:val="Heading3"/>
      </w:pPr>
      <w:r>
        <w:t xml:space="preserve">3.1 Approach: audit-first, then close the one real gap</w:t>
      </w:r>
    </w:p>
    <w:p>
      <w:pPr>
        <w:pStyle w:val="FirstParagraph"/>
      </w:pPr>
      <w:r>
        <w:t xml:space="preserve">Before writing anything, the existing builder (</w:t>
      </w:r>
      <w:r>
        <w:rPr>
          <w:rStyle w:val="VerbatimChar"/>
        </w:rPr>
        <w:t xml:space="preserve">server/lib/framework-v2/</w:t>
      </w:r>
      <w:r>
        <w:t xml:space="preserve">) was audited for reproducibility machinery. It already had a substantial amount: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C11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rules.ts</w:t>
      </w:r>
      <w:r>
        <w:t xml:space="preserve">) — the ERROR-level degree-word gate that blocks a build when a measure’s verdict criteria hinge on unquantified degree words.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C12</w:t>
      </w:r>
      <w:r>
        <w:t xml:space="preserve"> </w:t>
      </w:r>
      <w:r>
        <w:t xml:space="preserve">(</w:t>
      </w:r>
      <w:r>
        <w:rPr>
          <w:rStyle w:val="VerbatimChar"/>
        </w:rPr>
        <w:t xml:space="preserve">rules.ts</w:t>
      </w:r>
      <w:r>
        <w:t xml:space="preserve">) — the INFO-level companion signal.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edit-proposer.ts</w:t>
      </w:r>
      <w:r>
        <w:t xml:space="preserve"> </w:t>
      </w:r>
      <w:r>
        <w:t xml:space="preserve">— residual-instability / ambiguous-criteria detection that proposes rewrites, driven by</w:t>
      </w:r>
      <w:r>
        <w:t xml:space="preserve"> </w:t>
      </w:r>
      <w:r>
        <w:rPr>
          <w:bCs/>
          <w:b/>
        </w:rPr>
        <w:t xml:space="preserve">multiple scoring runs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edit-applier.ts</w:t>
      </w:r>
      <w:r>
        <w:t xml:space="preserve"> </w:t>
      </w:r>
      <w:r>
        <w:t xml:space="preserve">— ambiguity-removal when applying proposed edits.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quality-metrics.ts</w:t>
      </w:r>
      <w:r>
        <w:t xml:space="preserve"> </w:t>
      </w:r>
      <w:r>
        <w:t xml:space="preserve">— a cross-run reliability dimension (kappa / agreement).</w:t>
      </w:r>
    </w:p>
    <w:p>
      <w:pPr>
        <w:numPr>
          <w:ilvl w:val="0"/>
          <w:numId w:val="1002"/>
        </w:numPr>
        <w:pStyle w:val="Compact"/>
      </w:pPr>
      <w:r>
        <w:t xml:space="preserve">End-to-end per-cell stability was already surfaced:</w:t>
      </w:r>
      <w:r>
        <w:t xml:space="preserve"> </w:t>
      </w:r>
      <w:r>
        <w:rPr>
          <w:rStyle w:val="VerbatimChar"/>
        </w:rPr>
        <w:t xml:space="preserve">analyzer.ts:3576</w:t>
      </w:r>
      <w:r>
        <w:t xml:space="preserve"> </w:t>
      </w:r>
      <w:r>
        <w:t xml:space="preserve">maps self-consistency agreement to a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level (High/Med/Low, plus</w:t>
      </w:r>
      <w:r>
        <w:t xml:space="preserve"> </w:t>
      </w:r>
      <w:r>
        <w:rPr>
          <w:rStyle w:val="VerbatimChar"/>
        </w:rPr>
        <w:t xml:space="preserve">[Self-consistency N/M]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api.ts</w:t>
      </w:r>
      <w:r>
        <w:t xml:space="preserve"> </w:t>
      </w:r>
      <w:r>
        <w:t xml:space="preserve">→ ResultsPage CSV.</w:t>
      </w:r>
    </w:p>
    <w:p>
      <w:pPr>
        <w:pStyle w:val="FirstParagraph"/>
      </w:pPr>
      <w:r>
        <w:rPr>
          <w:bCs/>
          <w:b/>
        </w:rPr>
        <w:t xml:space="preserve">The single genuine gap:</w:t>
      </w:r>
      <w:r>
        <w:t xml:space="preserve"> </w:t>
      </w:r>
      <w:r>
        <w:t xml:space="preserve">all of the above required</w:t>
      </w:r>
      <w:r>
        <w:t xml:space="preserve"> </w:t>
      </w:r>
      <w:r>
        <w:rPr>
          <w:iCs/>
          <w:i/>
        </w:rPr>
        <w:t xml:space="preserve">actual scoring runs</w:t>
      </w:r>
      <w:r>
        <w:t xml:space="preserve"> </w:t>
      </w:r>
      <w:r>
        <w:t xml:space="preserve">to detect instability. There was</w:t>
      </w:r>
      <w:r>
        <w:t xml:space="preserve"> </w:t>
      </w:r>
      <w:r>
        <w:rPr>
          <w:bCs/>
          <w:b/>
        </w:rPr>
        <w:t xml:space="preserve">no build-time, zero-runs-needed check</w:t>
      </w:r>
      <w:r>
        <w:t xml:space="preserve"> </w:t>
      </w:r>
      <w:r>
        <w:t xml:space="preserve">that inspects a newly-authored measure’s own verdict logic and warns the author</w:t>
      </w:r>
      <w:r>
        <w:t xml:space="preserve"> </w:t>
      </w:r>
      <w:r>
        <w:rPr>
          <w:iCs/>
          <w:i/>
        </w:rPr>
        <w:t xml:space="preserve">before any company is ever scored</w:t>
      </w:r>
      <w:r>
        <w:t xml:space="preserve">. That is the gap this work closes — and it closes it in the builder, so it applies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framework created from now on, not to any one framework.</w:t>
      </w:r>
    </w:p>
    <w:bookmarkEnd w:id="22"/>
    <w:bookmarkStart w:id="23" w:name="X026458db482861149409da87cf70ae13398ab6e"/>
    <w:p>
      <w:pPr>
        <w:pStyle w:val="Heading3"/>
      </w:pPr>
      <w:r>
        <w:t xml:space="preserve">3.2 What was added (Part A, commit</w:t>
      </w:r>
      <w:r>
        <w:t xml:space="preserve"> </w:t>
      </w:r>
      <w:r>
        <w:rPr>
          <w:rStyle w:val="VerbatimChar"/>
        </w:rPr>
        <w:t xml:space="preserve">a8302a1</w:t>
      </w:r>
      <w:r>
        <w:t xml:space="preserve"> </w:t>
      </w:r>
      <w:r>
        <w:t xml:space="preserve">— 6 files, +467/−8)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pure module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server/lib/framework-v2/verdict-stability.ts</w:t>
      </w:r>
      <w:r>
        <w:rPr>
          <w:bCs/>
          <w:b/>
        </w:rPr>
        <w:t xml:space="preserve"> </w:t>
      </w:r>
      <w:r>
        <w:rPr>
          <w:bCs/>
          <w:b/>
        </w:rPr>
        <w:t xml:space="preserve">(~191 lines).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classifyMeasureStability</w:t>
      </w:r>
      <w:r>
        <w:t xml:space="preserve">, which classifies each measure as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borderline</w:t>
      </w:r>
      <w:r>
        <w:t xml:space="preserve"> </w:t>
      </w:r>
      <w:r>
        <w:t xml:space="preserve">purely from the measure’s own text/criteria —</w:t>
      </w:r>
      <w:r>
        <w:t xml:space="preserve"> </w:t>
      </w:r>
      <w:r>
        <w:rPr>
          <w:bCs/>
          <w:b/>
        </w:rPr>
        <w:t xml:space="preserve">no scoring runs required</w:t>
      </w:r>
      <w:r>
        <w:t xml:space="preserve">. It is completely topic-agnostic: it composes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ambiguity predicates already used by C11/C12, which are now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ed from</w:t>
      </w:r>
      <w:r>
        <w:t xml:space="preserve"> </w:t>
      </w:r>
      <w:r>
        <w:rPr>
          <w:rStyle w:val="VerbatimChar"/>
        </w:rPr>
        <w:t xml:space="preserve">rules.ts</w:t>
      </w:r>
      <w:r>
        <w:t xml:space="preserve"> </w:t>
      </w:r>
      <w:r>
        <w:t xml:space="preserve">(zero logic change in</w:t>
      </w:r>
      <w:r>
        <w:t xml:space="preserve"> </w:t>
      </w:r>
      <w:r>
        <w:rPr>
          <w:rStyle w:val="VerbatimChar"/>
        </w:rPr>
        <w:t xml:space="preserve">rules.ts</w:t>
      </w:r>
      <w:r>
        <w:t xml:space="preserve"> </w:t>
      </w:r>
      <w:r>
        <w:t xml:space="preserve">— only the export surface widened, so the one definition is shared, never duplicated).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Wired into the existing builder review surface.</w:t>
      </w:r>
      <w:r>
        <w:t xml:space="preserve"> </w:t>
      </w:r>
      <w:r>
        <w:rPr>
          <w:rStyle w:val="VerbatimChar"/>
        </w:rPr>
        <w:t xml:space="preserve">measure-design-diagnostic.ts</w:t>
      </w:r>
      <w:r>
        <w:t xml:space="preserve"> </w:t>
      </w:r>
      <w:r>
        <w:t xml:space="preserve">— the builder’s pre-test diagnostic that authors already see — now emits an</w:t>
      </w:r>
      <w:r>
        <w:t xml:space="preserve"> </w:t>
      </w:r>
      <w:r>
        <w:rPr>
          <w:bCs/>
          <w:b/>
        </w:rPr>
        <w:t xml:space="preserve">advisory</w:t>
      </w:r>
      <w:r>
        <w:t xml:space="preserve"> </w:t>
      </w:r>
      <w:r>
        <w:rPr>
          <w:rStyle w:val="VerbatimChar"/>
        </w:rPr>
        <w:t xml:space="preserve">verdict_instability_risk</w:t>
      </w:r>
      <w:r>
        <w:t xml:space="preserve"> </w:t>
      </w:r>
      <w:r>
        <w:t xml:space="preserve">finding, one per reason, for borderline measures. This is the integration point you asked for: it lives inside the builder’s own existing feedback surface, so creating a new framework exercises it automatically.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Advisory, not a new hard gate.</w:t>
      </w:r>
      <w:r>
        <w:t xml:space="preserve"> </w:t>
      </w:r>
      <w:r>
        <w:t xml:space="preserve">The new finding is informational. The sole ERROR-level build gate remains</w:t>
      </w:r>
      <w:r>
        <w:t xml:space="preserve"> </w:t>
      </w:r>
      <w:r>
        <w:rPr>
          <w:bCs/>
          <w:b/>
        </w:rPr>
        <w:t xml:space="preserve">C11</w:t>
      </w:r>
      <w:r>
        <w:t xml:space="preserve"> </w:t>
      </w:r>
      <w:r>
        <w:t xml:space="preserve">(unchanged);</w:t>
      </w:r>
      <w:r>
        <w:t xml:space="preserve"> </w:t>
      </w:r>
      <w:r>
        <w:rPr>
          <w:bCs/>
          <w:b/>
        </w:rPr>
        <w:t xml:space="preserve">C12</w:t>
      </w:r>
      <w:r>
        <w:t xml:space="preserve"> </w:t>
      </w:r>
      <w:r>
        <w:t xml:space="preserve">remains INFO. We did not newly block any build — that would change builder behaviour beyond scope and risk false-blocking legitimate frameworks. Authors are</w:t>
      </w:r>
      <w:r>
        <w:t xml:space="preserve"> </w:t>
      </w:r>
      <w:r>
        <w:rPr>
          <w:iCs/>
          <w:i/>
        </w:rPr>
        <w:t xml:space="preserve">warned early</w:t>
      </w:r>
      <w:r>
        <w:t xml:space="preserve">; they are not newly</w:t>
      </w:r>
      <w:r>
        <w:t xml:space="preserve"> </w:t>
      </w:r>
      <w:r>
        <w:rPr>
          <w:iCs/>
          <w:i/>
        </w:rPr>
        <w:t xml:space="preserve">stopped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shared guidance constant.</w:t>
      </w:r>
      <w:r>
        <w:t xml:space="preserve"> </w:t>
      </w:r>
      <w:r>
        <w:rPr>
          <w:rStyle w:val="VerbatimChar"/>
        </w:rPr>
        <w:t xml:space="preserve">COUNTABLE_REWRITE_GUIDANCE</w:t>
      </w:r>
      <w:r>
        <w:t xml:space="preserve"> </w:t>
      </w:r>
      <w:r>
        <w:t xml:space="preserve">is defined once and consumed by both the new build-time path and the existing</w:t>
      </w:r>
      <w:r>
        <w:t xml:space="preserve"> </w:t>
      </w:r>
      <w:r>
        <w:rPr>
          <w:rStyle w:val="VerbatimChar"/>
        </w:rPr>
        <w:t xml:space="preserve">edit-proposer.ts</w:t>
      </w:r>
      <w:r>
        <w:t xml:space="preserve"> </w:t>
      </w:r>
      <w:r>
        <w:t xml:space="preserve">post-hoc multi-run rationale — no duplicated wording.</w:t>
      </w:r>
    </w:p>
    <w:bookmarkEnd w:id="23"/>
    <w:bookmarkStart w:id="24" w:name="how-you-validate-it"/>
    <w:p>
      <w:pPr>
        <w:pStyle w:val="Heading3"/>
      </w:pPr>
      <w:r>
        <w:t xml:space="preserve">3.3 How you validate it</w:t>
      </w:r>
    </w:p>
    <w:p>
      <w:pPr>
        <w:pStyle w:val="FirstParagraph"/>
      </w:pPr>
      <w:r>
        <w:t xml:space="preserve">Create a new framework in Framework Builder V2 with a deliberately vague verdict criterion (e.g. a measure that turns on an unquantified degree word like</w:t>
      </w:r>
      <w:r>
        <w:t xml:space="preserve"> </w:t>
      </w:r>
      <w:r>
        <w:t xml:space="preserve">“</w:t>
      </w:r>
      <w:r>
        <w:t xml:space="preserve">substantial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adequate</w:t>
      </w:r>
      <w:r>
        <w:t xml:space="preserve">”</w:t>
      </w:r>
      <w:r>
        <w:t xml:space="preserve">). The builder’s measure-design diagnostic should surface a</w:t>
      </w:r>
      <w:r>
        <w:t xml:space="preserve"> </w:t>
      </w:r>
      <w:r>
        <w:rPr>
          <w:rStyle w:val="VerbatimChar"/>
        </w:rPr>
        <w:t xml:space="preserve">verdict_instability_risk</w:t>
      </w:r>
      <w:r>
        <w:t xml:space="preserve"> </w:t>
      </w:r>
      <w:r>
        <w:t xml:space="preserve">advisory for that measure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you run any scoring — pointing at the specific ambiguity and the countable-rewrite guidance. A tightly-quantified measure should produce no such advisory. Because the check is framework-agnostic, the same behaviour holds for any topic.</w:t>
      </w:r>
    </w:p>
    <w:bookmarkEnd w:id="24"/>
    <w:bookmarkStart w:id="25" w:name="why-this-is-verdict-invariant"/>
    <w:p>
      <w:pPr>
        <w:pStyle w:val="Heading3"/>
      </w:pPr>
      <w:r>
        <w:t xml:space="preserve">3.4 Why this is verdict-invariant</w:t>
      </w:r>
    </w:p>
    <w:p>
      <w:pPr>
        <w:pStyle w:val="FirstParagraph"/>
      </w:pPr>
      <w:r>
        <w:t xml:space="preserve">The classifier runs at</w:t>
      </w:r>
      <w:r>
        <w:t xml:space="preserve"> </w:t>
      </w:r>
      <w:r>
        <w:rPr>
          <w:bCs/>
          <w:b/>
        </w:rPr>
        <w:t xml:space="preserve">build/author time</w:t>
      </w:r>
      <w:r>
        <w:t xml:space="preserve"> </w:t>
      </w:r>
      <w:r>
        <w:t xml:space="preserve">and emits</w:t>
      </w:r>
      <w:r>
        <w:t xml:space="preserve"> </w:t>
      </w:r>
      <w:r>
        <w:rPr>
          <w:bCs/>
          <w:b/>
        </w:rPr>
        <w:t xml:space="preserve">advisory text only</w:t>
      </w:r>
      <w:r>
        <w:t xml:space="preserve">. It does not touch the analyzer, the scoring prompt, the evidence pack, self-consistency, or any lever. No existing framework’s scores change.</w:t>
      </w:r>
      <w:r>
        <w:t xml:space="preserve"> </w:t>
      </w:r>
      <w:r>
        <w:rPr>
          <w:bCs/>
          <w:b/>
        </w:rPr>
        <w:t xml:space="preserve">Yes→No = 0, No→Yes = 0.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40e2e0d54ce86c315c2efb309fcc9297e527960"/>
    <w:p>
      <w:pPr>
        <w:pStyle w:val="Heading2"/>
      </w:pPr>
      <w:r>
        <w:t xml:space="preserve">4. Agnosticism re-sweep (Part B, commit</w:t>
      </w:r>
      <w:r>
        <w:t xml:space="preserve"> </w:t>
      </w:r>
      <w:r>
        <w:rPr>
          <w:rStyle w:val="VerbatimChar"/>
        </w:rPr>
        <w:t xml:space="preserve">a3df49a</w:t>
      </w:r>
      <w:r>
        <w:t xml:space="preserve"> </w:t>
      </w:r>
      <w:r>
        <w:t xml:space="preserve">— documentation only)</w:t>
      </w:r>
    </w:p>
    <w:p>
      <w:pPr>
        <w:pStyle w:val="FirstParagraph"/>
      </w:pPr>
      <w:r>
        <w:t xml:space="preserve">A full-app re-sweep of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client/src/</w:t>
      </w:r>
      <w:r>
        <w:t xml:space="preserve"> </w:t>
      </w:r>
      <w:r>
        <w:t xml:space="preserve">was run for topic-specific literals (AI/ML/LLM/AGI/GPAI, ESG/climate/nature families), company names / tickers / ISINs from the original AI-governance roster, and any hardcoded framework-id / measure-id / measure-name strings that</w:t>
      </w:r>
      <w:r>
        <w:t xml:space="preserve"> </w:t>
      </w:r>
      <w:r>
        <w:rPr>
          <w:bCs/>
          <w:b/>
        </w:rPr>
        <w:t xml:space="preserve">gate</w:t>
      </w:r>
      <w:r>
        <w:t xml:space="preserve"> </w:t>
      </w:r>
      <w:r>
        <w:t xml:space="preserve">behaviour. The verbatim greps and the full findings table are recorded in</w:t>
      </w:r>
      <w:r>
        <w:t xml:space="preserve"> </w:t>
      </w:r>
      <w:r>
        <w:rPr>
          <w:rStyle w:val="VerbatimChar"/>
        </w:rPr>
        <w:t xml:space="preserve">GENERICNESS_AUDIT.md</w:t>
      </w:r>
      <w:r>
        <w:t xml:space="preserve"> </w:t>
      </w:r>
      <w:r>
        <w:t xml:space="preserve">§5.</w:t>
      </w:r>
    </w:p>
    <w:p>
      <w:pPr>
        <w:pStyle w:val="BodyText"/>
      </w:pPr>
      <w:r>
        <w:rPr>
          <w:bCs/>
          <w:b/>
        </w:rPr>
        <w:t xml:space="preserve">Result: no code fixes required.</w:t>
      </w:r>
      <w:r>
        <w:t xml:space="preserve"> </w:t>
      </w:r>
      <w:r>
        <w:t xml:space="preserve">The sweep found</w:t>
      </w:r>
      <w:r>
        <w:t xml:space="preserve"> </w:t>
      </w:r>
      <w:r>
        <w:rPr>
          <w:bCs/>
          <w:b/>
        </w:rPr>
        <w:t xml:space="preserve">no genuine hidden single-topic or single-company gate</w:t>
      </w:r>
      <w:r>
        <w:t xml:space="preserve">. Every topic/company literal encountered falls into one of four benign classes, each reviewed and kept: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Multi-topic illustrative prompt examples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intake-prompt.ts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topic-lexicon.ts</w:t>
      </w:r>
      <w:r>
        <w:t xml:space="preserve"> </w:t>
      </w:r>
      <w:r>
        <w:t xml:space="preserve">list TNFD/TCFD/SBTi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LLM/AGI/GPAI side by side) — these teach the model to emit the right acronyms for</w:t>
      </w:r>
      <w:r>
        <w:t xml:space="preserve"> </w:t>
      </w:r>
      <w:r>
        <w:rPr>
          <w:iCs/>
          <w:i/>
        </w:rPr>
        <w:t xml:space="preserve">whatever</w:t>
      </w:r>
      <w:r>
        <w:t xml:space="preserve"> </w:t>
      </w:r>
      <w:r>
        <w:t xml:space="preserve">topic it is given; removing them weakens every topic equally.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Regression comments and test fixtures</w:t>
      </w:r>
      <w:r>
        <w:t xml:space="preserve"> </w:t>
      </w:r>
      <w:r>
        <w:t xml:space="preserve">(including the Prudential ISIN motivation comment for the R5e domain bug) — not production gates.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Universal framework-pillar / disclosure-document / document-format constructs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passage-retrieval.ts</w:t>
      </w:r>
      <w:r>
        <w:t xml:space="preserve"> </w:t>
      </w:r>
      <w:r>
        <w:t xml:space="preserve">routes on pillar names like Governance/Strategy/Risk/Metrics that every disclosure framework (TCFD/TNFD/ISSB) shares; discovery queries are built from</w:t>
      </w:r>
      <w:r>
        <w:t xml:space="preserve"> </w:t>
      </w:r>
      <w:r>
        <w:rPr>
          <w:rStyle w:val="VerbatimChar"/>
        </w:rPr>
        <w:t xml:space="preserve">framework.name</w:t>
      </w:r>
      <w:r>
        <w:t xml:space="preserve"> </w:t>
      </w:r>
      <w:r>
        <w:t xml:space="preserve">at runtime and explicitly instructed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to emit generic ESG queries unless that is the topic;</w:t>
      </w:r>
      <w:r>
        <w:t xml:space="preserve"> </w:t>
      </w:r>
      <w:r>
        <w:rPr>
          <w:rStyle w:val="VerbatimChar"/>
        </w:rPr>
        <w:t xml:space="preserve">CSRD_TABLE_NOTATION_NOTE</w:t>
      </w:r>
      <w:r>
        <w:t xml:space="preserve"> </w:t>
      </w:r>
      <w:r>
        <w:t xml:space="preserve">is a PDF-format parsing aid.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Scoring infrastructure</w:t>
      </w:r>
      <w:r>
        <w:t xml:space="preserve"> </w:t>
      </w:r>
      <w:r>
        <w:t xml:space="preserve">— model/provider names (deepseek, openai, anthropic, mistral, gemini, …) identify which model to call, not entities being scored.</w:t>
      </w:r>
    </w:p>
    <w:p>
      <w:pPr>
        <w:pStyle w:val="FirstParagraph"/>
      </w:pPr>
      <w:r>
        <w:t xml:space="preserve">Topic-specific behaviour throughout the app is derived</w:t>
      </w:r>
      <w:r>
        <w:t xml:space="preserve"> </w:t>
      </w:r>
      <w:r>
        <w:rPr>
          <w:bCs/>
          <w:b/>
        </w:rPr>
        <w:t xml:space="preserve">at runtime</w:t>
      </w:r>
      <w:r>
        <w:t xml:space="preserve"> </w:t>
      </w:r>
      <w:r>
        <w:t xml:space="preserve">from the framework’s own</w:t>
      </w:r>
      <w:r>
        <w:t xml:space="preserve"> </w:t>
      </w:r>
      <w:r>
        <w:rPr>
          <w:rStyle w:val="VerbatimChar"/>
        </w:rPr>
        <w:t xml:space="preserve">topicTerm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topicDescription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topicSynonyms</w:t>
      </w:r>
      <w:r>
        <w:t xml:space="preserve"> </w:t>
      </w:r>
      <w:r>
        <w:t xml:space="preserve">/ terminology and from the company record — never baked into shared code. The app and Framework Builder V2 are</w:t>
      </w:r>
      <w:r>
        <w:t xml:space="preserve"> </w:t>
      </w:r>
      <w:r>
        <w:rPr>
          <w:bCs/>
          <w:b/>
        </w:rPr>
        <w:t xml:space="preserve">confirmed topic-agnostic at the gating level</w:t>
      </w:r>
      <w:r>
        <w:t xml:space="preserve">.</w:t>
      </w:r>
    </w:p>
    <w:bookmarkStart w:id="27" w:name="X164e197b1d0668d64eb67468aaec1de3a8aa8fa"/>
    <w:p>
      <w:pPr>
        <w:pStyle w:val="Heading3"/>
      </w:pPr>
      <w:r>
        <w:t xml:space="preserve">4.1 One residual risk — flagged for your decision, deliberately NOT changed</w:t>
      </w:r>
    </w:p>
    <w:p>
      <w:pPr>
        <w:pStyle w:val="FirstParagraph"/>
      </w:pPr>
      <w:r>
        <w:t xml:space="preserve">The scoring system prompt (</w:t>
      </w:r>
      <w:r>
        <w:rPr>
          <w:rStyle w:val="VerbatimChar"/>
        </w:rPr>
        <w:t xml:space="preserve">analyzer.ts:569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:725</w:t>
      </w:r>
      <w:r>
        <w:t xml:space="preserve">) opens with the persona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an expert ESG/governance analyst scoring corporate disclosures…</w:t>
      </w:r>
      <w:r>
        <w:rPr>
          <w:iCs/>
          <w:i/>
        </w:rPr>
        <w:t xml:space="preserve">”</w:t>
      </w:r>
      <w:r>
        <w:t xml:space="preserve">. For ESG-family topics (including AI</w:t>
      </w:r>
      <w:r>
        <w:t xml:space="preserve"> </w:t>
      </w:r>
      <w:r>
        <w:rPr>
          <w:bCs/>
          <w:b/>
        </w:rPr>
        <w:t xml:space="preserve">governance</w:t>
      </w:r>
      <w:r>
        <w:t xml:space="preserve">, the product’s first target) this is on-topic; for a hypothetical non-ESG framework it is a mild framing</w:t>
      </w:r>
      <w:r>
        <w:t xml:space="preserve"> </w:t>
      </w:r>
      <w:r>
        <w:rPr>
          <w:bCs/>
          <w:b/>
        </w:rPr>
        <w:t xml:space="preserve">prior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It is</w:t>
      </w:r>
      <w:r>
        <w:t xml:space="preserve"> </w:t>
      </w:r>
      <w:r>
        <w:rPr>
          <w:bCs/>
          <w:b/>
        </w:rPr>
        <w:t xml:space="preserve">not a gate.</w:t>
      </w:r>
      <w:r>
        <w:t xml:space="preserve"> </w:t>
      </w:r>
      <w:r>
        <w:t xml:space="preserve">The real subject is injected at runtime via</w:t>
      </w:r>
      <w:r>
        <w:t xml:space="preserve"> </w:t>
      </w:r>
      <w:r>
        <w:rPr>
          <w:rStyle w:val="VerbatimChar"/>
        </w:rPr>
        <w:t xml:space="preserve">Topic: ${topicDescription}</w:t>
      </w:r>
      <w:r>
        <w:t xml:space="preserve"> </w:t>
      </w:r>
      <w:r>
        <w:t xml:space="preserve">and the anti-inference rules derive from</w:t>
      </w:r>
      <w:r>
        <w:t xml:space="preserve"> </w:t>
      </w:r>
      <w:r>
        <w:rPr>
          <w:rStyle w:val="VerbatimChar"/>
        </w:rPr>
        <w:t xml:space="preserve">framework.topicTerm</w:t>
      </w:r>
      <w:r>
        <w:t xml:space="preserve">. The persona cannot pin the output to any one topic or company.</w:t>
      </w:r>
    </w:p>
    <w:p>
      <w:pPr>
        <w:numPr>
          <w:ilvl w:val="0"/>
          <w:numId w:val="1005"/>
        </w:numPr>
        <w:pStyle w:val="Compact"/>
      </w:pPr>
      <w:r>
        <w:t xml:space="preserve">It was</w:t>
      </w:r>
      <w:r>
        <w:t xml:space="preserve"> </w:t>
      </w:r>
      <w:r>
        <w:rPr>
          <w:bCs/>
          <w:b/>
        </w:rPr>
        <w:t xml:space="preserve">left unchanged on purpose.</w:t>
      </w:r>
      <w:r>
        <w:t xml:space="preserve"> </w:t>
      </w:r>
      <w:r>
        <w:t xml:space="preserve">Editing the live scoring prompt is a</w:t>
      </w:r>
      <w:r>
        <w:t xml:space="preserve"> </w:t>
      </w:r>
      <w:r>
        <w:rPr>
          <w:bCs/>
          <w:b/>
        </w:rPr>
        <w:t xml:space="preserve">verdict-affecting runtime change</w:t>
      </w:r>
      <w:r>
        <w:t xml:space="preserve"> </w:t>
      </w:r>
      <w:r>
        <w:t xml:space="preserve">— on genuinely borderline measures a reworded persona could flip cells — which is (a) outside this turn’s build-time/advisory + agnosticism-refactor scope, and (b) impossible to validate without running a scoring batch, which is prohibited here.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Recommended future handling (your call):</w:t>
      </w:r>
      <w:r>
        <w:t xml:space="preserve"> </w:t>
      </w:r>
      <w:r>
        <w:t xml:space="preserve">generalise the persona to a neutral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expert analyst scoring corporate disclosures against a structured assessment framework</w:t>
      </w:r>
      <w:r>
        <w:rPr>
          <w:iCs/>
          <w:i/>
        </w:rPr>
        <w:t xml:space="preserve">”</w:t>
      </w:r>
      <w:r>
        <w:t xml:space="preserve">, then validate verdict stability on a frozen corpus before shipping.</w:t>
      </w:r>
      <w:r>
        <w:t xml:space="preserve"> </w:t>
      </w:r>
      <w:r>
        <w:rPr>
          <w:bCs/>
          <w:b/>
        </w:rPr>
        <w:t xml:space="preserve">This needs an explicit go-ahead and an accepted scoring-batch cost</w:t>
      </w:r>
      <w:r>
        <w:t xml:space="preserve"> </w:t>
      </w:r>
      <w:r>
        <w:t xml:space="preserve">— tell me if you want it scoped as its own change.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ates-all-green"/>
    <w:p>
      <w:pPr>
        <w:pStyle w:val="Heading2"/>
      </w:pPr>
      <w:r>
        <w:t xml:space="preserve">5. Gates (all green)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  <w:r>
              <w:t xml:space="preserve"> </w:t>
            </w:r>
            <w:r>
              <w:t xml:space="preserve">(server)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pre-existing errors before →</w:t>
            </w:r>
            <w:r>
              <w:t xml:space="preserve"> </w:t>
            </w:r>
            <w:r>
              <w:rPr>
                <w:bCs/>
                <w:b/>
              </w:rPr>
              <w:t xml:space="preserve">62 after</w:t>
            </w:r>
            <w:r>
              <w:t xml:space="preserve"> </w:t>
            </w:r>
            <w:r>
              <w:t xml:space="preserve">— 0 new from changed files (the +1 vs an earlier</w:t>
            </w:r>
            <w:r>
              <w:t xml:space="preserve"> </w:t>
            </w:r>
            <w:r>
              <w:t xml:space="preserve">“</w:t>
            </w:r>
            <w:r>
              <w:t xml:space="preserve">61</w:t>
            </w:r>
            <w:r>
              <w:t xml:space="preserve">”</w:t>
            </w:r>
            <w:r>
              <w:t xml:space="preserve"> </w:t>
            </w:r>
            <w:r>
              <w:t xml:space="preserve">note is pre-existing drift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not from this work)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Framework-builder test suite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370 / 370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client code touched → no</w:t>
            </w:r>
            <w:r>
              <w:t xml:space="preserve"> </w:t>
            </w:r>
            <w:r>
              <w:rPr>
                <w:rStyle w:val="VerbatimChar"/>
              </w:rPr>
              <w:t xml:space="preserve">vite build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Yes→No = 0, No→Yes = 0, Total flips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HEAD == origin/main == production app == production worker ==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a3df49a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straint-compliance"/>
    <w:p>
      <w:pPr>
        <w:pStyle w:val="Heading2"/>
      </w:pPr>
      <w:r>
        <w:t xml:space="preserve">6. Constraint compliance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Code tested == code in production.</w:t>
      </w:r>
      <w:r>
        <w:t xml:space="preserve"> </w:t>
      </w:r>
      <w:r>
        <w:t xml:space="preserve">HEAD == origin/main == both production Railway services ==</w:t>
      </w:r>
      <w:r>
        <w:t xml:space="preserve"> </w:t>
      </w:r>
      <w:r>
        <w:rPr>
          <w:rStyle w:val="VerbatimChar"/>
        </w:rPr>
        <w:t xml:space="preserve">a3df49a</w:t>
      </w:r>
      <w:r>
        <w:t xml:space="preserve">; the builder suite ran against exactly that tree.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Yes→No / No→Yes totals in summary tables.</w:t>
      </w:r>
      <w:r>
        <w:t xml:space="preserve"> </w:t>
      </w:r>
      <w:r>
        <w:t xml:space="preserve">0 / 0 / 0 — stated above; the work is build-time/advisory (Part A) and documentation (Part B), verdict-invariant by construction.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Framework-level, not company/topic-specific.</w:t>
      </w:r>
      <w:r>
        <w:t xml:space="preserve"> </w:t>
      </w:r>
      <w:r>
        <w:t xml:space="preserve">The stability classifier is a pure topic-agnostic module in the builder; the agnosticism sweep confirmed 0 hidden gates.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Relevant text never dropped.</w:t>
      </w:r>
      <w:r>
        <w:t xml:space="preserve"> </w:t>
      </w:r>
      <w:r>
        <w:t xml:space="preserve">Part A emits advisory flags only; Part B is docs. No retrieval, trim, or B5 change — B5 stays in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Phase 2 — no human review of thousands of companies.</w:t>
      </w:r>
      <w:r>
        <w:t xml:space="preserve"> </w:t>
      </w:r>
      <w:r>
        <w:t xml:space="preserve">The builder hardening is automatic at author time; no per-result human review was added.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2026-10-19T11:32:56Z</dcterms:created>
  <dcterms:modified xsi:type="dcterms:W3CDTF">2026-10-19T11:32:56Z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