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A Turing-Complete Resistance-Based Isomorphism for Probabilistic Computation</w:t>
      </w:r>
    </w:p>
    <w:p>
      <w:pPr>
        <w:spacing w:before="200" w:after="100"/>
        <w:jc w:val="center"/>
      </w:pPr>
      <w:r>
        <w:rPr>
          <w:b/>
          <w:bCs/>
          <w:sz w:val="24"/>
          <w:szCs w:val="24"/>
        </w:rPr>
        <w:t xml:space="preserve">Alexander Pisani</w:t>
      </w:r>
    </w:p>
    <w:p>
      <w:pPr>
        <w:spacing w:after="100"/>
        <w:jc w:val="center"/>
      </w:pPr>
      <w:r>
        <w:rPr>
          <w:sz w:val="22"/>
          <w:szCs w:val="22"/>
        </w:rPr>
        <w:t xml:space="preserve">a.h.pisani.research@gmail.com</w:t>
      </w:r>
    </w:p>
    <w:p>
      <w:pPr>
        <w:spacing w:after="200"/>
        <w:jc w:val="center"/>
      </w:pPr>
      <w:r>
        <w:rPr>
          <w:sz w:val="22"/>
          <w:szCs w:val="22"/>
        </w:rPr>
        <w:t xml:space="preserve">December 2025</w:t>
      </w:r>
    </w:p>
    <w:p>
      <w:pPr>
        <w:spacing w:after="400"/>
        <w:jc w:val="center"/>
      </w:pPr>
      <w:r>
        <w:rPr>
          <w:i/>
          <w:iCs/>
          <w:sz w:val="22"/>
          <w:szCs w:val="22"/>
        </w:rPr>
        <w:t xml:space="preserve">Submitted for Review</w:t>
      </w:r>
    </w:p>
    <w:p>
      <w:pPr>
        <w:pStyle w:val="Heading1"/>
      </w:pPr>
      <w:r>
        <w:t xml:space="preserve">Abstract</w:t>
      </w:r>
    </w:p>
    <w:p>
      <w:pPr>
        <w:spacing w:after="120"/>
      </w:pPr>
      <w:r>
        <w:t xml:space="preserve">This paper establishes a rigorous isomorphism between number-theoretic structures and informational resistance, grounded in the epistemological principle that any computational system embedded within an information structure cannot fully characterize its own substrate.</w:t>
      </w:r>
    </w:p>
    <w:p>
      <w:pPr>
        <w:spacing w:after="120"/>
      </w:pPr>
      <w:r>
        <w:t xml:space="preserve">The fundamental objects are </w:t>
      </w:r>
      <w:r>
        <w:rPr>
          <w:b/>
          <w:bCs/>
        </w:rPr>
        <w:t xml:space="preserve">inverse integers</w:t>
      </w:r>
      <w:r>
        <w:t xml:space="preserve"> (1/n where n ∈ ℤ⁺), which naturally inhabit the interval (0,1]. The mapping Ω(1/n) = ln(n) transforms multiplication into addition, establishing a monoid isomorphism from ({1/n : n ∈ ℤ⁺}, ×) to ({ln(n) : n ∈ ℤ⁺}, +). This mapping is proven unique up to multiplicative constant (Theorem 2.4).</w:t>
      </w:r>
    </w:p>
    <w:p>
      <w:pPr>
        <w:spacing w:after="120"/>
      </w:pPr>
      <w:r>
        <w:t xml:space="preserve">The correspondence extends across four equivalent representations: natural language, inverse integers, circuit topology, and prime coordinate vectors. For set-theoretic operations on squarefree encodings: </w:t>
      </w:r>
      <w:r>
        <w:rPr>
          <w:b/>
          <w:bCs/>
        </w:rPr>
        <w:t xml:space="preserve">Intersection</w:t>
      </w:r>
      <w:r>
        <w:t xml:space="preserve"> corresponds to GCD with resistance Ω_gcd (Theorem 9.1); </w:t>
      </w:r>
      <w:r>
        <w:rPr>
          <w:b/>
          <w:bCs/>
        </w:rPr>
        <w:t xml:space="preserve">Union</w:t>
      </w:r>
      <w:r>
        <w:t xml:space="preserve"> corresponds to LCM with resistance Ω_a + Ω_b − Ω_gcd (Theorem 4.2); </w:t>
      </w:r>
      <w:r>
        <w:rPr>
          <w:b/>
          <w:bCs/>
        </w:rPr>
        <w:t xml:space="preserve">Complement</w:t>
      </w:r>
      <w:r>
        <w:t xml:space="preserve"> requires extension to positive rationals via phase interference.</w:t>
      </w:r>
    </w:p>
    <w:p>
      <w:pPr>
        <w:spacing w:after="120"/>
      </w:pPr>
      <w:r>
        <w:t xml:space="preserve">A foundational principle emerges: the </w:t>
      </w:r>
      <w:r>
        <w:rPr>
          <w:b/>
          <w:bCs/>
        </w:rPr>
        <w:t xml:space="preserve">Open Interval Principle</w:t>
      </w:r>
      <w:r>
        <w:t xml:space="preserve"> states that the framework operates exclusively in (0,1), with certainty and impossibility as limit points that can be approached but never reached.</w:t>
      </w:r>
    </w:p>
    <w:p>
      <w:pPr>
        <w:spacing w:after="120"/>
      </w:pPr>
      <w:r>
        <w:t xml:space="preserve">We validate the framework by deriving the coprimality probability 6/π² through all four layers (Theorem 8.1). We demonstrate that relational database operations map exactly to number-theoretic operations, with both domains forming instances of a distributive lattice. We establish Turing completeness by explicit counter machine simulation using Gödel numbering with prime exponents as registers (Theorem 10.4).</w:t>
      </w:r>
    </w:p>
    <w:p>
      <w:pPr>
        <w:spacing w:after="200"/>
      </w:pPr>
      <w:r>
        <w:t xml:space="preserve">Prime numbers are characterized as the irreducible elements—integers n &gt; 1 whose resistance ln(n) cannot be expressed as a sum of smaller resistances (Theorem 11.2).</w:t>
      </w:r>
    </w:p>
    <w:p>
      <w:r>
        <w:br w:type="page"/>
      </w:r>
    </w:p>
    <w:p>
      <w:pPr>
        <w:spacing w:before="200" w:after="200"/>
        <w:jc w:val="center"/>
      </w:pPr>
      <w:r>
        <w:rPr>
          <w:b/>
          <w:bCs/>
          <w:sz w:val="28"/>
          <w:szCs w:val="28"/>
        </w:rPr>
        <w:t xml:space="preserve">PART I: FOUNDATIONS</w:t>
      </w:r>
    </w:p>
    <w:p>
      <w:pPr>
        <w:pStyle w:val="Heading1"/>
      </w:pPr>
      <w:r>
        <w:t xml:space="preserve">1. Introduction</w:t>
      </w:r>
    </w:p>
    <w:p>
      <w:pPr>
        <w:spacing w:after="120"/>
      </w:pPr>
      <w:r>
        <w:t xml:space="preserve">The prime numbers have fascinated mathematicians for millennia. They appear to be fundamental building blocks of arithmetic, yet their distribution along the number line exhibits patterns that remain mysterious despite centuries of study. This paper takes a novel approach: rather than treating primes as given mathematical objects, we develop a computational framework in which primes emerge as the </w:t>
      </w:r>
      <w:r>
        <w:rPr>
          <w:b/>
          <w:bCs/>
        </w:rPr>
        <w:t xml:space="preserve">irreducible elements</w:t>
      </w:r>
      <w:r>
        <w:t xml:space="preserve"> of an informational structure.</w:t>
      </w:r>
    </w:p>
    <w:p>
      <w:pPr>
        <w:pStyle w:val="Heading2"/>
      </w:pPr>
      <w:r>
        <w:t xml:space="preserve">1.1 The Central Insight</w:t>
      </w:r>
    </w:p>
    <w:p>
      <w:pPr>
        <w:spacing w:after="120"/>
      </w:pPr>
      <w:r>
        <w:t xml:space="preserve">The </w:t>
      </w:r>
      <w:r>
        <w:rPr>
          <w:b/>
          <w:bCs/>
        </w:rPr>
        <w:t xml:space="preserve">inverse integers</w:t>
      </w:r>
      <w:r>
        <w:t xml:space="preserve"> are numbers of the form 1/n where n is a positive integer. These objects naturally inhabit the interval (0,1], the same domain as probabilities.</w:t>
      </w:r>
    </w:p>
    <w:p>
      <w:pPr>
        <w:spacing w:after="120"/>
      </w:pPr>
      <w:r>
        <w:t xml:space="preserve">The structure of multiplication maps onto addition under the logarithm:</w:t>
      </w:r>
    </w:p>
    <w:p>
      <w:pPr>
        <w:spacing w:before="120" w:after="120"/>
        <w:jc w:val="center"/>
      </w:pPr>
      <w:r>
        <w:rPr>
          <w:i/>
          <w:iCs/>
        </w:rPr>
        <w:t xml:space="preserve">Ω(P₁ × P₂) = Ω(P₁) + Ω(P₂)</w:t>
      </w:r>
    </w:p>
    <w:p>
      <w:pPr>
        <w:spacing w:after="120"/>
      </w:pPr>
      <w:r>
        <w:t xml:space="preserve">where Ω(1/n) = ln(n). This is an exact algebraic isomorphism.</w:t>
      </w:r>
    </w:p>
    <w:p>
      <w:pPr>
        <w:pStyle w:val="Heading2"/>
      </w:pPr>
      <w:r>
        <w:t xml:space="preserve">1.2 The Philosophical Foundation</w:t>
      </w:r>
    </w:p>
    <w:p>
      <w:pPr>
        <w:spacing w:after="120"/>
      </w:pPr>
      <w:r>
        <w:t xml:space="preserve">A key philosophical principle underlies this framework, emerging from the epistemological observation that </w:t>
      </w:r>
      <w:r>
        <w:rPr>
          <w:b/>
          <w:bCs/>
        </w:rPr>
        <w:t xml:space="preserve">a computational system embedded within an information structure cannot fully characterize its own substrate</w:t>
      </w:r>
      <w:r>
        <w:t xml:space="preserve">.</w:t>
      </w:r>
    </w:p>
    <w:p>
      <w:pPr>
        <w:spacing w:after="120"/>
      </w:pPr>
      <w:r>
        <w:t xml:space="preserve">This principle—which we term </w:t>
      </w:r>
      <w:r>
        <w:rPr>
          <w:i/>
          <w:iCs/>
        </w:rPr>
        <w:t xml:space="preserve">virtual-virtual dualism</w:t>
      </w:r>
      <w:r>
        <w:t xml:space="preserve">—recognizes that just as we cannot prove we are not a "brain in a vat," and just as a virtual machine cannot determine with certainty whether its host is itself virtual, any conscious observer faces an epistemic barrier between observation and the "true" nature of the projecting system.</w:t>
      </w:r>
    </w:p>
    <w:p>
      <w:pPr>
        <w:spacing w:after="120"/>
      </w:pPr>
      <w:r>
        <w:rPr>
          <w:b/>
          <w:bCs/>
        </w:rPr>
        <w:t xml:space="preserve">Resistances are relational rather than absolute.</w:t>
      </w:r>
      <w:r>
        <w:t xml:space="preserve"> Given two inverse primes 1/p and 1/q, we can determine that the resistance of 1/p exceeds that of 1/q when p &gt; q. We can compute their ratio: Ω(1/p)/Ω(1/q) = ln(p)/ln(q). However, the absolute magnitude of any individual resistance depends on a reference scale that remains unspecified within the system.</w:t>
      </w:r>
    </w:p>
    <w:p>
      <w:pPr>
        <w:spacing w:after="120"/>
      </w:pPr>
      <w:r>
        <w:rPr>
          <w:b/>
          <w:bCs/>
        </w:rPr>
        <w:t xml:space="preserve">The hypothetical voltage V.</w:t>
      </w:r>
      <w:r>
        <w:t xml:space="preserve"> The framework posits an unknown voltage V that drives current through circuits. This voltage is never directly measured—only the relative conductances and resistances matter for computation.</w:t>
      </w:r>
    </w:p>
    <w:p>
      <w:pPr>
        <w:pStyle w:val="Heading2"/>
      </w:pPr>
      <w:r>
        <w:t xml:space="preserve">1.3 The Open Interval Principle</w:t>
      </w:r>
    </w:p>
    <w:p>
      <w:pPr>
        <w:spacing w:after="120"/>
      </w:pPr>
      <w:r>
        <w:t xml:space="preserve">A foundational discovery of this work is the </w:t>
      </w:r>
      <w:r>
        <w:rPr>
          <w:b/>
          <w:bCs/>
        </w:rPr>
        <w:t xml:space="preserve">Open Interval Principle</w:t>
      </w:r>
      <w:r>
        <w:t xml:space="preserve">: the framework operates exclusively in the open interval (0,1). The boundaries—absolute certainty (1) and absolute impossibility (0)—are limit points that can be approached but never reached.</w:t>
      </w:r>
    </w:p>
    <w:p>
      <w:pPr>
        <w:spacing w:after="120"/>
      </w:pPr>
      <w:r>
        <w:t xml:space="preserve">This is not a technical inconvenience; it is a fundamental feature reflecting deep truths across multiple domains:</w:t>
      </w:r>
    </w:p>
    <w:p>
      <w:pPr>
        <w:pStyle w:val="ListParagraph"/>
        <w:numPr>
          <w:ilvl w:val="0"/>
          <w:numId w:val="2"/>
        </w:numPr>
      </w:pPr>
      <w:r>
        <w:rPr>
          <w:b/>
          <w:bCs/>
        </w:rPr>
        <w:t xml:space="preserve">Epistemology</w:t>
      </w:r>
      <w:r>
        <w:t xml:space="preserve">: No observation can achieve absolute certainty.</w:t>
      </w:r>
    </w:p>
    <w:p>
      <w:pPr>
        <w:pStyle w:val="ListParagraph"/>
        <w:numPr>
          <w:ilvl w:val="0"/>
          <w:numId w:val="2"/>
        </w:numPr>
      </w:pPr>
      <w:r>
        <w:rPr>
          <w:b/>
          <w:bCs/>
        </w:rPr>
        <w:t xml:space="preserve">Information Theory</w:t>
      </w:r>
      <w:r>
        <w:t xml:space="preserve">: Infinite information cost means an event is outside the system's representational capacity.</w:t>
      </w:r>
    </w:p>
    <w:p>
      <w:pPr>
        <w:pStyle w:val="ListParagraph"/>
        <w:numPr>
          <w:ilvl w:val="0"/>
          <w:numId w:val="2"/>
        </w:numPr>
        <w:spacing w:after="120"/>
      </w:pPr>
      <w:r>
        <w:rPr>
          <w:b/>
          <w:bCs/>
        </w:rPr>
        <w:t xml:space="preserve">Mathematics</w:t>
      </w:r>
      <w:r>
        <w:t xml:space="preserve">: Division by zero is never encountered; infinity is a limit, not a value.</w:t>
      </w:r>
    </w:p>
    <w:p>
      <w:pPr>
        <w:pStyle w:val="Heading2"/>
      </w:pPr>
      <w:r>
        <w:t xml:space="preserve">1.4 The Four-Layer Framework</w:t>
      </w:r>
    </w:p>
    <w:p>
      <w:pPr>
        <w:spacing w:after="120"/>
      </w:pPr>
      <w:r>
        <w:t xml:space="preserve">Every computation can be expressed equivalently in four representations:</w:t>
      </w:r>
    </w:p>
    <w:p>
      <w:pPr>
        <w:pStyle w:val="ListParagraph"/>
        <w:numPr>
          <w:ilvl w:val="0"/>
          <w:numId w:val="3"/>
        </w:numPr>
      </w:pPr>
      <w:r>
        <w:rPr>
          <w:b/>
          <w:bCs/>
        </w:rPr>
        <w:t xml:space="preserve">English</w:t>
      </w:r>
      <w:r>
        <w:t xml:space="preserve">: Natural language description</w:t>
      </w:r>
    </w:p>
    <w:p>
      <w:pPr>
        <w:pStyle w:val="ListParagraph"/>
        <w:numPr>
          <w:ilvl w:val="0"/>
          <w:numId w:val="3"/>
        </w:numPr>
      </w:pPr>
      <w:r>
        <w:rPr>
          <w:b/>
          <w:bCs/>
        </w:rPr>
        <w:t xml:space="preserve">Inverse Integer</w:t>
      </w:r>
      <w:r>
        <w:t xml:space="preserve">: Values in (0,1] with arithmetic operations</w:t>
      </w:r>
    </w:p>
    <w:p>
      <w:pPr>
        <w:pStyle w:val="ListParagraph"/>
        <w:numPr>
          <w:ilvl w:val="0"/>
          <w:numId w:val="3"/>
        </w:numPr>
      </w:pPr>
      <w:r>
        <w:rPr>
          <w:b/>
          <w:bCs/>
        </w:rPr>
        <w:t xml:space="preserve">Circuit</w:t>
      </w:r>
      <w:r>
        <w:t xml:space="preserve">: Informational resistance topology with phase</w:t>
      </w:r>
    </w:p>
    <w:p>
      <w:pPr>
        <w:pStyle w:val="ListParagraph"/>
        <w:numPr>
          <w:ilvl w:val="0"/>
          <w:numId w:val="3"/>
        </w:numPr>
        <w:spacing w:after="120"/>
      </w:pPr>
      <w:r>
        <w:rPr>
          <w:b/>
          <w:bCs/>
        </w:rPr>
        <w:t xml:space="preserve">Vector Space</w:t>
      </w:r>
      <w:r>
        <w:t xml:space="preserve">: Prime coordinate vectors</w:t>
      </w:r>
    </w:p>
    <w:p>
      <w:pPr>
        <w:spacing w:after="200"/>
      </w:pPr>
      <w:r>
        <w:t xml:space="preserve">A proof in one layer translates to proofs in the others.</w:t>
      </w:r>
    </w:p>
    <w:p>
      <w:pPr>
        <w:pStyle w:val="Heading1"/>
      </w:pPr>
      <w:r>
        <w:t xml:space="preserve">2. The Fundamental Mapping</w:t>
      </w:r>
    </w:p>
    <w:p>
      <w:pPr>
        <w:pStyle w:val="Heading2"/>
      </w:pPr>
      <w:r>
        <w:t xml:space="preserve">2.1 Inverse Integers</w:t>
      </w:r>
    </w:p>
    <w:p>
      <w:pPr>
        <w:spacing w:after="120"/>
      </w:pPr>
      <w:r>
        <w:rPr>
          <w:b/>
          <w:bCs/>
        </w:rPr>
        <w:t xml:space="preserve">Definition 2.1.</w:t>
      </w:r>
      <w:r>
        <w:t xml:space="preserve"> An </w:t>
      </w:r>
      <w:r>
        <w:rPr>
          <w:b/>
          <w:bCs/>
        </w:rPr>
        <w:t xml:space="preserve">inverse integer</w:t>
      </w:r>
      <w:r>
        <w:t xml:space="preserve"> is a number of the form 1/n where n ∈ ℤ⁺. The set of inverse integers is denoted I = {1/n : n ∈ ℤ⁺} ⊂ (0, 1].</w:t>
      </w:r>
    </w:p>
    <w:p>
      <w:pPr>
        <w:spacing w:after="120"/>
      </w:pPr>
      <w:r>
        <w:t xml:space="preserve">Every inverse integer inherits unique prime factorization from its denominator:</w:t>
      </w:r>
    </w:p>
    <w:p>
      <w:pPr>
        <w:spacing w:before="120" w:after="120"/>
        <w:jc w:val="center"/>
      </w:pPr>
      <w:r>
        <w:rPr>
          <w:i/>
          <w:iCs/>
        </w:rPr>
        <w:t xml:space="preserve">1/n = 1/(p₁^a₁ × p₂^a₂ × ⋯ × pₖ^aₖ)</w:t>
      </w:r>
    </w:p>
    <w:p>
      <w:pPr>
        <w:pStyle w:val="Heading2"/>
      </w:pPr>
      <w:r>
        <w:t xml:space="preserve">2.2 Informational Resistance</w:t>
      </w:r>
    </w:p>
    <w:p>
      <w:pPr>
        <w:spacing w:after="120"/>
      </w:pPr>
      <w:r>
        <w:rPr>
          <w:b/>
          <w:bCs/>
        </w:rPr>
        <w:t xml:space="preserve">Definition 2.2 (Informational Resistance).</w:t>
      </w:r>
      <w:r>
        <w:t xml:space="preserve"> For an inverse integer 1/n, the informational resistance is:</w:t>
      </w:r>
    </w:p>
    <w:p>
      <w:pPr>
        <w:spacing w:before="120" w:after="120"/>
        <w:jc w:val="center"/>
      </w:pPr>
      <w:r>
        <w:rPr>
          <w:i/>
          <w:iCs/>
        </w:rPr>
        <w:t xml:space="preserve">Ω(1/n) := ln(n)</w:t>
      </w:r>
    </w:p>
    <w:p>
      <w:pPr>
        <w:spacing w:after="120"/>
      </w:pPr>
      <w:r>
        <w:rPr>
          <w:b/>
          <w:bCs/>
        </w:rPr>
        <w:t xml:space="preserve">Notation convention:</w:t>
      </w:r>
      <w:r>
        <w:t xml:space="preserve"> We write Ω_a to denote Ω(1/a) = ln(a).</w:t>
      </w:r>
    </w:p>
    <w:p>
      <w:pPr>
        <w:pStyle w:val="Heading2"/>
      </w:pPr>
      <w:r>
        <w:t xml:space="preserve">2.3 The Isomorphism Theorem</w:t>
      </w:r>
    </w:p>
    <w:p>
      <w:pPr>
        <w:spacing w:after="120"/>
      </w:pPr>
      <w:r>
        <w:rPr>
          <w:b/>
          <w:bCs/>
        </w:rPr>
        <w:t xml:space="preserve">Theorem 2.3 (Inverse Integer–Resistance Isomorphism).</w:t>
      </w:r>
      <w:r>
        <w:t xml:space="preserve"> The map Ω: I → ln(ℤ⁺) defined by Ω(1/n) = ln(n) is a monoid isomorphism from (I, ×) to (ln(ℤ⁺), +). That is:</w:t>
      </w:r>
    </w:p>
    <w:p>
      <w:pPr>
        <w:spacing w:before="120" w:after="120"/>
        <w:jc w:val="center"/>
      </w:pPr>
      <w:r>
        <w:rPr>
          <w:i/>
          <w:iCs/>
        </w:rPr>
        <w:t xml:space="preserve">Ω(1/a × 1/b) = Ω(1/a) + Ω(1/b)</w:t>
      </w:r>
    </w:p>
    <w:p>
      <w:pPr>
        <w:spacing w:after="120"/>
      </w:pPr>
      <w:r>
        <w:rPr>
          <w:b/>
          <w:bCs/>
        </w:rPr>
        <w:t xml:space="preserve">Proof.</w:t>
      </w:r>
      <w:r>
        <w:t xml:space="preserve"> Ω(1/ab) = ln(ab) = ln(a) + ln(b) = Ω(1/a) + Ω(1/b). The map is bijective: for each ln(n) ∈ ln(ℤ⁺), the unique preimage is 1/n. □</w:t>
      </w:r>
    </w:p>
    <w:p>
      <w:pPr>
        <w:pStyle w:val="Heading2"/>
      </w:pPr>
      <w:r>
        <w:t xml:space="preserve">2.4 Uniqueness</w:t>
      </w:r>
    </w:p>
    <w:p>
      <w:pPr>
        <w:spacing w:after="120"/>
      </w:pPr>
      <w:r>
        <w:rPr>
          <w:b/>
          <w:bCs/>
        </w:rPr>
        <w:t xml:space="preserve">Theorem 2.4 (Uniqueness).</w:t>
      </w:r>
      <w:r>
        <w:t xml:space="preserve"> Any continuous function f: (0, 1] → ℝ satisfying f(xy) = f(x) + f(y) has the form f(x) = c·ln(x) for some constant c.</w:t>
      </w:r>
    </w:p>
    <w:p>
      <w:pPr>
        <w:spacing w:after="120"/>
      </w:pPr>
      <w:r>
        <w:rPr>
          <w:b/>
          <w:bCs/>
        </w:rPr>
        <w:t xml:space="preserve">Corollary 2.5.</w:t>
      </w:r>
      <w:r>
        <w:t xml:space="preserve"> The resistance mapping Ω(P) = −ln(P) is forced (up to scale) by requiring series combination to be additive.</w:t>
      </w:r>
    </w:p>
    <w:p>
      <w:r>
        <w:br w:type="page"/>
      </w:r>
    </w:p>
    <w:p>
      <w:pPr>
        <w:spacing w:before="200" w:after="200"/>
        <w:jc w:val="center"/>
      </w:pPr>
      <w:r>
        <w:rPr>
          <w:b/>
          <w:bCs/>
          <w:sz w:val="28"/>
          <w:szCs w:val="28"/>
        </w:rPr>
        <w:t xml:space="preserve">PART II: BOOLEAN LOGIC</w:t>
      </w:r>
    </w:p>
    <w:p>
      <w:pPr>
        <w:pStyle w:val="Heading1"/>
      </w:pPr>
      <w:r>
        <w:t xml:space="preserve">3. Series Combination (Multiplication)</w:t>
      </w:r>
    </w:p>
    <w:p>
      <w:pPr>
        <w:pStyle w:val="Heading2"/>
      </w:pPr>
      <w:r>
        <w:t xml:space="preserve">3.1 The Series Correspondence</w:t>
      </w:r>
    </w:p>
    <w:p>
      <w:pPr>
        <w:spacing w:after="120"/>
      </w:pPr>
      <w:r>
        <w:rPr>
          <w:b/>
          <w:bCs/>
        </w:rPr>
        <w:t xml:space="preserve">Theorem 3.1 (Series Correspondence).</w:t>
      </w:r>
      <w:r>
        <w:t xml:space="preserve"> For inverse integers 1/a and 1/b:</w:t>
      </w:r>
    </w:p>
    <w:p>
      <w:pPr>
        <w:spacing w:before="120" w:after="120"/>
        <w:jc w:val="center"/>
      </w:pPr>
      <w:r>
        <w:rPr>
          <w:i/>
          <w:iCs/>
        </w:rPr>
        <w:t xml:space="preserve">(1/a) × (1/b) = 1/ab   and   Ω_ab = Ω_a + Ω_b</w:t>
      </w:r>
    </w:p>
    <w:p>
      <w:pPr>
        <w:pStyle w:val="Heading1"/>
      </w:pPr>
      <w:r>
        <w:t xml:space="preserve">4. Set-Theoretic Union: The LCM Correspondence</w:t>
      </w:r>
    </w:p>
    <w:p>
      <w:pPr>
        <w:pStyle w:val="Heading2"/>
      </w:pPr>
      <w:r>
        <w:t xml:space="preserve">4.1 The Union-LCM Formula</w:t>
      </w:r>
    </w:p>
    <w:p>
      <w:pPr>
        <w:spacing w:after="120"/>
      </w:pPr>
      <w:r>
        <w:rPr>
          <w:b/>
          <w:bCs/>
        </w:rPr>
        <w:t xml:space="preserve">Theorem 4.2 (Union Formula).</w:t>
      </w:r>
      <w:r>
        <w:t xml:space="preserve"> For squarefree integers a, b:</w:t>
      </w:r>
    </w:p>
    <w:p>
      <w:pPr>
        <w:spacing w:before="120" w:after="120"/>
        <w:jc w:val="center"/>
      </w:pPr>
      <w:r>
        <w:rPr>
          <w:i/>
          <w:iCs/>
        </w:rPr>
        <w:t xml:space="preserve">Ω_lcm = Ω_a + Ω_b − Ω_gcd</w:t>
      </w:r>
    </w:p>
    <w:p>
      <w:pPr>
        <w:spacing w:after="120"/>
      </w:pPr>
      <w:r>
        <w:rPr>
          <w:b/>
          <w:bCs/>
        </w:rPr>
        <w:t xml:space="preserve">Proof.</w:t>
      </w:r>
      <w:r>
        <w:t xml:space="preserve"> The fundamental identity for positive integers states: lcm(a,b) × gcd(a,b) = a × b. Taking logarithms: ln(lcm) = ln(a) + ln(b) − ln(gcd). □</w:t>
      </w:r>
    </w:p>
    <w:p>
      <w:pPr>
        <w:pStyle w:val="Heading1"/>
      </w:pPr>
      <w:r>
        <w:t xml:space="preserve">5. Complement: Phase Interference</w:t>
      </w:r>
    </w:p>
    <w:p>
      <w:pPr>
        <w:pStyle w:val="Heading2"/>
      </w:pPr>
      <w:r>
        <w:t xml:space="preserve">5.1 Extension to Positive Rationals</w:t>
      </w:r>
    </w:p>
    <w:p>
      <w:pPr>
        <w:spacing w:after="120"/>
      </w:pPr>
      <w:r>
        <w:t xml:space="preserve">The NOT operation for 1/a yields:</w:t>
      </w:r>
    </w:p>
    <w:p>
      <w:pPr>
        <w:spacing w:before="120" w:after="120"/>
        <w:jc w:val="center"/>
      </w:pPr>
      <w:r>
        <w:rPr>
          <w:i/>
          <w:iCs/>
        </w:rPr>
        <w:t xml:space="preserve">NOT(1/a) = 1 − 1/a = (a−1)/a</w:t>
      </w:r>
    </w:p>
    <w:p>
      <w:pPr>
        <w:spacing w:after="120"/>
      </w:pPr>
      <w:r>
        <w:rPr>
          <w:b/>
          <w:bCs/>
        </w:rPr>
        <w:t xml:space="preserve">Theorem 5.2.</w:t>
      </w:r>
      <w:r>
        <w:t xml:space="preserve"> The complement NOT(P) = 1 − P can be represented as the interference between a unit reference signal and a phase-shifted input:</w:t>
      </w:r>
    </w:p>
    <w:p>
      <w:pPr>
        <w:spacing w:before="120" w:after="200"/>
        <w:jc w:val="center"/>
      </w:pPr>
      <w:r>
        <w:rPr>
          <w:i/>
          <w:iCs/>
        </w:rPr>
        <w:t xml:space="preserve">|e^(iθ) − P·e^(iθ)| = (1−P) for P ∈ (0,1)</w:t>
      </w:r>
    </w:p>
    <w:p>
      <w:pPr>
        <w:pStyle w:val="Heading1"/>
      </w:pPr>
      <w:r>
        <w:t xml:space="preserve">6. Complete Boolean Logic</w:t>
      </w:r>
    </w:p>
    <w:p>
      <w:pPr>
        <w:pStyle w:val="Heading2"/>
      </w:pPr>
      <w:r>
        <w:t xml:space="preserve">6.1 Summary of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0E0E0" w:val="clear"/>
          </w:tcPr>
          <w:p>
            <w:pPr>
              <w:jc w:val="center"/>
            </w:pPr>
            <w:r>
              <w:rPr>
                <w:b/>
                <w:bCs/>
              </w:rPr>
              <w:t xml:space="preserve">Context</w:t>
            </w:r>
          </w:p>
        </w:tc>
        <w:tc>
          <w:tcPr>
            <w:tcBorders>
              <w:top w:val="single" w:color="CCCCCC" w:sz="1"/>
              <w:left w:val="single" w:color="CCCCCC" w:sz="1"/>
              <w:bottom w:val="single" w:color="CCCCCC" w:sz="1"/>
              <w:right w:val="single" w:color="CCCCCC" w:sz="1"/>
            </w:tcBorders>
            <w:shd w:fill="E0E0E0" w:val="clear"/>
          </w:tcPr>
          <w:p>
            <w:pPr>
              <w:jc w:val="center"/>
            </w:pPr>
            <w:r>
              <w:rPr>
                <w:b/>
                <w:bCs/>
              </w:rPr>
              <w:t xml:space="preserve">AND</w:t>
            </w:r>
          </w:p>
        </w:tc>
        <w:tc>
          <w:tcPr>
            <w:tcBorders>
              <w:top w:val="single" w:color="CCCCCC" w:sz="1"/>
              <w:left w:val="single" w:color="CCCCCC" w:sz="1"/>
              <w:bottom w:val="single" w:color="CCCCCC" w:sz="1"/>
              <w:right w:val="single" w:color="CCCCCC" w:sz="1"/>
            </w:tcBorders>
            <w:shd w:fill="E0E0E0" w:val="clear"/>
          </w:tcPr>
          <w:p>
            <w:pPr>
              <w:jc w:val="center"/>
            </w:pPr>
            <w:r>
              <w:rPr>
                <w:b/>
                <w:bCs/>
              </w:rPr>
              <w:t xml:space="preserve">OR</w:t>
            </w:r>
          </w:p>
        </w:tc>
        <w:tc>
          <w:tcPr>
            <w:tcBorders>
              <w:top w:val="single" w:color="CCCCCC" w:sz="1"/>
              <w:left w:val="single" w:color="CCCCCC" w:sz="1"/>
              <w:bottom w:val="single" w:color="CCCCCC" w:sz="1"/>
              <w:right w:val="single" w:color="CCCCCC" w:sz="1"/>
            </w:tcBorders>
            <w:shd w:fill="E0E0E0" w:val="clear"/>
          </w:tcPr>
          <w:p>
            <w:pPr>
              <w:jc w:val="center"/>
            </w:pPr>
            <w:r>
              <w:rPr>
                <w:b/>
                <w:bCs/>
              </w:rPr>
              <w:t xml:space="preserve">NOT</w:t>
            </w:r>
          </w:p>
        </w:tc>
      </w:tr>
      <w:tr>
        <w:tc>
          <w:tcPr>
            <w:tcBorders>
              <w:top w:val="single" w:color="CCCCCC" w:sz="1"/>
              <w:left w:val="single" w:color="CCCCCC" w:sz="1"/>
              <w:bottom w:val="single" w:color="CCCCCC" w:sz="1"/>
              <w:right w:val="single" w:color="CCCCCC" w:sz="1"/>
            </w:tcBorders>
          </w:tcPr>
          <w:p>
            <w:r>
              <w:t xml:space="preserve">Sets</w:t>
            </w:r>
          </w:p>
        </w:tc>
        <w:tc>
          <w:tcPr>
            <w:tcBorders>
              <w:top w:val="single" w:color="CCCCCC" w:sz="1"/>
              <w:left w:val="single" w:color="CCCCCC" w:sz="1"/>
              <w:bottom w:val="single" w:color="CCCCCC" w:sz="1"/>
              <w:right w:val="single" w:color="CCCCCC" w:sz="1"/>
            </w:tcBorders>
          </w:tcPr>
          <w:p>
            <w:r>
              <w:t xml:space="preserve">gcd(a,b)</w:t>
            </w:r>
          </w:p>
        </w:tc>
        <w:tc>
          <w:tcPr>
            <w:tcBorders>
              <w:top w:val="single" w:color="CCCCCC" w:sz="1"/>
              <w:left w:val="single" w:color="CCCCCC" w:sz="1"/>
              <w:bottom w:val="single" w:color="CCCCCC" w:sz="1"/>
              <w:right w:val="single" w:color="CCCCCC" w:sz="1"/>
            </w:tcBorders>
          </w:tcPr>
          <w:p>
            <w:r>
              <w:t xml:space="preserve">lcm(a,b)</w:t>
            </w:r>
          </w:p>
        </w:tc>
        <w:tc>
          <w:tcPr>
            <w:tcBorders>
              <w:top w:val="single" w:color="CCCCCC" w:sz="1"/>
              <w:left w:val="single" w:color="CCCCCC" w:sz="1"/>
              <w:bottom w:val="single" w:color="CCCCCC" w:sz="1"/>
              <w:right w:val="single" w:color="CCCCCC" w:sz="1"/>
            </w:tcBorders>
          </w:tcPr>
          <w:p>
            <w:r>
              <w:t xml:space="preserve">1 − 1/a</w:t>
            </w:r>
          </w:p>
        </w:tc>
      </w:tr>
      <w:tr>
        <w:tc>
          <w:tcPr>
            <w:tcBorders>
              <w:top w:val="single" w:color="CCCCCC" w:sz="1"/>
              <w:left w:val="single" w:color="CCCCCC" w:sz="1"/>
              <w:bottom w:val="single" w:color="CCCCCC" w:sz="1"/>
              <w:right w:val="single" w:color="CCCCCC" w:sz="1"/>
            </w:tcBorders>
          </w:tcPr>
          <w:p>
            <w:r>
              <w:t xml:space="preserve">Resistance</w:t>
            </w:r>
          </w:p>
        </w:tc>
        <w:tc>
          <w:tcPr>
            <w:tcBorders>
              <w:top w:val="single" w:color="CCCCCC" w:sz="1"/>
              <w:left w:val="single" w:color="CCCCCC" w:sz="1"/>
              <w:bottom w:val="single" w:color="CCCCCC" w:sz="1"/>
              <w:right w:val="single" w:color="CCCCCC" w:sz="1"/>
            </w:tcBorders>
          </w:tcPr>
          <w:p>
            <w:r>
              <w:t xml:space="preserve">Ω_gcd</w:t>
            </w:r>
          </w:p>
        </w:tc>
        <w:tc>
          <w:tcPr>
            <w:tcBorders>
              <w:top w:val="single" w:color="CCCCCC" w:sz="1"/>
              <w:left w:val="single" w:color="CCCCCC" w:sz="1"/>
              <w:bottom w:val="single" w:color="CCCCCC" w:sz="1"/>
              <w:right w:val="single" w:color="CCCCCC" w:sz="1"/>
            </w:tcBorders>
          </w:tcPr>
          <w:p>
            <w:r>
              <w:t xml:space="preserve">Ω_a + Ω_b − Ω_gcd</w:t>
            </w:r>
          </w:p>
        </w:tc>
        <w:tc>
          <w:tcPr>
            <w:tcBorders>
              <w:top w:val="single" w:color="CCCCCC" w:sz="1"/>
              <w:left w:val="single" w:color="CCCCCC" w:sz="1"/>
              <w:bottom w:val="single" w:color="CCCCCC" w:sz="1"/>
              <w:right w:val="single" w:color="CCCCCC" w:sz="1"/>
            </w:tcBorders>
          </w:tcPr>
          <w:p>
            <w:r>
              <w:t xml:space="preserve">Phase interference</w:t>
            </w:r>
          </w:p>
        </w:tc>
      </w:tr>
    </w:tbl>
    <w:p>
      <w:pPr>
        <w:spacing w:before="200"/>
      </w:pPr>
    </w:p>
    <w:p>
      <w:pPr>
        <w:pStyle w:val="Heading2"/>
      </w:pPr>
      <w:r>
        <w:t xml:space="preserve">6.2 Functional Completeness</w:t>
      </w:r>
    </w:p>
    <w:p>
      <w:pPr>
        <w:spacing w:after="200"/>
      </w:pPr>
      <w:r>
        <w:rPr>
          <w:b/>
          <w:bCs/>
        </w:rPr>
        <w:t xml:space="preserve">Theorem 6.1.</w:t>
      </w:r>
      <w:r>
        <w:t xml:space="preserve"> {AND, OR, NOT} forms a functionally complete set of Boolean operators.</w:t>
      </w:r>
    </w:p>
    <w:p>
      <w:r>
        <w:br w:type="page"/>
      </w:r>
    </w:p>
    <w:p>
      <w:pPr>
        <w:spacing w:before="200" w:after="200"/>
        <w:jc w:val="center"/>
      </w:pPr>
      <w:r>
        <w:rPr>
          <w:b/>
          <w:bCs/>
          <w:sz w:val="28"/>
          <w:szCs w:val="28"/>
        </w:rPr>
        <w:t xml:space="preserve">PART III: THE VECTOR SPACE LAYER</w:t>
      </w:r>
    </w:p>
    <w:p>
      <w:pPr>
        <w:pStyle w:val="Heading1"/>
      </w:pPr>
      <w:r>
        <w:t xml:space="preserve">7. Prime Coordinates</w:t>
      </w:r>
    </w:p>
    <w:p>
      <w:pPr>
        <w:pStyle w:val="Heading2"/>
      </w:pPr>
      <w:r>
        <w:t xml:space="preserve">7.1 Coordinate Representation</w:t>
      </w:r>
    </w:p>
    <w:p>
      <w:pPr>
        <w:spacing w:after="120"/>
      </w:pPr>
      <w:r>
        <w:rPr>
          <w:b/>
          <w:bCs/>
        </w:rPr>
        <w:t xml:space="preserve">Definition 7.1.</w:t>
      </w:r>
      <w:r>
        <w:t xml:space="preserve"> The </w:t>
      </w:r>
      <w:r>
        <w:rPr>
          <w:b/>
          <w:bCs/>
        </w:rPr>
        <w:t xml:space="preserve">prime coordinate vector</w:t>
      </w:r>
      <w:r>
        <w:t xml:space="preserve"> of n is: v(n) = (a₂, a₃, a₅, a₇, ...) where a_p is the exponent of prime p in n.</w:t>
      </w:r>
    </w:p>
    <w:p>
      <w:pPr>
        <w:pStyle w:val="Heading2"/>
      </w:pPr>
      <w:r>
        <w:t xml:space="preserve">7.2 Linear Independence</w:t>
      </w:r>
    </w:p>
    <w:p>
      <w:pPr>
        <w:spacing w:after="120"/>
      </w:pPr>
      <w:r>
        <w:rPr>
          <w:b/>
          <w:bCs/>
        </w:rPr>
        <w:t xml:space="preserve">Theorem 7.2.</w:t>
      </w:r>
      <w:r>
        <w:t xml:space="preserve"> The set {ln(p) : p prime} is linearly independent over ℚ.</w:t>
      </w:r>
    </w:p>
    <w:p>
      <w:pPr>
        <w:spacing w:after="120"/>
      </w:pPr>
      <w:r>
        <w:rPr>
          <w:b/>
          <w:bCs/>
        </w:rPr>
        <w:t xml:space="preserve">Corollary 7.2.1.</w:t>
      </w:r>
      <w:r>
        <w:t xml:space="preserve"> Prime coordinates form a vector space over ℚ with basis {ln(p) : p prime}.</w:t>
      </w:r>
    </w:p>
    <w:p>
      <w:r>
        <w:br w:type="page"/>
      </w:r>
    </w:p>
    <w:p>
      <w:pPr>
        <w:spacing w:before="200" w:after="200"/>
        <w:jc w:val="center"/>
      </w:pPr>
      <w:r>
        <w:rPr>
          <w:b/>
          <w:bCs/>
          <w:sz w:val="28"/>
          <w:szCs w:val="28"/>
        </w:rPr>
        <w:t xml:space="preserve">PART IV: PROOF OF CONCEPT</w:t>
      </w:r>
    </w:p>
    <w:p>
      <w:pPr>
        <w:pStyle w:val="Heading1"/>
      </w:pPr>
      <w:r>
        <w:t xml:space="preserve">8. The Coprimality Theorem</w:t>
      </w:r>
    </w:p>
    <w:p>
      <w:pPr>
        <w:spacing w:after="120"/>
      </w:pPr>
      <w:r>
        <w:rPr>
          <w:b/>
          <w:bCs/>
        </w:rPr>
        <w:t xml:space="preserve">Theorem 8.1.</w:t>
      </w:r>
      <w:r>
        <w:t xml:space="preserve"> Using natural density:</w:t>
      </w:r>
    </w:p>
    <w:p>
      <w:pPr>
        <w:spacing w:before="120" w:after="120"/>
        <w:jc w:val="center"/>
      </w:pPr>
      <w:r>
        <w:rPr>
          <w:i/>
          <w:iCs/>
        </w:rPr>
        <w:t xml:space="preserve">P(gcd(a,b) = 1) = 6/π²</w:t>
      </w:r>
    </w:p>
    <w:p>
      <w:pPr>
        <w:pStyle w:val="Heading2"/>
      </w:pPr>
      <w:r>
        <w:t xml:space="preserve">8.1–8.4 The Four Layers</w:t>
      </w:r>
    </w:p>
    <w:p>
      <w:pPr>
        <w:spacing w:after="120"/>
      </w:pPr>
      <w:r>
        <w:rPr>
          <w:b/>
          <w:bCs/>
        </w:rPr>
        <w:t xml:space="preserve">Layer 1 (English): </w:t>
      </w:r>
      <w:r>
        <w:t xml:space="preserve">"For every prime p, it is NOT the case that p divides BOTH a AND b."</w:t>
      </w:r>
    </w:p>
    <w:p>
      <w:pPr>
        <w:spacing w:after="120"/>
      </w:pPr>
      <w:r>
        <w:rPr>
          <w:b/>
          <w:bCs/>
        </w:rPr>
        <w:t xml:space="preserve">Layer 2 (Inverse Integer): </w:t>
      </w:r>
      <w:r>
        <w:t xml:space="preserve">P(gcd(a,b) = 1) = ∏_p (1 − 1/p²)</w:t>
      </w:r>
    </w:p>
    <w:p>
      <w:pPr>
        <w:spacing w:after="120"/>
      </w:pPr>
      <w:r>
        <w:rPr>
          <w:b/>
          <w:bCs/>
        </w:rPr>
        <w:t xml:space="preserve">Layer 3 (Circuit): </w:t>
      </w:r>
      <w:r>
        <w:t xml:space="preserve">Ω_total = Σ_p −ln(1 − 1/p²)</w:t>
      </w:r>
    </w:p>
    <w:p>
      <w:pPr>
        <w:spacing w:after="120"/>
      </w:pPr>
      <w:r>
        <w:rPr>
          <w:b/>
          <w:bCs/>
        </w:rPr>
        <w:t xml:space="preserve">Layer 4 (Vector): </w:t>
      </w:r>
      <w:r>
        <w:t xml:space="preserve">Coprime condition: min(v(a), v(b)) = 0 (zero vector)</w:t>
      </w:r>
    </w:p>
    <w:p>
      <w:pPr>
        <w:pStyle w:val="Heading2"/>
      </w:pPr>
      <w:r>
        <w:t xml:space="preserve">8.5 Connection to Zeta Function</w:t>
      </w:r>
    </w:p>
    <w:p>
      <w:pPr>
        <w:spacing w:after="200"/>
      </w:pPr>
      <w:r>
        <w:t xml:space="preserve">By the Euler product: ζ(s) = ∏_p 1/(1 − p^{−s}). At s = 2: ∏_p (1 − 1/p²) = 1/ζ(2) = 6/π² (Euler, 1734). □</w:t>
      </w:r>
    </w:p>
    <w:p>
      <w:r>
        <w:br w:type="page"/>
      </w:r>
    </w:p>
    <w:p>
      <w:pPr>
        <w:spacing w:before="200" w:after="200"/>
        <w:jc w:val="center"/>
      </w:pPr>
      <w:r>
        <w:rPr>
          <w:b/>
          <w:bCs/>
          <w:sz w:val="28"/>
          <w:szCs w:val="28"/>
        </w:rPr>
        <w:t xml:space="preserve">PART V: DATABASE OPERATIONS</w:t>
      </w:r>
    </w:p>
    <w:p>
      <w:pPr>
        <w:pStyle w:val="Heading1"/>
      </w:pPr>
      <w:r>
        <w:t xml:space="preserve">9. Relational Operations as Number Theory</w:t>
      </w:r>
    </w:p>
    <w:p>
      <w:pPr>
        <w:spacing w:after="120"/>
      </w:pPr>
      <w:r>
        <w:rPr>
          <w:b/>
          <w:bCs/>
        </w:rPr>
        <w:t xml:space="preserve">Theorem 9.1 (Intersection = GCD).</w:t>
      </w:r>
      <w:r>
        <w:t xml:space="preserve"> For squarefree integers a, b encoding sets A, B: A ∩ B is encoded by gcd(a, b).</w:t>
      </w:r>
    </w:p>
    <w:p>
      <w:pPr>
        <w:spacing w:after="120"/>
      </w:pPr>
      <w:r>
        <w:rPr>
          <w:b/>
          <w:bCs/>
        </w:rPr>
        <w:t xml:space="preserve">Theorem 9.2 (Union = LCM).</w:t>
      </w:r>
      <w:r>
        <w:t xml:space="preserve"> For squarefree integers a, b encoding sets A, B: A ∪ B is encoded by lcm(a, b).</w:t>
      </w:r>
    </w:p>
    <w:p>
      <w:pPr>
        <w:spacing w:after="200"/>
      </w:pPr>
      <w:r>
        <w:rPr>
          <w:b/>
          <w:bCs/>
        </w:rPr>
        <w:t xml:space="preserve">Theorem 9.3.</w:t>
      </w:r>
      <w:r>
        <w:t xml:space="preserve"> There is a bijection between finite binary strings and squarefree positive integers.</w:t>
      </w:r>
    </w:p>
    <w:p>
      <w:r>
        <w:br w:type="page"/>
      </w:r>
    </w:p>
    <w:p>
      <w:pPr>
        <w:spacing w:before="200" w:after="200"/>
        <w:jc w:val="center"/>
      </w:pPr>
      <w:r>
        <w:rPr>
          <w:b/>
          <w:bCs/>
          <w:sz w:val="28"/>
          <w:szCs w:val="28"/>
        </w:rPr>
        <w:t xml:space="preserve">PART VI: COMPUTATIONAL COMPLETENESS</w:t>
      </w:r>
    </w:p>
    <w:p>
      <w:pPr>
        <w:pStyle w:val="Heading1"/>
      </w:pPr>
      <w:r>
        <w:t xml:space="preserve">10. Turing Completeness</w:t>
      </w:r>
    </w:p>
    <w:p>
      <w:pPr>
        <w:pStyle w:val="Heading2"/>
      </w:pPr>
      <w:r>
        <w:t xml:space="preserve">10.1 Counter Machine Model</w:t>
      </w:r>
    </w:p>
    <w:p>
      <w:pPr>
        <w:spacing w:after="120"/>
      </w:pPr>
      <w:r>
        <w:rPr>
          <w:b/>
          <w:bCs/>
        </w:rPr>
        <w:t xml:space="preserve">Theorem 10.1 (Minsky, 1967).</w:t>
      </w:r>
      <w:r>
        <w:t xml:space="preserve"> Two-counter machines are Turing complete.</w:t>
      </w:r>
    </w:p>
    <w:p>
      <w:pPr>
        <w:pStyle w:val="Heading2"/>
      </w:pPr>
      <w:r>
        <w:t xml:space="preserve">10.2 State Encoding via Gödel Numbering</w:t>
      </w:r>
    </w:p>
    <w:p>
      <w:pPr>
        <w:spacing w:after="120"/>
      </w:pPr>
      <w:r>
        <w:rPr>
          <w:b/>
          <w:bCs/>
        </w:rPr>
        <w:t xml:space="preserve">Definition 10.2.</w:t>
      </w:r>
      <w:r>
        <w:t xml:space="preserve"> The machine state is encoded as a positive integer:</w:t>
      </w:r>
    </w:p>
    <w:p>
      <w:pPr>
        <w:spacing w:before="120" w:after="120"/>
        <w:jc w:val="center"/>
      </w:pPr>
      <w:r>
        <w:rPr>
          <w:i/>
          <w:iCs/>
        </w:rPr>
        <w:t xml:space="preserve">State = 2^C₁ × 3^C₂ × p_k</w:t>
      </w:r>
    </w:p>
    <w:p>
      <w:pPr>
        <w:spacing w:after="120"/>
      </w:pPr>
      <w:r>
        <w:t xml:space="preserve">where C₁, C₂ are counter values and p_k is the k-th prime for instruction k.</w:t>
      </w:r>
    </w:p>
    <w:p>
      <w:pPr>
        <w:pStyle w:val="Heading2"/>
      </w:pPr>
      <w:r>
        <w:t xml:space="preserve">10.4 The Divisibility Gate as Transistor</w:t>
      </w:r>
    </w:p>
    <w:p>
      <w:pPr>
        <w:spacing w:after="120"/>
      </w:pPr>
      <w:r>
        <w:t xml:space="preserve">The divisibility gate functions as a </w:t>
      </w:r>
      <w:r>
        <w:rPr>
          <w:b/>
          <w:bCs/>
        </w:rPr>
        <w:t xml:space="preserve">transistor</w:t>
      </w:r>
      <w:r>
        <w:t xml:space="preserve"> in the informational circuit. Like a transistor with base/gate control, the divisibility gate has one input and two outputs: PASS (finite Ω, signal continues) or BLOCK (Ω → ∞, signal redirected).</w:t>
      </w:r>
    </w:p>
    <w:p>
      <w:pPr>
        <w:pStyle w:val="Heading2"/>
      </w:pPr>
      <w:r>
        <w:t xml:space="preserve">10.6 Completeness Theorem</w:t>
      </w:r>
    </w:p>
    <w:p>
      <w:pPr>
        <w:spacing w:after="120"/>
      </w:pPr>
      <w:r>
        <w:rPr>
          <w:b/>
          <w:bCs/>
        </w:rPr>
        <w:t xml:space="preserve">Theorem 10.4 (Turing Completeness).</w:t>
      </w:r>
      <w:r>
        <w:t xml:space="preserve"> The framework is Turing complete.</w:t>
      </w:r>
    </w:p>
    <w:p>
      <w:pPr>
        <w:spacing w:after="200"/>
      </w:pPr>
      <w:r>
        <w:rPr>
          <w:b/>
          <w:bCs/>
        </w:rPr>
        <w:t xml:space="preserve">Corollary 10.5.</w:t>
      </w:r>
      <w:r>
        <w:t xml:space="preserve"> There is no algorithm to decide, given an arbitrary counter machine encoded in this framework, whether it halts.</w:t>
      </w:r>
    </w:p>
    <w:p>
      <w:r>
        <w:br w:type="page"/>
      </w:r>
    </w:p>
    <w:p>
      <w:pPr>
        <w:spacing w:before="200" w:after="200"/>
        <w:jc w:val="center"/>
      </w:pPr>
      <w:r>
        <w:rPr>
          <w:b/>
          <w:bCs/>
          <w:sz w:val="28"/>
          <w:szCs w:val="28"/>
        </w:rPr>
        <w:t xml:space="preserve">PART VII: CONNECTIONS AND IMPLICATIONS</w:t>
      </w:r>
    </w:p>
    <w:p>
      <w:pPr>
        <w:pStyle w:val="Heading1"/>
      </w:pPr>
      <w:r>
        <w:t xml:space="preserve">11. Primes as Irreducible Elements</w:t>
      </w:r>
    </w:p>
    <w:p>
      <w:pPr>
        <w:spacing w:after="120"/>
      </w:pPr>
      <w:r>
        <w:rPr>
          <w:b/>
          <w:bCs/>
        </w:rPr>
        <w:t xml:space="preserve">Theorem 11.2 (Prime Characterization).</w:t>
      </w:r>
      <w:r>
        <w:t xml:space="preserve"> A positive integer n &gt; 1 is prime if and only if it is resistance-irreducible.</w:t>
      </w:r>
    </w:p>
    <w:p>
      <w:pPr>
        <w:pStyle w:val="Heading1"/>
      </w:pPr>
      <w:r>
        <w:t xml:space="preserve">12. Connection to the Riemann Zeta Function</w:t>
      </w:r>
    </w:p>
    <w:p>
      <w:pPr>
        <w:spacing w:after="120"/>
      </w:pPr>
      <w:r>
        <w:t xml:space="preserve">The Euler product: ζ(s) = ∏_p 1/(1 − p^{−s}). At s = 2, the reciprocal yields the coprimality probability: 1/ζ(2) = ∏_p (1 − 1/p²) = 6/π².</w:t>
      </w:r>
    </w:p>
    <w:p>
      <w:pPr>
        <w:pStyle w:val="Heading1"/>
      </w:pPr>
      <w:r>
        <w:t xml:space="preserve">13. Lattice-Theoretic Structure</w:t>
      </w:r>
    </w:p>
    <w:p>
      <w:pPr>
        <w:spacing w:after="200"/>
      </w:pPr>
      <w:r>
        <w:rPr>
          <w:b/>
          <w:bCs/>
        </w:rPr>
        <w:t xml:space="preserve">Theorem 13.1.</w:t>
      </w:r>
      <w:r>
        <w:t xml:space="preserve"> The positive integers under divisibility form a distributive lattice with: Meet (∧): gcd; Join (∨): lcm.</w:t>
      </w:r>
    </w:p>
    <w:p>
      <w:pPr>
        <w:pStyle w:val="Heading1"/>
      </w:pPr>
      <w:r>
        <w:t xml:space="preserve">14. The Open Interval Principle</w:t>
      </w:r>
    </w:p>
    <w:p>
      <w:pPr>
        <w:spacing w:after="200"/>
      </w:pPr>
      <w:r>
        <w:rPr>
          <w:b/>
          <w:bCs/>
        </w:rPr>
        <w:t xml:space="preserve">Principle 14.1.</w:t>
      </w:r>
      <w:r>
        <w:t xml:space="preserve"> The framework operates in the open interval (0,1). Certainty and impossibility are limit points, not achieved states.</w:t>
      </w:r>
    </w:p>
    <w:p>
      <w:r>
        <w:br w:type="page"/>
      </w:r>
    </w:p>
    <w:p>
      <w:pPr>
        <w:pStyle w:val="Heading1"/>
      </w:pPr>
      <w:r>
        <w:t xml:space="preserve">17. Conclusion</w:t>
      </w:r>
    </w:p>
    <w:p>
      <w:pPr>
        <w:pStyle w:val="Heading2"/>
      </w:pPr>
      <w:r>
        <w:t xml:space="preserve">17.1 Summary of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Borders>
              <w:top w:val="single" w:color="CCCCCC" w:sz="1"/>
              <w:left w:val="single" w:color="CCCCCC" w:sz="1"/>
              <w:bottom w:val="single" w:color="CCCCCC" w:sz="1"/>
              <w:right w:val="single" w:color="CCCCCC" w:sz="1"/>
            </w:tcBorders>
            <w:shd w:fill="E0E0E0" w:val="clear"/>
          </w:tcPr>
          <w:p>
            <w:r>
              <w:rPr>
                <w:b/>
                <w:bCs/>
              </w:rPr>
              <w:t xml:space="preserve">Result</w:t>
            </w:r>
          </w:p>
        </w:tc>
        <w:tc>
          <w:tcPr>
            <w:tcBorders>
              <w:top w:val="single" w:color="CCCCCC" w:sz="1"/>
              <w:left w:val="single" w:color="CCCCCC" w:sz="1"/>
              <w:bottom w:val="single" w:color="CCCCCC" w:sz="1"/>
              <w:right w:val="single" w:color="CCCCCC" w:sz="1"/>
            </w:tcBorders>
            <w:shd w:fill="E0E0E0" w:val="clear"/>
          </w:tcPr>
          <w:p>
            <w:r>
              <w:rPr>
                <w:b/>
                <w:bCs/>
              </w:rPr>
              <w:t xml:space="preserve">Reference</w:t>
            </w:r>
          </w:p>
        </w:tc>
      </w:tr>
      <w:tr>
        <w:tc>
          <w:tcPr>
            <w:tcBorders>
              <w:top w:val="single" w:color="CCCCCC" w:sz="1"/>
              <w:left w:val="single" w:color="CCCCCC" w:sz="1"/>
              <w:bottom w:val="single" w:color="CCCCCC" w:sz="1"/>
              <w:right w:val="single" w:color="CCCCCC" w:sz="1"/>
            </w:tcBorders>
          </w:tcPr>
          <w:p>
            <w:r>
              <w:t xml:space="preserve">Isomorphism Ω(1/n) = ln(n)</w:t>
            </w:r>
          </w:p>
        </w:tc>
        <w:tc>
          <w:tcPr>
            <w:tcBorders>
              <w:top w:val="single" w:color="CCCCCC" w:sz="1"/>
              <w:left w:val="single" w:color="CCCCCC" w:sz="1"/>
              <w:bottom w:val="single" w:color="CCCCCC" w:sz="1"/>
              <w:right w:val="single" w:color="CCCCCC" w:sz="1"/>
            </w:tcBorders>
          </w:tcPr>
          <w:p>
            <w:r>
              <w:t xml:space="preserve">Theorem 2.3</w:t>
            </w:r>
          </w:p>
        </w:tc>
      </w:tr>
      <w:tr>
        <w:tc>
          <w:tcPr>
            <w:tcBorders>
              <w:top w:val="single" w:color="CCCCCC" w:sz="1"/>
              <w:left w:val="single" w:color="CCCCCC" w:sz="1"/>
              <w:bottom w:val="single" w:color="CCCCCC" w:sz="1"/>
              <w:right w:val="single" w:color="CCCCCC" w:sz="1"/>
            </w:tcBorders>
          </w:tcPr>
          <w:p>
            <w:r>
              <w:t xml:space="preserve">Uniqueness of logarithm</w:t>
            </w:r>
          </w:p>
        </w:tc>
        <w:tc>
          <w:tcPr>
            <w:tcBorders>
              <w:top w:val="single" w:color="CCCCCC" w:sz="1"/>
              <w:left w:val="single" w:color="CCCCCC" w:sz="1"/>
              <w:bottom w:val="single" w:color="CCCCCC" w:sz="1"/>
              <w:right w:val="single" w:color="CCCCCC" w:sz="1"/>
            </w:tcBorders>
          </w:tcPr>
          <w:p>
            <w:r>
              <w:t xml:space="preserve">Theorem 2.4</w:t>
            </w:r>
          </w:p>
        </w:tc>
      </w:tr>
      <w:tr>
        <w:tc>
          <w:tcPr>
            <w:tcBorders>
              <w:top w:val="single" w:color="CCCCCC" w:sz="1"/>
              <w:left w:val="single" w:color="CCCCCC" w:sz="1"/>
              <w:bottom w:val="single" w:color="CCCCCC" w:sz="1"/>
              <w:right w:val="single" w:color="CCCCCC" w:sz="1"/>
            </w:tcBorders>
          </w:tcPr>
          <w:p>
            <w:r>
              <w:t xml:space="preserve">Union formula: Ω_a + Ω_b − Ω_gcd</w:t>
            </w:r>
          </w:p>
        </w:tc>
        <w:tc>
          <w:tcPr>
            <w:tcBorders>
              <w:top w:val="single" w:color="CCCCCC" w:sz="1"/>
              <w:left w:val="single" w:color="CCCCCC" w:sz="1"/>
              <w:bottom w:val="single" w:color="CCCCCC" w:sz="1"/>
              <w:right w:val="single" w:color="CCCCCC" w:sz="1"/>
            </w:tcBorders>
          </w:tcPr>
          <w:p>
            <w:r>
              <w:t xml:space="preserve">Theorem 4.2</w:t>
            </w:r>
          </w:p>
        </w:tc>
      </w:tr>
      <w:tr>
        <w:tc>
          <w:tcPr>
            <w:tcBorders>
              <w:top w:val="single" w:color="CCCCCC" w:sz="1"/>
              <w:left w:val="single" w:color="CCCCCC" w:sz="1"/>
              <w:bottom w:val="single" w:color="CCCCCC" w:sz="1"/>
              <w:right w:val="single" w:color="CCCCCC" w:sz="1"/>
            </w:tcBorders>
          </w:tcPr>
          <w:p>
            <w:r>
              <w:t xml:space="preserve">Linear independence of ln(primes)</w:t>
            </w:r>
          </w:p>
        </w:tc>
        <w:tc>
          <w:tcPr>
            <w:tcBorders>
              <w:top w:val="single" w:color="CCCCCC" w:sz="1"/>
              <w:left w:val="single" w:color="CCCCCC" w:sz="1"/>
              <w:bottom w:val="single" w:color="CCCCCC" w:sz="1"/>
              <w:right w:val="single" w:color="CCCCCC" w:sz="1"/>
            </w:tcBorders>
          </w:tcPr>
          <w:p>
            <w:r>
              <w:t xml:space="preserve">Theorem 7.2</w:t>
            </w:r>
          </w:p>
        </w:tc>
      </w:tr>
      <w:tr>
        <w:tc>
          <w:tcPr>
            <w:tcBorders>
              <w:top w:val="single" w:color="CCCCCC" w:sz="1"/>
              <w:left w:val="single" w:color="CCCCCC" w:sz="1"/>
              <w:bottom w:val="single" w:color="CCCCCC" w:sz="1"/>
              <w:right w:val="single" w:color="CCCCCC" w:sz="1"/>
            </w:tcBorders>
          </w:tcPr>
          <w:p>
            <w:r>
              <w:t xml:space="preserve">Coprimality = 6/π²</w:t>
            </w:r>
          </w:p>
        </w:tc>
        <w:tc>
          <w:tcPr>
            <w:tcBorders>
              <w:top w:val="single" w:color="CCCCCC" w:sz="1"/>
              <w:left w:val="single" w:color="CCCCCC" w:sz="1"/>
              <w:bottom w:val="single" w:color="CCCCCC" w:sz="1"/>
              <w:right w:val="single" w:color="CCCCCC" w:sz="1"/>
            </w:tcBorders>
          </w:tcPr>
          <w:p>
            <w:r>
              <w:t xml:space="preserve">Theorem 8.1</w:t>
            </w:r>
          </w:p>
        </w:tc>
      </w:tr>
      <w:tr>
        <w:tc>
          <w:tcPr>
            <w:tcBorders>
              <w:top w:val="single" w:color="CCCCCC" w:sz="1"/>
              <w:left w:val="single" w:color="CCCCCC" w:sz="1"/>
              <w:bottom w:val="single" w:color="CCCCCC" w:sz="1"/>
              <w:right w:val="single" w:color="CCCCCC" w:sz="1"/>
            </w:tcBorders>
          </w:tcPr>
          <w:p>
            <w:r>
              <w:t xml:space="preserve">Turing completeness</w:t>
            </w:r>
          </w:p>
        </w:tc>
        <w:tc>
          <w:tcPr>
            <w:tcBorders>
              <w:top w:val="single" w:color="CCCCCC" w:sz="1"/>
              <w:left w:val="single" w:color="CCCCCC" w:sz="1"/>
              <w:bottom w:val="single" w:color="CCCCCC" w:sz="1"/>
              <w:right w:val="single" w:color="CCCCCC" w:sz="1"/>
            </w:tcBorders>
          </w:tcPr>
          <w:p>
            <w:r>
              <w:t xml:space="preserve">Theorem 10.4</w:t>
            </w:r>
          </w:p>
        </w:tc>
      </w:tr>
      <w:tr>
        <w:tc>
          <w:tcPr>
            <w:tcBorders>
              <w:top w:val="single" w:color="CCCCCC" w:sz="1"/>
              <w:left w:val="single" w:color="CCCCCC" w:sz="1"/>
              <w:bottom w:val="single" w:color="CCCCCC" w:sz="1"/>
              <w:right w:val="single" w:color="CCCCCC" w:sz="1"/>
            </w:tcBorders>
          </w:tcPr>
          <w:p>
            <w:r>
              <w:t xml:space="preserve">Prime = resistance-irreducible</w:t>
            </w:r>
          </w:p>
        </w:tc>
        <w:tc>
          <w:tcPr>
            <w:tcBorders>
              <w:top w:val="single" w:color="CCCCCC" w:sz="1"/>
              <w:left w:val="single" w:color="CCCCCC" w:sz="1"/>
              <w:bottom w:val="single" w:color="CCCCCC" w:sz="1"/>
              <w:right w:val="single" w:color="CCCCCC" w:sz="1"/>
            </w:tcBorders>
          </w:tcPr>
          <w:p>
            <w:r>
              <w:t xml:space="preserve">Theorem 11.2</w:t>
            </w:r>
          </w:p>
        </w:tc>
      </w:tr>
      <w:tr>
        <w:tc>
          <w:tcPr>
            <w:tcBorders>
              <w:top w:val="single" w:color="CCCCCC" w:sz="1"/>
              <w:left w:val="single" w:color="CCCCCC" w:sz="1"/>
              <w:bottom w:val="single" w:color="CCCCCC" w:sz="1"/>
              <w:right w:val="single" w:color="CCCCCC" w:sz="1"/>
            </w:tcBorders>
          </w:tcPr>
          <w:p>
            <w:r>
              <w:t xml:space="preserve">Functional completeness</w:t>
            </w:r>
          </w:p>
        </w:tc>
        <w:tc>
          <w:tcPr>
            <w:tcBorders>
              <w:top w:val="single" w:color="CCCCCC" w:sz="1"/>
              <w:left w:val="single" w:color="CCCCCC" w:sz="1"/>
              <w:bottom w:val="single" w:color="CCCCCC" w:sz="1"/>
              <w:right w:val="single" w:color="CCCCCC" w:sz="1"/>
            </w:tcBorders>
          </w:tcPr>
          <w:p>
            <w:r>
              <w:t xml:space="preserve">Theorem 6.1</w:t>
            </w:r>
          </w:p>
        </w:tc>
      </w:tr>
    </w:tbl>
    <w:p>
      <w:pPr>
        <w:spacing w:before="200"/>
      </w:pPr>
    </w:p>
    <w:p>
      <w:pPr>
        <w:pStyle w:val="Heading2"/>
      </w:pPr>
      <w:r>
        <w:t xml:space="preserve">17.3 Foundational Principles</w:t>
      </w:r>
    </w:p>
    <w:p>
      <w:pPr>
        <w:spacing w:after="100"/>
      </w:pPr>
      <w:r>
        <w:rPr>
          <w:b/>
          <w:bCs/>
        </w:rPr>
        <w:t xml:space="preserve">The Relational Principle: </w:t>
      </w:r>
      <w:r>
        <w:t xml:space="preserve">Resistances are relational, not absolute.</w:t>
      </w:r>
    </w:p>
    <w:p>
      <w:pPr>
        <w:spacing w:after="100"/>
      </w:pPr>
      <w:r>
        <w:rPr>
          <w:b/>
          <w:bCs/>
        </w:rPr>
        <w:t xml:space="preserve">The Open Interval Principle: </w:t>
      </w:r>
      <w:r>
        <w:t xml:space="preserve">Certainty and impossibility are limits, not states.</w:t>
      </w:r>
    </w:p>
    <w:p>
      <w:pPr>
        <w:spacing w:after="200"/>
      </w:pPr>
      <w:r>
        <w:rPr>
          <w:b/>
          <w:bCs/>
        </w:rPr>
        <w:t xml:space="preserve">The Epistemic Principle: </w:t>
      </w:r>
      <w:r>
        <w:t xml:space="preserve">A computational system embedded in an information structure cannot fully characterize its substrate.</w:t>
      </w:r>
    </w:p>
    <w:p>
      <w:pPr>
        <w:pStyle w:val="Heading2"/>
      </w:pPr>
      <w:r>
        <w:t xml:space="preserve">17.5 Closing Remark</w:t>
      </w:r>
    </w:p>
    <w:p>
      <w:pPr>
        <w:spacing w:after="200"/>
      </w:pPr>
      <w:r>
        <w:t xml:space="preserve">The framework reveals that probability, circuits, number theory, and set theory are not merely analogous—they are </w:t>
      </w:r>
      <w:r>
        <w:rPr>
          <w:b/>
          <w:bCs/>
        </w:rPr>
        <w:t xml:space="preserve">isomorphic</w:t>
      </w:r>
      <w:r>
        <w:t xml:space="preserve">. The same abstract structure manifests in each domain. Computation, at its foundation, is the manipulation of prime coordinates through series combination and interference.</w:t>
      </w:r>
    </w:p>
    <w:p>
      <w:r>
        <w:br w:type="page"/>
      </w:r>
    </w:p>
    <w:p>
      <w:pPr>
        <w:pStyle w:val="Heading1"/>
      </w:pPr>
      <w:r>
        <w:t xml:space="preserve">References</w:t>
      </w:r>
    </w:p>
    <w:p>
      <w:pPr>
        <w:spacing w:after="80"/>
      </w:pPr>
      <w:r>
        <w:t xml:space="preserve">[1] Shannon, C. E. (1948). A Mathematical Theory of Communication. Bell System Technical Journal, 27(3), 379-423.</w:t>
      </w:r>
    </w:p>
    <w:p>
      <w:pPr>
        <w:spacing w:after="80"/>
      </w:pPr>
      <w:r>
        <w:t xml:space="preserve">[2] Riemann, B. (1859). Über die Anzahl der Primzahlen unter einer gegebenen Größe. Monatsberichte der Berliner Akademie, 671-680.</w:t>
      </w:r>
    </w:p>
    <w:p>
      <w:pPr>
        <w:spacing w:after="80"/>
      </w:pPr>
      <w:r>
        <w:t xml:space="preserve">[3] Euler, L. (1734). De summis serierum reciprocarum. Commentarii academiae scientiarum Petropolitanae, 7, 123-134.</w:t>
      </w:r>
    </w:p>
    <w:p>
      <w:pPr>
        <w:spacing w:after="80"/>
      </w:pPr>
      <w:r>
        <w:t xml:space="preserve">[4] Gödel, K. (1931). Über formal unentscheidbare Sätze. Monatshefte für Mathematik und Physik, 38, 173-198.</w:t>
      </w:r>
    </w:p>
    <w:p>
      <w:pPr>
        <w:spacing w:after="80"/>
      </w:pPr>
      <w:r>
        <w:t xml:space="preserve">[5] Minsky, M. L. (1967). Computation: Finite and Infinite Machines. Prentice-Hall.</w:t>
      </w:r>
    </w:p>
    <w:p>
      <w:pPr>
        <w:spacing w:after="80"/>
      </w:pPr>
      <w:r>
        <w:t xml:space="preserve">[6] Cover, T. M., &amp; Thomas, J. A. (2006). Elements of Information Theory (2nd ed.). Wiley-Interscience.</w:t>
      </w:r>
    </w:p>
    <w:p>
      <w:pPr>
        <w:spacing w:after="80"/>
      </w:pPr>
      <w:r>
        <w:t xml:space="preserve">[7] Codd, E. F. (1970). A Relational Model of Data for Large Shared Data Banks. Communications of the ACM, 13(6), 377-387.</w:t>
      </w:r>
    </w:p>
    <w:p>
      <w:pPr>
        <w:spacing w:after="80"/>
      </w:pPr>
      <w:r>
        <w:t xml:space="preserve">[8] Aczél, J. (1966). Lectures on Functional Equations and Their Applications. Academic Press.</w:t>
      </w:r>
    </w:p>
    <w:p>
      <w:pPr>
        <w:spacing w:after="80"/>
      </w:pPr>
      <w:r>
        <w:t xml:space="preserve">[9] Hardy, G. H., &amp; Wright, E. M. (1979). An Introduction to the Theory of Numbers (5th ed.). Oxford University Press.</w:t>
      </w:r>
    </w:p>
    <w:p>
      <w:pPr>
        <w:spacing w:after="80"/>
      </w:pPr>
      <w:r>
        <w:t xml:space="preserve">[10] Davey, B. A., &amp; Priestley, H. A. (2002). Introduction to Lattices and Order (2nd ed.). Cambridge University Press.</w:t>
      </w:r>
    </w:p>
    <w:p>
      <w:pPr>
        <w:spacing w:after="80"/>
      </w:pPr>
      <w:r>
        <w:t xml:space="preserve">[11] Sheffer, H. M. (1913). A set of five independent postulates for Boolean algebras. Transactions of the American Mathematical Society, 14(4), 481-488.</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Pisani — Resistance-Based Isomorphism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2025-12-17T14:59:50.150Z</dcterms:created>
  <dcterms:modified xsi:type="dcterms:W3CDTF">2025-12-17T14:59:50.151Z</dcterms:modified>
</cp:coreProperties>
</file>

<file path=docProps/custom.xml><?xml version="1.0" encoding="utf-8"?>
<Properties xmlns="http://schemas.openxmlformats.org/officeDocument/2006/custom-properties" xmlns:vt="http://schemas.openxmlformats.org/officeDocument/2006/docPropsVTypes"/>
</file>