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Holographic Entropy from the Critical Line</w:t>
      </w:r>
    </w:p>
    <w:p>
      <w:pPr>
        <w:spacing w:after="120"/>
        <w:jc w:val="center"/>
      </w:pPr>
      <w:r>
        <w:rPr>
          <w:b/>
          <w:bCs/>
          <w:sz w:val="28"/>
          <w:szCs w:val="28"/>
        </w:rPr>
        <w:t xml:space="preserve">Number-Theoretic Foundations of Black Hole Thermodynamics</w:t>
      </w:r>
    </w:p>
    <w:p>
      <w:pPr>
        <w:spacing w:after="240"/>
        <w:jc w:val="center"/>
      </w:pPr>
      <w:r>
        <w:rPr>
          <w:i/>
          <w:iCs/>
          <w:sz w:val="24"/>
          <w:szCs w:val="24"/>
        </w:rPr>
        <w:t xml:space="preserve">and the Emergence of Quantum Statistical Structure</w:t>
      </w:r>
    </w:p>
    <w:p>
      <w:pPr>
        <w:spacing w:after="60"/>
        <w:jc w:val="center"/>
      </w:pPr>
      <w:r>
        <w:rPr>
          <w:b/>
          <w:bCs/>
        </w:rPr>
        <w:t xml:space="preserve">Alexander Pisani</w:t>
      </w:r>
    </w:p>
    <w:p>
      <w:pPr>
        <w:spacing w:after="60"/>
        <w:jc w:val="center"/>
      </w:pPr>
      <w:r>
        <w:rPr>
          <w:i/>
          <w:iCs/>
        </w:rPr>
        <w:t xml:space="preserve">a.h.pisani.research@gmail.com</w:t>
      </w:r>
    </w:p>
    <w:p>
      <w:pPr>
        <w:spacing w:after="360"/>
        <w:jc w:val="center"/>
      </w:pPr>
      <w:r>
        <w:t xml:space="preserve">January 2026</w:t>
      </w:r>
    </w:p>
    <w:p>
      <w:pPr>
        <w:pStyle w:val="Heading1"/>
      </w:pPr>
      <w:r>
        <w:t xml:space="preserve">Abstract</w:t>
      </w:r>
    </w:p>
    <w:p>
      <w:pPr>
        <w:pStyle w:val="Abstract"/>
      </w:pPr>
      <w:r>
        <w:t xml:space="preserve">This paper establishes a remarkable connection between the distribution of Riemann zeta zeros and the thermodynamics of black holes. We demonstrate that the cumulative zero count N(t) on the critical line, when mapped to spatial coordinates via t = r², yields the formula </w:t>
      </w:r>
      <w:r>
        <w:rPr>
          <w:b/>
          <w:bCs/>
          <w:i/>
          <w:iCs/>
        </w:rPr>
        <w:t xml:space="preserve">N(r) ~ r² ln(r)</w:t>
      </w:r>
      <w:r>
        <w:t xml:space="preserve">—precisely matching the quantum-corrected Bekenstein-Hawking entropy formula S ~ r² + α ln(r²). This suggests that the holographic principle, which bounds information by area rather than volume, has number-theoretic foundations.</w:t>
      </w:r>
    </w:p>
    <w:p>
      <w:pPr>
        <w:pStyle w:val="Abstract"/>
      </w:pPr>
      <w:r>
        <w:t xml:space="preserve">We further establish that Riemann zeros obey </w:t>
      </w:r>
      <w:r>
        <w:rPr>
          <w:b/>
          <w:bCs/>
        </w:rPr>
        <w:t xml:space="preserve">Gaussian Unitary Ensemble (GUE)</w:t>
      </w:r>
      <w:r>
        <w:t xml:space="preserve"> statistics, exhibiting level repulsion identical to eigenvalues of random Hermitian matrices and energy levels in quantum chaotic systems. This creates a </w:t>
      </w:r>
      <w:r>
        <w:rPr>
          <w:i/>
          <w:iCs/>
        </w:rPr>
        <w:t xml:space="preserve">minimum spacing</w:t>
      </w:r>
      <w:r>
        <w:t xml:space="preserve"> between zeros, analogous to the Planck length as a minimum physical distance. The zeros behave as fermions, suggesting deep connections between prime distribution and quantum statistics.</w:t>
      </w:r>
    </w:p>
    <w:p>
      <w:pPr>
        <w:pStyle w:val="Abstract"/>
      </w:pPr>
      <w:r>
        <w:t xml:space="preserve">Building on the </w:t>
      </w:r>
      <w:r>
        <w:rPr>
          <w:b/>
          <w:bCs/>
        </w:rPr>
        <w:t xml:space="preserve">Information Uncertainty Principle</w:t>
      </w:r>
      <w:r>
        <w:t xml:space="preserve"> Q × P = 1, we show that while total information is conserved (Q × P constant), entropy S = ln(N(t)) grows with height t—reproducing the structure of the Second Law of Thermodynamics. The </w:t>
      </w:r>
      <w:r>
        <w:rPr>
          <w:b/>
          <w:bCs/>
        </w:rPr>
        <w:t xml:space="preserve">Golden Shadow</w:t>
      </w:r>
      <w:r>
        <w:t xml:space="preserve"> Δ = ζ(2) − φ ≈ 0.027 emerges as a candidate for the quantum gravity correction coefficient. These results provide a concrete path toward understanding quantum gravity through arithmetic structure.</w:t>
      </w:r>
    </w:p>
    <w:p>
      <w:r>
        <w:br w:type="page"/>
      </w:r>
    </w:p>
    <w:p>
      <w:pPr>
        <w:spacing w:before="480" w:after="240"/>
        <w:jc w:val="center"/>
      </w:pPr>
      <w:r>
        <w:rPr>
          <w:b/>
          <w:bCs/>
          <w:sz w:val="32"/>
          <w:szCs w:val="32"/>
        </w:rPr>
        <w:t xml:space="preserve">PART I: FOUNDATIONS AND BACKGROUND</w:t>
      </w:r>
    </w:p>
    <w:p>
      <w:pPr>
        <w:pStyle w:val="Heading1"/>
      </w:pPr>
      <w:r>
        <w:t xml:space="preserve">1. Introduction</w:t>
      </w:r>
    </w:p>
    <w:p>
      <w:pPr>
        <w:pStyle w:val="Heading2"/>
      </w:pPr>
      <w:r>
        <w:t xml:space="preserve">1.1 The Holographic Principle</w:t>
      </w:r>
    </w:p>
    <w:p>
      <w:pPr>
        <w:spacing w:after="200" w:line="276"/>
      </w:pPr>
      <w:r>
        <w:t xml:space="preserve">One of the deepest insights from theoretical physics in the late 20th century is the </w:t>
      </w:r>
      <w:r>
        <w:rPr>
          <w:b/>
          <w:bCs/>
        </w:rPr>
        <w:t xml:space="preserve">holographic principle</w:t>
      </w:r>
      <w:r>
        <w:t xml:space="preserve">: the maximum information content of a region of space is bounded not by its volume, but by its surface area. This principle, emerging from black hole thermodynamics and string theory, suggests that our three-dimensional universe may be encoded on a two-dimensional boundary.</w:t>
      </w:r>
    </w:p>
    <w:p>
      <w:pPr>
        <w:spacing w:after="200" w:line="276"/>
      </w:pPr>
      <w:r>
        <w:t xml:space="preserve">The Bekenstein-Hawking formula for black hole entropy makes this concrete:</w:t>
      </w:r>
    </w:p>
    <w:p>
      <w:pPr>
        <w:spacing w:before="200" w:after="200"/>
        <w:jc w:val="center"/>
      </w:pPr>
      <w:r>
        <w:rPr>
          <w:i/>
          <w:iCs/>
          <w:sz w:val="24"/>
          <w:szCs w:val="24"/>
        </w:rPr>
        <w:t xml:space="preserve">S_BH = A / (4 ℓ_P²) = (4πr²) / (4 ℓ_P²) = πr² / ℓ_P²    </w:t>
      </w:r>
      <w:r>
        <w:rPr>
          <w:sz w:val="22"/>
          <w:szCs w:val="22"/>
        </w:rPr>
        <w:t xml:space="preserve">(1)</w:t>
      </w:r>
    </w:p>
    <w:p>
      <w:pPr>
        <w:spacing w:after="200" w:line="276"/>
      </w:pPr>
      <w:r>
        <w:t xml:space="preserve">where A is the horizon area, r is the Schwarzschild radius, and ℓ_P = √(ℏG/c³) ≈ 1.616 × 10⁻³⁵ m is the Planck length. The entropy scales with </w:t>
      </w:r>
      <w:r>
        <w:rPr>
          <w:i/>
          <w:iCs/>
        </w:rPr>
        <w:t xml:space="preserve">area</w:t>
      </w:r>
      <w:r>
        <w:t xml:space="preserve">, not volume—a profoundly non-classical result.</w:t>
      </w:r>
    </w:p>
    <w:p>
      <w:pPr>
        <w:pStyle w:val="Heading2"/>
      </w:pPr>
      <w:r>
        <w:t xml:space="preserve">1.2 Quantum Corrections</w:t>
      </w:r>
    </w:p>
    <w:p>
      <w:pPr>
        <w:spacing w:after="200" w:line="276"/>
      </w:pPr>
      <w:r>
        <w:t xml:space="preserve">Loop quantum gravity and string theory predict </w:t>
      </w:r>
      <w:r>
        <w:rPr>
          <w:i/>
          <w:iCs/>
        </w:rPr>
        <w:t xml:space="preserve">logarithmic corrections</w:t>
      </w:r>
      <w:r>
        <w:t xml:space="preserve"> to the Bekenstein-Hawking formula:</w:t>
      </w:r>
    </w:p>
    <w:p>
      <w:pPr>
        <w:spacing w:before="200" w:after="200"/>
        <w:jc w:val="center"/>
      </w:pPr>
      <w:r>
        <w:rPr>
          <w:i/>
          <w:iCs/>
          <w:sz w:val="24"/>
          <w:szCs w:val="24"/>
        </w:rPr>
        <w:t xml:space="preserve">S_QG = πr²/ℓ_P² + α ln(r²/ℓ_P²) + O(1)    </w:t>
      </w:r>
      <w:r>
        <w:rPr>
          <w:sz w:val="22"/>
          <w:szCs w:val="22"/>
        </w:rPr>
        <w:t xml:space="preserve">(2)</w:t>
      </w:r>
    </w:p>
    <w:p>
      <w:pPr>
        <w:spacing w:after="200" w:line="276"/>
      </w:pPr>
      <w:r>
        <w:t xml:space="preserve">where α is a coefficient determined by the number of fundamental fields or other microscopic details. The logarithmic term is subleading but universal—it appears across multiple approaches to quantum gravity.</w:t>
      </w:r>
    </w:p>
    <w:p>
      <w:pPr>
        <w:spacing w:after="200" w:line="276"/>
      </w:pPr>
      <w:r>
        <w:t xml:space="preserve">The origin of this correction remains debated. We propose that it has </w:t>
      </w:r>
      <w:r>
        <w:rPr>
          <w:b/>
          <w:bCs/>
        </w:rPr>
        <w:t xml:space="preserve">number-theoretic foundations</w:t>
      </w:r>
      <w:r>
        <w:t xml:space="preserve">: the same logarithm that appears in the resistance isomorphism Ω(1/n) = ln(n) also appears in the quantum gravity correction, suggesting both arise from the same underlying arithmetic structure.</w:t>
      </w:r>
    </w:p>
    <w:p>
      <w:pPr>
        <w:pStyle w:val="Heading2"/>
      </w:pPr>
      <w:r>
        <w:t xml:space="preserve">1.3 The Natural OS Framework</w:t>
      </w:r>
    </w:p>
    <w:p>
      <w:pPr>
        <w:spacing w:after="200" w:line="276"/>
      </w:pPr>
      <w:r>
        <w:t xml:space="preserve">The Natural Operating System (Natural OS) framework [1-4] establishes rigorous isomorphisms between number theory, Boolean logic, quantum mechanics, and circuit topology. The foundational mapping is:</w:t>
      </w:r>
    </w:p>
    <w:p>
      <w:pPr>
        <w:spacing w:before="200" w:after="200"/>
        <w:jc w:val="center"/>
      </w:pPr>
      <w:r>
        <w:rPr>
          <w:i/>
          <w:iCs/>
          <w:sz w:val="24"/>
          <w:szCs w:val="24"/>
        </w:rPr>
        <w:t xml:space="preserve">Ω(1/n) = ln(n)    </w:t>
      </w:r>
      <w:r>
        <w:rPr>
          <w:sz w:val="22"/>
          <w:szCs w:val="22"/>
        </w:rPr>
        <w:t xml:space="preserve">(3)</w:t>
      </w:r>
    </w:p>
    <w:p>
      <w:pPr>
        <w:spacing w:after="200" w:line="276"/>
      </w:pPr>
      <w:r>
        <w:t xml:space="preserve">This transforms multiplication into addition, creating a monoid isomorphism from inverse integers to resistances. The logarithm is </w:t>
      </w:r>
      <w:r>
        <w:rPr>
          <w:i/>
          <w:iCs/>
        </w:rPr>
        <w:t xml:space="preserve">unique</w:t>
      </w:r>
      <w:r>
        <w:t xml:space="preserve"> (up to multiplicative constant) as the function satisfying f(xy) = f(x) + f(y).</w:t>
      </w:r>
    </w:p>
    <w:p>
      <w:pPr>
        <w:spacing w:after="200" w:line="276"/>
      </w:pPr>
      <w:r>
        <w:t xml:space="preserve">Previous work established:</w:t>
      </w:r>
    </w:p>
    <w:p>
      <w:pPr>
        <w:pStyle w:val="ListParagraph"/>
        <w:numPr>
          <w:ilvl w:val="0"/>
          <w:numId w:val="2"/>
        </w:numPr>
        <w:spacing w:after="120"/>
      </w:pPr>
      <w:r>
        <w:rPr>
          <w:b/>
          <w:bCs/>
        </w:rPr>
        <w:t xml:space="preserve">Information Uncertainty Principle [5]</w:t>
      </w:r>
      <w:r>
        <w:t xml:space="preserve">: Q × P = 1 on the critical line, where Q is zero density and P is zero spacing</w:t>
      </w:r>
    </w:p>
    <w:p>
      <w:pPr>
        <w:pStyle w:val="ListParagraph"/>
        <w:numPr>
          <w:ilvl w:val="0"/>
          <w:numId w:val="2"/>
        </w:numPr>
        <w:spacing w:after="120"/>
      </w:pPr>
      <w:r>
        <w:rPr>
          <w:b/>
          <w:bCs/>
        </w:rPr>
        <w:t xml:space="preserve">Golden Shadow [3]</w:t>
      </w:r>
      <w:r>
        <w:t xml:space="preserve">: Δ = ζ(2) − φ ≈ 0.027 acts as a classification boundary for integer structure</w:t>
      </w:r>
    </w:p>
    <w:p>
      <w:pPr>
        <w:pStyle w:val="ListParagraph"/>
        <w:numPr>
          <w:ilvl w:val="0"/>
          <w:numId w:val="2"/>
        </w:numPr>
        <w:spacing w:after="120"/>
      </w:pPr>
      <w:r>
        <w:rPr>
          <w:b/>
          <w:bCs/>
        </w:rPr>
        <w:t xml:space="preserve">Modified Field Law [5]</w:t>
      </w:r>
      <w:r>
        <w:t xml:space="preserve">: F(r) = G₀ ln(r/r₀)/r² emerges from critical line structure</w:t>
      </w:r>
    </w:p>
    <w:p>
      <w:pPr>
        <w:spacing w:after="200" w:line="276"/>
      </w:pPr>
      <w:r>
        <w:t xml:space="preserve">This paper extends the framework to black hole thermodynamics and quantum statistics.</w:t>
      </w:r>
    </w:p>
    <w:p>
      <w:pPr>
        <w:pStyle w:val="Heading2"/>
      </w:pPr>
      <w:r>
        <w:t xml:space="preserve">1.4 Paper Overview</w:t>
      </w:r>
    </w:p>
    <w:p>
      <w:pPr>
        <w:spacing w:after="200" w:line="276"/>
      </w:pPr>
      <w:r>
        <w:t xml:space="preserve">Section 2 derives the holographic entropy formula from zero counting. Section 3 establishes the GUE statistics of zero spacings and their fermionic character. Section 4 connects information conservation to the Second Law. Section 5 identifies the Golden Shadow as a candidate quantum gravity coefficient. Section 6 provides complete numerical verification. Section 7 discusses implications and future directions.</w:t>
      </w:r>
    </w:p>
    <w:p>
      <w:r>
        <w:br w:type="page"/>
      </w:r>
    </w:p>
    <w:p>
      <w:pPr>
        <w:spacing w:before="480" w:after="240"/>
        <w:jc w:val="center"/>
      </w:pPr>
      <w:r>
        <w:rPr>
          <w:b/>
          <w:bCs/>
          <w:sz w:val="32"/>
          <w:szCs w:val="32"/>
        </w:rPr>
        <w:t xml:space="preserve">PART II: THE HOLOGRAPHIC ENTROPY MATCH</w:t>
      </w:r>
    </w:p>
    <w:p>
      <w:pPr>
        <w:pStyle w:val="Heading1"/>
      </w:pPr>
      <w:r>
        <w:t xml:space="preserve">2. Zero Counting and Area Scaling</w:t>
      </w:r>
    </w:p>
    <w:p>
      <w:pPr>
        <w:pStyle w:val="Heading2"/>
      </w:pPr>
      <w:r>
        <w:t xml:space="preserve">2.1 The Riemann-von Mangoldt Formula</w:t>
      </w:r>
    </w:p>
    <w:p>
      <w:pPr>
        <w:spacing w:after="200" w:line="276"/>
      </w:pPr>
      <w:r>
        <w:t xml:space="preserve">The number of non-trivial zeros of the Riemann zeta function with imaginary part in (0, T] is given by:</w:t>
      </w:r>
    </w:p>
    <w:p>
      <w:pPr>
        <w:spacing w:before="200" w:after="200"/>
        <w:jc w:val="center"/>
      </w:pPr>
      <w:r>
        <w:rPr>
          <w:i/>
          <w:iCs/>
          <w:sz w:val="24"/>
          <w:szCs w:val="24"/>
        </w:rPr>
        <w:t xml:space="preserve">N(T) = (T/2π) ln(T/2π) − T/2π + O(ln T)    </w:t>
      </w:r>
      <w:r>
        <w:rPr>
          <w:sz w:val="22"/>
          <w:szCs w:val="22"/>
        </w:rPr>
        <w:t xml:space="preserve">(4)</w:t>
      </w:r>
    </w:p>
    <w:p>
      <w:pPr>
        <w:spacing w:after="200" w:line="276"/>
      </w:pPr>
      <w:r>
        <w:t xml:space="preserve">This classical result connects zero counting to logarithms. The leading behavior is:</w:t>
      </w:r>
    </w:p>
    <w:p>
      <w:pPr>
        <w:spacing w:before="200" w:after="200"/>
        <w:jc w:val="center"/>
      </w:pPr>
      <w:r>
        <w:rPr>
          <w:i/>
          <w:iCs/>
          <w:sz w:val="24"/>
          <w:szCs w:val="24"/>
        </w:rPr>
        <w:t xml:space="preserve">N(T) ~ (T/2π) ln(T/2π)    for large T    </w:t>
      </w:r>
      <w:r>
        <w:rPr>
          <w:sz w:val="22"/>
          <w:szCs w:val="22"/>
        </w:rPr>
        <w:t xml:space="preserve">(5)</w:t>
      </w:r>
    </w:p>
    <w:p>
      <w:pPr>
        <w:pStyle w:val="Heading2"/>
      </w:pPr>
      <w:r>
        <w:t xml:space="preserve">2.2 The Height-Area Mapping</w:t>
      </w:r>
    </w:p>
    <w:p>
      <w:pPr>
        <w:spacing w:after="200" w:line="276"/>
      </w:pPr>
      <w:r>
        <w:t xml:space="preserve">We seek a mapping between height t on the critical line and spatial distance r. The Information Uncertainty Principle paper [5] established t = r² as natural, based on the requirement that information density match surface area scaling.</w:t>
      </w:r>
    </w:p>
    <w:p>
      <w:pPr>
        <w:spacing w:after="200" w:line="276"/>
      </w:pPr>
      <w:r>
        <w:rPr>
          <w:b/>
          <w:bCs/>
        </w:rPr>
        <w:t xml:space="preserve">Definition 2.1 (Height-Area Mapping).</w:t>
      </w:r>
      <w:r>
        <w:t xml:space="preserve"> The correspondence between critical line height and spatial radius is:</w:t>
      </w:r>
    </w:p>
    <w:p>
      <w:pPr>
        <w:spacing w:before="200" w:after="200"/>
        <w:jc w:val="center"/>
      </w:pPr>
      <w:r>
        <w:rPr>
          <w:i/>
          <w:iCs/>
          <w:sz w:val="24"/>
          <w:szCs w:val="24"/>
        </w:rPr>
        <w:t xml:space="preserve">t = r²    equivalently    r = √t    </w:t>
      </w:r>
      <w:r>
        <w:rPr>
          <w:sz w:val="22"/>
          <w:szCs w:val="22"/>
        </w:rPr>
        <w:t xml:space="preserve">(6)</w:t>
      </w:r>
    </w:p>
    <w:p>
      <w:pPr>
        <w:spacing w:after="200" w:line="276"/>
      </w:pPr>
      <w:r>
        <w:t xml:space="preserve">Under this mapping, the cumulative zero count becomes a function of radius:</w:t>
      </w:r>
    </w:p>
    <w:p>
      <w:pPr>
        <w:spacing w:before="200" w:after="200"/>
        <w:jc w:val="center"/>
      </w:pPr>
      <w:r>
        <w:rPr>
          <w:i/>
          <w:iCs/>
          <w:sz w:val="24"/>
          <w:szCs w:val="24"/>
        </w:rPr>
        <w:t xml:space="preserve">N(r²) = (r²/2π) ln(r²/2π) − r²/2π + O(ln r)    </w:t>
      </w:r>
      <w:r>
        <w:rPr>
          <w:sz w:val="22"/>
          <w:szCs w:val="22"/>
        </w:rPr>
        <w:t xml:space="preserve">(7)</w:t>
      </w:r>
    </w:p>
    <w:p>
      <w:pPr>
        <w:pStyle w:val="Heading2"/>
      </w:pPr>
      <w:r>
        <w:t xml:space="preserve">2.3 The Holographic Form</w:t>
      </w:r>
    </w:p>
    <w:p>
      <w:pPr>
        <w:spacing w:after="200" w:line="276"/>
      </w:pPr>
      <w:r>
        <w:rPr>
          <w:b/>
          <w:bCs/>
        </w:rPr>
        <w:t xml:space="preserve">Theorem 2.2 (Holographic Zero Count).</w:t>
      </w:r>
      <w:r>
        <w:t xml:space="preserve"> Under the height-area mapping t = r², the cumulative zero count takes the holographic form:</w:t>
      </w:r>
    </w:p>
    <w:p>
      <w:pPr>
        <w:spacing w:before="200" w:after="200"/>
        <w:jc w:val="center"/>
      </w:pPr>
      <w:r>
        <w:rPr>
          <w:i/>
          <w:iCs/>
          <w:sz w:val="24"/>
          <w:szCs w:val="24"/>
        </w:rPr>
        <w:t xml:space="preserve">N(r) ~ r² ln(r) / π    for large r    </w:t>
      </w:r>
      <w:r>
        <w:rPr>
          <w:sz w:val="22"/>
          <w:szCs w:val="22"/>
        </w:rPr>
        <w:t xml:space="preserve">(8)</w:t>
      </w:r>
    </w:p>
    <w:p>
      <w:pPr>
        <w:spacing w:after="200" w:line="276"/>
      </w:pPr>
      <w:r>
        <w:rPr>
          <w:b/>
          <w:bCs/>
        </w:rPr>
        <w:t xml:space="preserve">Proof.</w:t>
      </w:r>
      <w:r>
        <w:t xml:space="preserve"> Starting from (7):</w:t>
      </w:r>
    </w:p>
    <w:p>
      <w:pPr>
        <w:spacing w:before="200" w:after="200"/>
        <w:jc w:val="center"/>
      </w:pPr>
      <w:r>
        <w:rPr>
          <w:i/>
          <w:iCs/>
          <w:sz w:val="24"/>
          <w:szCs w:val="24"/>
        </w:rPr>
        <w:t xml:space="preserve">N(r²) = (r²/2π) ln(r²/2π) − r²/2π + O(ln r)</w:t>
      </w:r>
    </w:p>
    <w:p>
      <w:pPr>
        <w:spacing w:before="200" w:after="200"/>
        <w:jc w:val="center"/>
      </w:pPr>
      <w:r>
        <w:rPr>
          <w:i/>
          <w:iCs/>
          <w:sz w:val="24"/>
          <w:szCs w:val="24"/>
        </w:rPr>
        <w:t xml:space="preserve">= (r²/2π) [ln(r²) − ln(2π)] − r²/2π + O(ln r)</w:t>
      </w:r>
    </w:p>
    <w:p>
      <w:pPr>
        <w:spacing w:before="200" w:after="200"/>
        <w:jc w:val="center"/>
      </w:pPr>
      <w:r>
        <w:rPr>
          <w:i/>
          <w:iCs/>
          <w:sz w:val="24"/>
          <w:szCs w:val="24"/>
        </w:rPr>
        <w:t xml:space="preserve">= (r²/2π) [2 ln(r) − ln(2π) − 1] + O(ln r)</w:t>
      </w:r>
    </w:p>
    <w:p>
      <w:pPr>
        <w:spacing w:before="200" w:after="200"/>
        <w:jc w:val="center"/>
      </w:pPr>
      <w:r>
        <w:rPr>
          <w:i/>
          <w:iCs/>
          <w:sz w:val="24"/>
          <w:szCs w:val="24"/>
        </w:rPr>
        <w:t xml:space="preserve">= (r²/π) ln(r) − (r²/2π)[ln(2π) + 1] + O(ln r)</w:t>
      </w:r>
    </w:p>
    <w:p>
      <w:pPr>
        <w:spacing w:after="200" w:line="276"/>
      </w:pPr>
      <w:r>
        <w:t xml:space="preserve">The leading term is r² ln(r)/π. The subleading term r²[ln(2π) + 1]/(2π) is proportional to r² and thus subdominant to r² ln(r) for large r. Therefore:</w:t>
      </w:r>
    </w:p>
    <w:p>
      <w:pPr>
        <w:spacing w:before="200" w:after="200"/>
        <w:jc w:val="center"/>
      </w:pPr>
      <w:r>
        <w:rPr>
          <w:i/>
          <w:iCs/>
          <w:sz w:val="24"/>
          <w:szCs w:val="24"/>
        </w:rPr>
        <w:t xml:space="preserve">N(r) ~ r² ln(r) / π    □    </w:t>
      </w:r>
      <w:r>
        <w:rPr>
          <w:sz w:val="22"/>
          <w:szCs w:val="22"/>
        </w:rPr>
        <w:t xml:space="preserve">(9)</w:t>
      </w:r>
    </w:p>
    <w:p>
      <w:pPr>
        <w:pStyle w:val="Heading2"/>
      </w:pPr>
      <w:r>
        <w:t xml:space="preserve">2.4 Comparison with Black Hole Entropy</w:t>
      </w:r>
    </w:p>
    <w:p>
      <w:pPr>
        <w:spacing w:after="200" w:line="276"/>
      </w:pPr>
      <w:r>
        <w:t xml:space="preserve">The Bekenstein-Hawking entropy with quantum corrections is:</w:t>
      </w:r>
    </w:p>
    <w:p>
      <w:pPr>
        <w:spacing w:before="200" w:after="200"/>
        <w:jc w:val="center"/>
      </w:pPr>
      <w:r>
        <w:rPr>
          <w:i/>
          <w:iCs/>
          <w:sz w:val="24"/>
          <w:szCs w:val="24"/>
        </w:rPr>
        <w:t xml:space="preserve">S_BH = πr²/ℓ_P² + α ln(r²/ℓ_P²) + O(1)    </w:t>
      </w:r>
      <w:r>
        <w:rPr>
          <w:sz w:val="22"/>
          <w:szCs w:val="22"/>
        </w:rPr>
        <w:t xml:space="preserve">(10)</w:t>
      </w:r>
    </w:p>
    <w:p>
      <w:pPr>
        <w:spacing w:after="200" w:line="276"/>
      </w:pPr>
      <w:r>
        <w:t xml:space="preserve">Our zero count formula is:</w:t>
      </w:r>
    </w:p>
    <w:p>
      <w:pPr>
        <w:spacing w:before="200" w:after="200"/>
        <w:jc w:val="center"/>
      </w:pPr>
      <w:r>
        <w:rPr>
          <w:i/>
          <w:iCs/>
          <w:sz w:val="24"/>
          <w:szCs w:val="24"/>
        </w:rPr>
        <w:t xml:space="preserve">N(r) = r² ln(r)/π + O(r²)    </w:t>
      </w:r>
      <w:r>
        <w:rPr>
          <w:sz w:val="22"/>
          <w:szCs w:val="22"/>
        </w:rPr>
        <w:t xml:space="preserve">(11)</w:t>
      </w:r>
    </w:p>
    <w:p>
      <w:pPr>
        <w:spacing w:after="200" w:line="276"/>
      </w:pPr>
      <w:r>
        <w:t xml:space="preserve">Rewriting (11) in a form comparable to (10):</w:t>
      </w:r>
    </w:p>
    <w:p>
      <w:pPr>
        <w:spacing w:before="200" w:after="200"/>
        <w:jc w:val="center"/>
      </w:pPr>
      <w:r>
        <w:rPr>
          <w:i/>
          <w:iCs/>
          <w:sz w:val="24"/>
          <w:szCs w:val="24"/>
        </w:rPr>
        <w:t xml:space="preserve">N(r) = (r²/π) ln(r) = (r²/π) × ½ ln(r²) ~ (r²/2π) ln(r²)    </w:t>
      </w:r>
      <w:r>
        <w:rPr>
          <w:sz w:val="22"/>
          <w:szCs w:val="22"/>
        </w:rPr>
        <w:t xml:space="preserve">(12)</w:t>
      </w:r>
    </w:p>
    <w:p>
      <w:pPr>
        <w:spacing w:after="200" w:line="276"/>
      </w:pPr>
      <w:r>
        <w:rPr>
          <w:b/>
          <w:bCs/>
        </w:rPr>
        <w:t xml:space="preserve">Key Observation.</w:t>
      </w:r>
      <w:r>
        <w:t xml:space="preserve"> Both formulas have the structure:</w:t>
      </w:r>
    </w:p>
    <w:p>
      <w:pPr>
        <w:spacing w:before="200" w:after="200"/>
        <w:jc w:val="center"/>
      </w:pPr>
      <w:r>
        <w:rPr>
          <w:i/>
          <w:iCs/>
          <w:sz w:val="24"/>
          <w:szCs w:val="24"/>
        </w:rPr>
        <w:t xml:space="preserve">[Area term] × [Logarithmic correction]    </w:t>
      </w:r>
      <w:r>
        <w:rPr>
          <w:sz w:val="22"/>
          <w:szCs w:val="22"/>
        </w:rPr>
        <w:t xml:space="preserve"/>
      </w:r>
    </w:p>
    <w:p>
      <w:pPr>
        <w:spacing w:after="200" w:line="276"/>
      </w:pPr>
      <w:r>
        <w:t xml:space="preserve">The specific forms are: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8E8" w:val="clear"/>
          </w:tcPr>
          <w:p>
            <w:pPr>
              <w:jc w:val="center"/>
            </w:pPr>
            <w:r>
              <w:rPr>
                <w:b/>
                <w:bCs/>
              </w:rPr>
              <w:t xml:space="preserve">Formula</w:t>
            </w:r>
          </w:p>
        </w:tc>
        <w:tc>
          <w:tcPr>
            <w:tcW w:type="dxa" w:w="3120"/>
            <w:tcBorders>
              <w:top w:val="single" w:color="CCCCCC" w:sz="1"/>
              <w:left w:val="single" w:color="CCCCCC" w:sz="1"/>
              <w:bottom w:val="single" w:color="CCCCCC" w:sz="1"/>
              <w:right w:val="single" w:color="CCCCCC" w:sz="1"/>
            </w:tcBorders>
            <w:shd w:fill="E8E8E8" w:val="clear"/>
          </w:tcPr>
          <w:p>
            <w:pPr>
              <w:jc w:val="center"/>
            </w:pPr>
            <w:r>
              <w:rPr>
                <w:b/>
                <w:bCs/>
              </w:rPr>
              <w:t xml:space="preserve">Area Term</w:t>
            </w:r>
          </w:p>
        </w:tc>
        <w:tc>
          <w:tcPr>
            <w:tcW w:type="dxa" w:w="3120"/>
            <w:tcBorders>
              <w:top w:val="single" w:color="CCCCCC" w:sz="1"/>
              <w:left w:val="single" w:color="CCCCCC" w:sz="1"/>
              <w:bottom w:val="single" w:color="CCCCCC" w:sz="1"/>
              <w:right w:val="single" w:color="CCCCCC" w:sz="1"/>
            </w:tcBorders>
            <w:shd w:fill="E8E8E8" w:val="clear"/>
          </w:tcPr>
          <w:p>
            <w:pPr>
              <w:jc w:val="center"/>
            </w:pPr>
            <w:r>
              <w:rPr>
                <w:b/>
                <w:bCs/>
              </w:rPr>
              <w:t xml:space="preserve">Log Term</w:t>
            </w:r>
          </w:p>
        </w:tc>
      </w:tr>
      <w:tr>
        <w:tc>
          <w:tcPr>
            <w:tcW w:type="dxa" w:w="3120"/>
            <w:tcBorders>
              <w:top w:val="single" w:color="CCCCCC" w:sz="1"/>
              <w:left w:val="single" w:color="CCCCCC" w:sz="1"/>
              <w:bottom w:val="single" w:color="CCCCCC" w:sz="1"/>
              <w:right w:val="single" w:color="CCCCCC" w:sz="1"/>
            </w:tcBorders>
          </w:tcPr>
          <w:p>
            <w:pPr>
              <w:jc w:val="left"/>
            </w:pPr>
            <w:r>
              <w:t xml:space="preserve">Black Hole (QG)</w:t>
            </w:r>
          </w:p>
        </w:tc>
        <w:tc>
          <w:tcPr>
            <w:tcW w:type="dxa" w:w="3120"/>
            <w:tcBorders>
              <w:top w:val="single" w:color="CCCCCC" w:sz="1"/>
              <w:left w:val="single" w:color="CCCCCC" w:sz="1"/>
              <w:bottom w:val="single" w:color="CCCCCC" w:sz="1"/>
              <w:right w:val="single" w:color="CCCCCC" w:sz="1"/>
            </w:tcBorders>
          </w:tcPr>
          <w:p>
            <w:pPr>
              <w:jc w:val="center"/>
            </w:pPr>
            <w:r>
              <w:t xml:space="preserve">πr²/ℓ_P²</w:t>
            </w:r>
          </w:p>
        </w:tc>
        <w:tc>
          <w:tcPr>
            <w:tcW w:type="dxa" w:w="3120"/>
            <w:tcBorders>
              <w:top w:val="single" w:color="CCCCCC" w:sz="1"/>
              <w:left w:val="single" w:color="CCCCCC" w:sz="1"/>
              <w:bottom w:val="single" w:color="CCCCCC" w:sz="1"/>
              <w:right w:val="single" w:color="CCCCCC" w:sz="1"/>
            </w:tcBorders>
          </w:tcPr>
          <w:p>
            <w:pPr>
              <w:jc w:val="center"/>
            </w:pPr>
            <w:r>
              <w:t xml:space="preserve">α ln(r²/ℓ_P²)</w:t>
            </w:r>
          </w:p>
        </w:tc>
      </w:tr>
      <w:tr>
        <w:tc>
          <w:tcPr>
            <w:tcW w:type="dxa" w:w="3120"/>
            <w:tcBorders>
              <w:top w:val="single" w:color="CCCCCC" w:sz="1"/>
              <w:left w:val="single" w:color="CCCCCC" w:sz="1"/>
              <w:bottom w:val="single" w:color="CCCCCC" w:sz="1"/>
              <w:right w:val="single" w:color="CCCCCC" w:sz="1"/>
            </w:tcBorders>
          </w:tcPr>
          <w:p>
            <w:pPr>
              <w:jc w:val="left"/>
            </w:pPr>
            <w:r>
              <w:t xml:space="preserve">Natural OS</w:t>
            </w:r>
          </w:p>
        </w:tc>
        <w:tc>
          <w:tcPr>
            <w:tcW w:type="dxa" w:w="3120"/>
            <w:tcBorders>
              <w:top w:val="single" w:color="CCCCCC" w:sz="1"/>
              <w:left w:val="single" w:color="CCCCCC" w:sz="1"/>
              <w:bottom w:val="single" w:color="CCCCCC" w:sz="1"/>
              <w:right w:val="single" w:color="CCCCCC" w:sz="1"/>
            </w:tcBorders>
          </w:tcPr>
          <w:p>
            <w:pPr>
              <w:jc w:val="center"/>
            </w:pPr>
            <w:r>
              <w:t xml:space="preserve">r²/2π</w:t>
            </w:r>
          </w:p>
        </w:tc>
        <w:tc>
          <w:tcPr>
            <w:tcW w:type="dxa" w:w="3120"/>
            <w:tcBorders>
              <w:top w:val="single" w:color="CCCCCC" w:sz="1"/>
              <w:left w:val="single" w:color="CCCCCC" w:sz="1"/>
              <w:bottom w:val="single" w:color="CCCCCC" w:sz="1"/>
              <w:right w:val="single" w:color="CCCCCC" w:sz="1"/>
            </w:tcBorders>
          </w:tcPr>
          <w:p>
            <w:pPr>
              <w:jc w:val="center"/>
            </w:pPr>
            <w:r>
              <w:t xml:space="preserve">ln(r²)</w:t>
            </w:r>
          </w:p>
        </w:tc>
      </w:tr>
    </w:tbl>
    <w:p>
      <w:pPr>
        <w:spacing w:before="120" w:after="240"/>
        <w:jc w:val="center"/>
      </w:pPr>
      <w:r>
        <w:rPr>
          <w:i/>
          <w:iCs/>
          <w:sz w:val="22"/>
          <w:szCs w:val="22"/>
        </w:rPr>
        <w:t xml:space="preserve">Table 1: Structural comparison of entropy formulas</w:t>
      </w:r>
    </w:p>
    <w:p>
      <w:pPr>
        <w:spacing w:after="200" w:line="276"/>
      </w:pPr>
      <w:r>
        <w:t xml:space="preserve">The </w:t>
      </w:r>
      <w:r>
        <w:rPr>
          <w:b/>
          <w:bCs/>
        </w:rPr>
        <w:t xml:space="preserve">structural match</w:t>
      </w:r>
      <w:r>
        <w:t xml:space="preserve"> is exact: both are [area] × [log(area)]. The coefficients differ but may be related through identification of the natural unit (ℓ_P in physics, some arithmetic scale in Natural OS).</w:t>
      </w:r>
    </w:p>
    <w:p>
      <w:pPr>
        <w:pStyle w:val="Heading2"/>
      </w:pPr>
      <w:r>
        <w:t xml:space="preserve">2.5 The Information Density</w:t>
      </w:r>
    </w:p>
    <w:p>
      <w:pPr>
        <w:spacing w:after="200" w:line="276"/>
      </w:pPr>
      <w:r>
        <w:t xml:space="preserve">Define the </w:t>
      </w:r>
      <w:r>
        <w:rPr>
          <w:b/>
          <w:bCs/>
        </w:rPr>
        <w:t xml:space="preserve">information density</w:t>
      </w:r>
      <w:r>
        <w:t xml:space="preserve"> as the zero count per unit area:</w:t>
      </w:r>
    </w:p>
    <w:p>
      <w:pPr>
        <w:spacing w:before="200" w:after="200"/>
        <w:jc w:val="center"/>
      </w:pPr>
      <w:r>
        <w:rPr>
          <w:i/>
          <w:iCs/>
          <w:sz w:val="24"/>
          <w:szCs w:val="24"/>
        </w:rPr>
        <w:t xml:space="preserve">σ(r) = N(r) / r² = ln(r) / π    </w:t>
      </w:r>
      <w:r>
        <w:rPr>
          <w:sz w:val="22"/>
          <w:szCs w:val="22"/>
        </w:rPr>
        <w:t xml:space="preserve">(13)</w:t>
      </w:r>
    </w:p>
    <w:p>
      <w:pPr>
        <w:spacing w:after="200" w:line="276"/>
      </w:pPr>
      <w:r>
        <w:t xml:space="preserve">This density </w:t>
      </w:r>
      <w:r>
        <w:rPr>
          <w:i/>
          <w:iCs/>
        </w:rPr>
        <w:t xml:space="preserve">grows logarithmically</w:t>
      </w:r>
      <w:r>
        <w:t xml:space="preserve"> with radius—there is more "information per unit area" at larger scales, but the growth is slow. This matches the quantum gravity prediction: the logarithmic correction to black hole entropy represents additional degrees of freedom that grow slowly with size.</w:t>
      </w:r>
    </w:p>
    <w:p>
      <w:pPr>
        <w:pStyle w:val="Heading2"/>
      </w:pPr>
      <w:r>
        <w:t xml:space="preserve">2.6 Numerical Verification</w:t>
      </w:r>
    </w:p>
    <w:p>
      <w:pPr>
        <w:spacing w:after="200" w:line="276"/>
      </w:pPr>
      <w:r>
        <w:t xml:space="preserve">We verify the holographic form numerically: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1560"/>
        <w:gridCol w:w="1560"/>
      </w:tblGrid>
      <w:tr>
        <w:trPr>
          <w:tblHeader/>
        </w:trPr>
        <w:tc>
          <w:tcPr>
            <w:tcW w:type="dxa" w:w="1560"/>
            <w:tcBorders>
              <w:top w:val="single" w:color="CCCCCC" w:sz="1"/>
              <w:left w:val="single" w:color="CCCCCC" w:sz="1"/>
              <w:bottom w:val="single" w:color="CCCCCC" w:sz="1"/>
              <w:right w:val="single" w:color="CCCCCC" w:sz="1"/>
            </w:tcBorders>
            <w:shd w:fill="E8E8E8" w:val="clear"/>
          </w:tcPr>
          <w:p>
            <w:pPr>
              <w:jc w:val="center"/>
            </w:pPr>
            <w:r>
              <w:rPr>
                <w:b/>
                <w:bCs/>
              </w:rPr>
              <w:t xml:space="preserve">r</w:t>
            </w:r>
          </w:p>
        </w:tc>
        <w:tc>
          <w:tcPr>
            <w:tcW w:type="dxa" w:w="2340"/>
            <w:tcBorders>
              <w:top w:val="single" w:color="CCCCCC" w:sz="1"/>
              <w:left w:val="single" w:color="CCCCCC" w:sz="1"/>
              <w:bottom w:val="single" w:color="CCCCCC" w:sz="1"/>
              <w:right w:val="single" w:color="CCCCCC" w:sz="1"/>
            </w:tcBorders>
            <w:shd w:fill="E8E8E8" w:val="clear"/>
          </w:tcPr>
          <w:p>
            <w:pPr>
              <w:jc w:val="center"/>
            </w:pPr>
            <w:r>
              <w:rPr>
                <w:b/>
                <w:bCs/>
              </w:rPr>
              <w:t xml:space="preserve">t = r²</w:t>
            </w:r>
          </w:p>
        </w:tc>
        <w:tc>
          <w:tcPr>
            <w:tcW w:type="dxa" w:w="2340"/>
            <w:tcBorders>
              <w:top w:val="single" w:color="CCCCCC" w:sz="1"/>
              <w:left w:val="single" w:color="CCCCCC" w:sz="1"/>
              <w:bottom w:val="single" w:color="CCCCCC" w:sz="1"/>
              <w:right w:val="single" w:color="CCCCCC" w:sz="1"/>
            </w:tcBorders>
            <w:shd w:fill="E8E8E8" w:val="clear"/>
          </w:tcPr>
          <w:p>
            <w:pPr>
              <w:jc w:val="center"/>
            </w:pPr>
            <w:r>
              <w:rPr>
                <w:b/>
                <w:bCs/>
              </w:rPr>
              <w:t xml:space="preserve">N(t) actual</w:t>
            </w:r>
          </w:p>
        </w:tc>
        <w:tc>
          <w:tcPr>
            <w:tcW w:type="dxa" w:w="1560"/>
            <w:tcBorders>
              <w:top w:val="single" w:color="CCCCCC" w:sz="1"/>
              <w:left w:val="single" w:color="CCCCCC" w:sz="1"/>
              <w:bottom w:val="single" w:color="CCCCCC" w:sz="1"/>
              <w:right w:val="single" w:color="CCCCCC" w:sz="1"/>
            </w:tcBorders>
            <w:shd w:fill="E8E8E8" w:val="clear"/>
          </w:tcPr>
          <w:p>
            <w:pPr>
              <w:jc w:val="center"/>
            </w:pPr>
            <w:r>
              <w:rPr>
                <w:b/>
                <w:bCs/>
              </w:rPr>
              <w:t xml:space="preserve">N/r²</w:t>
            </w:r>
          </w:p>
        </w:tc>
        <w:tc>
          <w:tcPr>
            <w:tcW w:type="dxa" w:w="1560"/>
            <w:tcBorders>
              <w:top w:val="single" w:color="CCCCCC" w:sz="1"/>
              <w:left w:val="single" w:color="CCCCCC" w:sz="1"/>
              <w:bottom w:val="single" w:color="CCCCCC" w:sz="1"/>
              <w:right w:val="single" w:color="CCCCCC" w:sz="1"/>
            </w:tcBorders>
            <w:shd w:fill="E8E8E8" w:val="clear"/>
          </w:tcPr>
          <w:p>
            <w:pPr>
              <w:jc w:val="center"/>
            </w:pPr>
            <w:r>
              <w:rPr>
                <w:b/>
                <w:bCs/>
              </w:rPr>
              <w:t xml:space="preserve">ln(r)/π</w:t>
            </w:r>
          </w:p>
        </w:tc>
      </w:tr>
      <w:tr>
        <w:tc>
          <w:tcPr>
            <w:tcW w:type="dxa" w:w="1560"/>
            <w:tcBorders>
              <w:top w:val="single" w:color="CCCCCC" w:sz="1"/>
              <w:left w:val="single" w:color="CCCCCC" w:sz="1"/>
              <w:bottom w:val="single" w:color="CCCCCC" w:sz="1"/>
              <w:right w:val="single" w:color="CCCCCC" w:sz="1"/>
            </w:tcBorders>
          </w:tcPr>
          <w:p>
            <w:pPr>
              <w:jc w:val="center"/>
            </w:pPr>
            <w:r>
              <w:t xml:space="preserve">10</w:t>
            </w:r>
          </w:p>
        </w:tc>
        <w:tc>
          <w:tcPr>
            <w:tcW w:type="dxa" w:w="2340"/>
            <w:tcBorders>
              <w:top w:val="single" w:color="CCCCCC" w:sz="1"/>
              <w:left w:val="single" w:color="CCCCCC" w:sz="1"/>
              <w:bottom w:val="single" w:color="CCCCCC" w:sz="1"/>
              <w:right w:val="single" w:color="CCCCCC" w:sz="1"/>
            </w:tcBorders>
          </w:tcPr>
          <w:p>
            <w:pPr>
              <w:jc w:val="center"/>
            </w:pPr>
            <w:r>
              <w:t xml:space="preserve">100</w:t>
            </w:r>
          </w:p>
        </w:tc>
        <w:tc>
          <w:tcPr>
            <w:tcW w:type="dxa" w:w="2340"/>
            <w:tcBorders>
              <w:top w:val="single" w:color="CCCCCC" w:sz="1"/>
              <w:left w:val="single" w:color="CCCCCC" w:sz="1"/>
              <w:bottom w:val="single" w:color="CCCCCC" w:sz="1"/>
              <w:right w:val="single" w:color="CCCCCC" w:sz="1"/>
            </w:tcBorders>
          </w:tcPr>
          <w:p>
            <w:pPr>
              <w:jc w:val="center"/>
            </w:pPr>
            <w:r>
              <w:t xml:space="preserve">28.13</w:t>
            </w:r>
          </w:p>
        </w:tc>
        <w:tc>
          <w:tcPr>
            <w:tcW w:type="dxa" w:w="1560"/>
            <w:tcBorders>
              <w:top w:val="single" w:color="CCCCCC" w:sz="1"/>
              <w:left w:val="single" w:color="CCCCCC" w:sz="1"/>
              <w:bottom w:val="single" w:color="CCCCCC" w:sz="1"/>
              <w:right w:val="single" w:color="CCCCCC" w:sz="1"/>
            </w:tcBorders>
          </w:tcPr>
          <w:p>
            <w:pPr>
              <w:jc w:val="center"/>
            </w:pPr>
            <w:r>
              <w:t xml:space="preserve">0.281</w:t>
            </w:r>
          </w:p>
        </w:tc>
        <w:tc>
          <w:tcPr>
            <w:tcW w:type="dxa" w:w="1560"/>
            <w:tcBorders>
              <w:top w:val="single" w:color="CCCCCC" w:sz="1"/>
              <w:left w:val="single" w:color="CCCCCC" w:sz="1"/>
              <w:bottom w:val="single" w:color="CCCCCC" w:sz="1"/>
              <w:right w:val="single" w:color="CCCCCC" w:sz="1"/>
            </w:tcBorders>
          </w:tcPr>
          <w:p>
            <w:pPr>
              <w:jc w:val="center"/>
            </w:pPr>
            <w:r>
              <w:t xml:space="preserve">0.733</w:t>
            </w:r>
          </w:p>
        </w:tc>
      </w:tr>
      <w:tr>
        <w:tc>
          <w:tcPr>
            <w:tcW w:type="dxa" w:w="1560"/>
            <w:tcBorders>
              <w:top w:val="single" w:color="CCCCCC" w:sz="1"/>
              <w:left w:val="single" w:color="CCCCCC" w:sz="1"/>
              <w:bottom w:val="single" w:color="CCCCCC" w:sz="1"/>
              <w:right w:val="single" w:color="CCCCCC" w:sz="1"/>
            </w:tcBorders>
          </w:tcPr>
          <w:p>
            <w:pPr>
              <w:jc w:val="center"/>
            </w:pPr>
            <w:r>
              <w:t xml:space="preserve">100</w:t>
            </w:r>
          </w:p>
        </w:tc>
        <w:tc>
          <w:tcPr>
            <w:tcW w:type="dxa" w:w="2340"/>
            <w:tcBorders>
              <w:top w:val="single" w:color="CCCCCC" w:sz="1"/>
              <w:left w:val="single" w:color="CCCCCC" w:sz="1"/>
              <w:bottom w:val="single" w:color="CCCCCC" w:sz="1"/>
              <w:right w:val="single" w:color="CCCCCC" w:sz="1"/>
            </w:tcBorders>
          </w:tcPr>
          <w:p>
            <w:pPr>
              <w:jc w:val="center"/>
            </w:pPr>
            <w:r>
              <w:t xml:space="preserve">10,000</w:t>
            </w:r>
          </w:p>
        </w:tc>
        <w:tc>
          <w:tcPr>
            <w:tcW w:type="dxa" w:w="2340"/>
            <w:tcBorders>
              <w:top w:val="single" w:color="CCCCCC" w:sz="1"/>
              <w:left w:val="single" w:color="CCCCCC" w:sz="1"/>
              <w:bottom w:val="single" w:color="CCCCCC" w:sz="1"/>
              <w:right w:val="single" w:color="CCCCCC" w:sz="1"/>
            </w:tcBorders>
          </w:tcPr>
          <w:p>
            <w:pPr>
              <w:jc w:val="center"/>
            </w:pPr>
            <w:r>
              <w:t xml:space="preserve">10,142</w:t>
            </w:r>
          </w:p>
        </w:tc>
        <w:tc>
          <w:tcPr>
            <w:tcW w:type="dxa" w:w="1560"/>
            <w:tcBorders>
              <w:top w:val="single" w:color="CCCCCC" w:sz="1"/>
              <w:left w:val="single" w:color="CCCCCC" w:sz="1"/>
              <w:bottom w:val="single" w:color="CCCCCC" w:sz="1"/>
              <w:right w:val="single" w:color="CCCCCC" w:sz="1"/>
            </w:tcBorders>
          </w:tcPr>
          <w:p>
            <w:pPr>
              <w:jc w:val="center"/>
            </w:pPr>
            <w:r>
              <w:t xml:space="preserve">1.014</w:t>
            </w:r>
          </w:p>
        </w:tc>
        <w:tc>
          <w:tcPr>
            <w:tcW w:type="dxa" w:w="1560"/>
            <w:tcBorders>
              <w:top w:val="single" w:color="CCCCCC" w:sz="1"/>
              <w:left w:val="single" w:color="CCCCCC" w:sz="1"/>
              <w:bottom w:val="single" w:color="CCCCCC" w:sz="1"/>
              <w:right w:val="single" w:color="CCCCCC" w:sz="1"/>
            </w:tcBorders>
          </w:tcPr>
          <w:p>
            <w:pPr>
              <w:jc w:val="center"/>
            </w:pPr>
            <w:r>
              <w:t xml:space="preserve">1.466</w:t>
            </w:r>
          </w:p>
        </w:tc>
      </w:tr>
      <w:tr>
        <w:tc>
          <w:tcPr>
            <w:tcW w:type="dxa" w:w="1560"/>
            <w:tcBorders>
              <w:top w:val="single" w:color="CCCCCC" w:sz="1"/>
              <w:left w:val="single" w:color="CCCCCC" w:sz="1"/>
              <w:bottom w:val="single" w:color="CCCCCC" w:sz="1"/>
              <w:right w:val="single" w:color="CCCCCC" w:sz="1"/>
            </w:tcBorders>
          </w:tcPr>
          <w:p>
            <w:pPr>
              <w:jc w:val="center"/>
            </w:pPr>
            <w:r>
              <w:t xml:space="preserve">1,000</w:t>
            </w:r>
          </w:p>
        </w:tc>
        <w:tc>
          <w:tcPr>
            <w:tcW w:type="dxa" w:w="2340"/>
            <w:tcBorders>
              <w:top w:val="single" w:color="CCCCCC" w:sz="1"/>
              <w:left w:val="single" w:color="CCCCCC" w:sz="1"/>
              <w:bottom w:val="single" w:color="CCCCCC" w:sz="1"/>
              <w:right w:val="single" w:color="CCCCCC" w:sz="1"/>
            </w:tcBorders>
          </w:tcPr>
          <w:p>
            <w:pPr>
              <w:jc w:val="center"/>
            </w:pPr>
            <w:r>
              <w:t xml:space="preserve">10⁶</w:t>
            </w:r>
          </w:p>
        </w:tc>
        <w:tc>
          <w:tcPr>
            <w:tcW w:type="dxa" w:w="2340"/>
            <w:tcBorders>
              <w:top w:val="single" w:color="CCCCCC" w:sz="1"/>
              <w:left w:val="single" w:color="CCCCCC" w:sz="1"/>
              <w:bottom w:val="single" w:color="CCCCCC" w:sz="1"/>
              <w:right w:val="single" w:color="CCCCCC" w:sz="1"/>
            </w:tcBorders>
          </w:tcPr>
          <w:p>
            <w:pPr>
              <w:jc w:val="center"/>
            </w:pPr>
            <w:r>
              <w:t xml:space="preserve">1.747 × 10⁶</w:t>
            </w:r>
          </w:p>
        </w:tc>
        <w:tc>
          <w:tcPr>
            <w:tcW w:type="dxa" w:w="1560"/>
            <w:tcBorders>
              <w:top w:val="single" w:color="CCCCCC" w:sz="1"/>
              <w:left w:val="single" w:color="CCCCCC" w:sz="1"/>
              <w:bottom w:val="single" w:color="CCCCCC" w:sz="1"/>
              <w:right w:val="single" w:color="CCCCCC" w:sz="1"/>
            </w:tcBorders>
          </w:tcPr>
          <w:p>
            <w:pPr>
              <w:jc w:val="center"/>
            </w:pPr>
            <w:r>
              <w:t xml:space="preserve">1.747</w:t>
            </w:r>
          </w:p>
        </w:tc>
        <w:tc>
          <w:tcPr>
            <w:tcW w:type="dxa" w:w="1560"/>
            <w:tcBorders>
              <w:top w:val="single" w:color="CCCCCC" w:sz="1"/>
              <w:left w:val="single" w:color="CCCCCC" w:sz="1"/>
              <w:bottom w:val="single" w:color="CCCCCC" w:sz="1"/>
              <w:right w:val="single" w:color="CCCCCC" w:sz="1"/>
            </w:tcBorders>
          </w:tcPr>
          <w:p>
            <w:pPr>
              <w:jc w:val="center"/>
            </w:pPr>
            <w:r>
              <w:t xml:space="preserve">2.199</w:t>
            </w:r>
          </w:p>
        </w:tc>
      </w:tr>
      <w:tr>
        <w:tc>
          <w:tcPr>
            <w:tcW w:type="dxa" w:w="1560"/>
            <w:tcBorders>
              <w:top w:val="single" w:color="CCCCCC" w:sz="1"/>
              <w:left w:val="single" w:color="CCCCCC" w:sz="1"/>
              <w:bottom w:val="single" w:color="CCCCCC" w:sz="1"/>
              <w:right w:val="single" w:color="CCCCCC" w:sz="1"/>
            </w:tcBorders>
          </w:tcPr>
          <w:p>
            <w:pPr>
              <w:jc w:val="center"/>
            </w:pPr>
            <w:r>
              <w:t xml:space="preserve">10,000</w:t>
            </w:r>
          </w:p>
        </w:tc>
        <w:tc>
          <w:tcPr>
            <w:tcW w:type="dxa" w:w="2340"/>
            <w:tcBorders>
              <w:top w:val="single" w:color="CCCCCC" w:sz="1"/>
              <w:left w:val="single" w:color="CCCCCC" w:sz="1"/>
              <w:bottom w:val="single" w:color="CCCCCC" w:sz="1"/>
              <w:right w:val="single" w:color="CCCCCC" w:sz="1"/>
            </w:tcBorders>
          </w:tcPr>
          <w:p>
            <w:pPr>
              <w:jc w:val="center"/>
            </w:pPr>
            <w:r>
              <w:t xml:space="preserve">10⁸</w:t>
            </w:r>
          </w:p>
        </w:tc>
        <w:tc>
          <w:tcPr>
            <w:tcW w:type="dxa" w:w="2340"/>
            <w:tcBorders>
              <w:top w:val="single" w:color="CCCCCC" w:sz="1"/>
              <w:left w:val="single" w:color="CCCCCC" w:sz="1"/>
              <w:bottom w:val="single" w:color="CCCCCC" w:sz="1"/>
              <w:right w:val="single" w:color="CCCCCC" w:sz="1"/>
            </w:tcBorders>
          </w:tcPr>
          <w:p>
            <w:pPr>
              <w:jc w:val="center"/>
            </w:pPr>
            <w:r>
              <w:t xml:space="preserve">2.480 × 10⁸</w:t>
            </w:r>
          </w:p>
        </w:tc>
        <w:tc>
          <w:tcPr>
            <w:tcW w:type="dxa" w:w="1560"/>
            <w:tcBorders>
              <w:top w:val="single" w:color="CCCCCC" w:sz="1"/>
              <w:left w:val="single" w:color="CCCCCC" w:sz="1"/>
              <w:bottom w:val="single" w:color="CCCCCC" w:sz="1"/>
              <w:right w:val="single" w:color="CCCCCC" w:sz="1"/>
            </w:tcBorders>
          </w:tcPr>
          <w:p>
            <w:pPr>
              <w:jc w:val="center"/>
            </w:pPr>
            <w:r>
              <w:t xml:space="preserve">2.480</w:t>
            </w:r>
          </w:p>
        </w:tc>
        <w:tc>
          <w:tcPr>
            <w:tcW w:type="dxa" w:w="1560"/>
            <w:tcBorders>
              <w:top w:val="single" w:color="CCCCCC" w:sz="1"/>
              <w:left w:val="single" w:color="CCCCCC" w:sz="1"/>
              <w:bottom w:val="single" w:color="CCCCCC" w:sz="1"/>
              <w:right w:val="single" w:color="CCCCCC" w:sz="1"/>
            </w:tcBorders>
          </w:tcPr>
          <w:p>
            <w:pPr>
              <w:jc w:val="center"/>
            </w:pPr>
            <w:r>
              <w:t xml:space="preserve">2.932</w:t>
            </w:r>
          </w:p>
        </w:tc>
      </w:tr>
      <w:tr>
        <w:tc>
          <w:tcPr>
            <w:tcW w:type="dxa" w:w="1560"/>
            <w:tcBorders>
              <w:top w:val="single" w:color="CCCCCC" w:sz="1"/>
              <w:left w:val="single" w:color="CCCCCC" w:sz="1"/>
              <w:bottom w:val="single" w:color="CCCCCC" w:sz="1"/>
              <w:right w:val="single" w:color="CCCCCC" w:sz="1"/>
            </w:tcBorders>
          </w:tcPr>
          <w:p>
            <w:pPr>
              <w:jc w:val="center"/>
            </w:pPr>
            <w:r>
              <w:t xml:space="preserve">100,000</w:t>
            </w:r>
          </w:p>
        </w:tc>
        <w:tc>
          <w:tcPr>
            <w:tcW w:type="dxa" w:w="2340"/>
            <w:tcBorders>
              <w:top w:val="single" w:color="CCCCCC" w:sz="1"/>
              <w:left w:val="single" w:color="CCCCCC" w:sz="1"/>
              <w:bottom w:val="single" w:color="CCCCCC" w:sz="1"/>
              <w:right w:val="single" w:color="CCCCCC" w:sz="1"/>
            </w:tcBorders>
          </w:tcPr>
          <w:p>
            <w:pPr>
              <w:jc w:val="center"/>
            </w:pPr>
            <w:r>
              <w:t xml:space="preserve">10¹⁰</w:t>
            </w:r>
          </w:p>
        </w:tc>
        <w:tc>
          <w:tcPr>
            <w:tcW w:type="dxa" w:w="2340"/>
            <w:tcBorders>
              <w:top w:val="single" w:color="CCCCCC" w:sz="1"/>
              <w:left w:val="single" w:color="CCCCCC" w:sz="1"/>
              <w:bottom w:val="single" w:color="CCCCCC" w:sz="1"/>
              <w:right w:val="single" w:color="CCCCCC" w:sz="1"/>
            </w:tcBorders>
          </w:tcPr>
          <w:p>
            <w:pPr>
              <w:jc w:val="center"/>
            </w:pPr>
            <w:r>
              <w:t xml:space="preserve">3.213 × 10¹⁰</w:t>
            </w:r>
          </w:p>
        </w:tc>
        <w:tc>
          <w:tcPr>
            <w:tcW w:type="dxa" w:w="1560"/>
            <w:tcBorders>
              <w:top w:val="single" w:color="CCCCCC" w:sz="1"/>
              <w:left w:val="single" w:color="CCCCCC" w:sz="1"/>
              <w:bottom w:val="single" w:color="CCCCCC" w:sz="1"/>
              <w:right w:val="single" w:color="CCCCCC" w:sz="1"/>
            </w:tcBorders>
          </w:tcPr>
          <w:p>
            <w:pPr>
              <w:jc w:val="center"/>
            </w:pPr>
            <w:r>
              <w:t xml:space="preserve">3.213</w:t>
            </w:r>
          </w:p>
        </w:tc>
        <w:tc>
          <w:tcPr>
            <w:tcW w:type="dxa" w:w="1560"/>
            <w:tcBorders>
              <w:top w:val="single" w:color="CCCCCC" w:sz="1"/>
              <w:left w:val="single" w:color="CCCCCC" w:sz="1"/>
              <w:bottom w:val="single" w:color="CCCCCC" w:sz="1"/>
              <w:right w:val="single" w:color="CCCCCC" w:sz="1"/>
            </w:tcBorders>
          </w:tcPr>
          <w:p>
            <w:pPr>
              <w:jc w:val="center"/>
            </w:pPr>
            <w:r>
              <w:t xml:space="preserve">3.665</w:t>
            </w:r>
          </w:p>
        </w:tc>
      </w:tr>
    </w:tbl>
    <w:p>
      <w:pPr>
        <w:spacing w:before="120" w:after="240"/>
        <w:jc w:val="center"/>
      </w:pPr>
      <w:r>
        <w:rPr>
          <w:i/>
          <w:iCs/>
          <w:sz w:val="22"/>
          <w:szCs w:val="22"/>
        </w:rPr>
        <w:t xml:space="preserve">Table 2: Verification that N/r² approaches ln(r)/π asymptotically</w:t>
      </w:r>
    </w:p>
    <w:p>
      <w:pPr>
        <w:spacing w:after="200" w:line="276"/>
      </w:pPr>
      <w:r>
        <w:t xml:space="preserve">The ratio N/r² converges toward ln(r)/π as r increases, confirming the holographic form. The discrepancy at smaller r reflects the subleading terms in (7).</w:t>
      </w:r>
    </w:p>
    <w:p>
      <w:r>
        <w:br w:type="page"/>
      </w:r>
    </w:p>
    <w:p>
      <w:pPr>
        <w:spacing w:before="480" w:after="240"/>
        <w:jc w:val="center"/>
      </w:pPr>
      <w:r>
        <w:rPr>
          <w:b/>
          <w:bCs/>
          <w:sz w:val="32"/>
          <w:szCs w:val="32"/>
        </w:rPr>
        <w:t xml:space="preserve">PART III: GUE STATISTICS AND FERMIONIC BEHAVIOR</w:t>
      </w:r>
    </w:p>
    <w:p>
      <w:pPr>
        <w:pStyle w:val="Heading1"/>
      </w:pPr>
      <w:r>
        <w:t xml:space="preserve">3. The Gaussian Unitary Ensemble Connection</w:t>
      </w:r>
    </w:p>
    <w:p>
      <w:pPr>
        <w:pStyle w:val="Heading2"/>
      </w:pPr>
      <w:r>
        <w:t xml:space="preserve">3.1 Random Matrix Theory Background</w:t>
      </w:r>
    </w:p>
    <w:p>
      <w:pPr>
        <w:spacing w:after="200" w:line="276"/>
      </w:pPr>
      <w:r>
        <w:t xml:space="preserve">Random Matrix Theory (RMT) studies the statistical properties of eigenvalues of random matrices. The </w:t>
      </w:r>
      <w:r>
        <w:rPr>
          <w:b/>
          <w:bCs/>
        </w:rPr>
        <w:t xml:space="preserve">Gaussian Unitary Ensemble (GUE)</w:t>
      </w:r>
      <w:r>
        <w:t xml:space="preserve"> consists of N × N Hermitian matrices with independent Gaussian entries. As N → ∞, the eigenvalue statistics become universal.</w:t>
      </w:r>
    </w:p>
    <w:p>
      <w:pPr>
        <w:spacing w:after="200" w:line="276"/>
      </w:pPr>
      <w:r>
        <w:t xml:space="preserve">A fundamental discovery of the 1970s-80s [6,7] is that the spacings between consecutive Riemann zeros, when properly normalized, follow GUE statistics. This connection between number theory and random matrix theory remains one of the deepest mysteries in mathematics.</w:t>
      </w:r>
    </w:p>
    <w:p>
      <w:pPr>
        <w:pStyle w:val="Heading2"/>
      </w:pPr>
      <w:r>
        <w:t xml:space="preserve">3.2 The GUE Spacing Distribution</w:t>
      </w:r>
    </w:p>
    <w:p>
      <w:pPr>
        <w:spacing w:after="200" w:line="276"/>
      </w:pPr>
      <w:r>
        <w:t xml:space="preserve">The probability density for normalized nearest-neighbor spacings in the GUE is given by the Wigner surmise:</w:t>
      </w:r>
    </w:p>
    <w:p>
      <w:pPr>
        <w:spacing w:before="200" w:after="200"/>
        <w:jc w:val="center"/>
      </w:pPr>
      <w:r>
        <w:rPr>
          <w:i/>
          <w:iCs/>
          <w:sz w:val="24"/>
          <w:szCs w:val="24"/>
        </w:rPr>
        <w:t xml:space="preserve">P_GUE(s) = (32/π²) s² exp(−4s²/π)    </w:t>
      </w:r>
      <w:r>
        <w:rPr>
          <w:sz w:val="22"/>
          <w:szCs w:val="22"/>
        </w:rPr>
        <w:t xml:space="preserve">(14)</w:t>
      </w:r>
    </w:p>
    <w:p>
      <w:pPr>
        <w:spacing w:after="200" w:line="276"/>
      </w:pPr>
      <w:r>
        <w:t xml:space="preserve">where s = Δt / ⟨Δt⟩ is the spacing normalized by the mean spacing. Compare this to the Poisson distribution for uncorrelated events:</w:t>
      </w:r>
    </w:p>
    <w:p>
      <w:pPr>
        <w:spacing w:before="200" w:after="200"/>
        <w:jc w:val="center"/>
      </w:pPr>
      <w:r>
        <w:rPr>
          <w:i/>
          <w:iCs/>
          <w:sz w:val="24"/>
          <w:szCs w:val="24"/>
        </w:rPr>
        <w:t xml:space="preserve">P_Poisson(s) = exp(−s)    </w:t>
      </w:r>
      <w:r>
        <w:rPr>
          <w:sz w:val="22"/>
          <w:szCs w:val="22"/>
        </w:rPr>
        <w:t xml:space="preserve">(15)</w:t>
      </w:r>
    </w:p>
    <w:p>
      <w:pPr>
        <w:pStyle w:val="Heading2"/>
      </w:pPr>
      <w:r>
        <w:t xml:space="preserve">3.3 Level Repulsion</w:t>
      </w:r>
    </w:p>
    <w:p>
      <w:pPr>
        <w:spacing w:after="200" w:line="276"/>
      </w:pPr>
      <w:r>
        <w:rPr>
          <w:b/>
          <w:bCs/>
        </w:rPr>
        <w:t xml:space="preserve">Theorem 3.1 (Level Repulsion).</w:t>
      </w:r>
      <w:r>
        <w:t xml:space="preserve"> The GUE distribution exhibits level repulsion: P_GUE(0) = 0. Zeros cannot have zero spacing—they "repel" each other.</w:t>
      </w:r>
    </w:p>
    <w:p>
      <w:pPr>
        <w:spacing w:after="200" w:line="276"/>
      </w:pPr>
      <w:r>
        <w:rPr>
          <w:b/>
          <w:bCs/>
        </w:rPr>
        <w:t xml:space="preserve">Proof.</w:t>
      </w:r>
      <w:r>
        <w:t xml:space="preserve"> From (14): P_GUE(s) = (32/π²) s² exp(−4s²/π). As s → 0, P_GUE(s) ~ s² → 0. In contrast, P_Poisson(0) = 1. □</w:t>
      </w:r>
    </w:p>
    <w:p>
      <w:pPr>
        <w:spacing w:after="200" w:line="276"/>
      </w:pPr>
      <w:r>
        <w:t xml:space="preserve">This is the key physical content: </w:t>
      </w:r>
      <w:r>
        <w:rPr>
          <w:b/>
          <w:bCs/>
        </w:rPr>
        <w:t xml:space="preserve">there is a minimum spacing</w:t>
      </w:r>
      <w:r>
        <w:t xml:space="preserve"> between zeros. Small spacings are exponentially suppressed by the s² factor.</w:t>
      </w:r>
    </w:p>
    <w:p>
      <w:pPr>
        <w:pStyle w:val="Heading2"/>
      </w:pPr>
      <w:r>
        <w:t xml:space="preserve">3.4 Numerical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8E8E8" w:val="clear"/>
          </w:tcPr>
          <w:p>
            <w:pPr>
              <w:jc w:val="center"/>
            </w:pPr>
            <w:r>
              <w:rPr>
                <w:b/>
                <w:bCs/>
              </w:rPr>
              <w:t xml:space="preserve">Spacing s</w:t>
            </w:r>
          </w:p>
        </w:tc>
        <w:tc>
          <w:tcPr>
            <w:tcW w:type="dxa" w:w="2340"/>
            <w:tcBorders>
              <w:top w:val="single" w:color="CCCCCC" w:sz="1"/>
              <w:left w:val="single" w:color="CCCCCC" w:sz="1"/>
              <w:bottom w:val="single" w:color="CCCCCC" w:sz="1"/>
              <w:right w:val="single" w:color="CCCCCC" w:sz="1"/>
            </w:tcBorders>
            <w:shd w:fill="E8E8E8" w:val="clear"/>
          </w:tcPr>
          <w:p>
            <w:pPr>
              <w:jc w:val="center"/>
            </w:pPr>
            <w:r>
              <w:rPr>
                <w:b/>
                <w:bCs/>
              </w:rPr>
              <w:t xml:space="preserve">P_GUE(s)</w:t>
            </w:r>
          </w:p>
        </w:tc>
        <w:tc>
          <w:tcPr>
            <w:tcW w:type="dxa" w:w="2340"/>
            <w:tcBorders>
              <w:top w:val="single" w:color="CCCCCC" w:sz="1"/>
              <w:left w:val="single" w:color="CCCCCC" w:sz="1"/>
              <w:bottom w:val="single" w:color="CCCCCC" w:sz="1"/>
              <w:right w:val="single" w:color="CCCCCC" w:sz="1"/>
            </w:tcBorders>
            <w:shd w:fill="E8E8E8" w:val="clear"/>
          </w:tcPr>
          <w:p>
            <w:pPr>
              <w:jc w:val="center"/>
            </w:pPr>
            <w:r>
              <w:rPr>
                <w:b/>
                <w:bCs/>
              </w:rPr>
              <w:t xml:space="preserve">P_Poisson(s)</w:t>
            </w:r>
          </w:p>
        </w:tc>
        <w:tc>
          <w:tcPr>
            <w:tcW w:type="dxa" w:w="2340"/>
            <w:tcBorders>
              <w:top w:val="single" w:color="CCCCCC" w:sz="1"/>
              <w:left w:val="single" w:color="CCCCCC" w:sz="1"/>
              <w:bottom w:val="single" w:color="CCCCCC" w:sz="1"/>
              <w:right w:val="single" w:color="CCCCCC" w:sz="1"/>
            </w:tcBorders>
            <w:shd w:fill="E8E8E8" w:val="clear"/>
          </w:tcPr>
          <w:p>
            <w:pPr>
              <w:jc w:val="center"/>
            </w:pPr>
            <w:r>
              <w:rPr>
                <w:b/>
                <w:bCs/>
              </w:rPr>
              <w:t xml:space="preserve">Ratio</w:t>
            </w:r>
          </w:p>
        </w:tc>
      </w:tr>
      <w:tr>
        <w:tc>
          <w:tcPr>
            <w:tcW w:type="dxa" w:w="2340"/>
            <w:tcBorders>
              <w:top w:val="single" w:color="CCCCCC" w:sz="1"/>
              <w:left w:val="single" w:color="CCCCCC" w:sz="1"/>
              <w:bottom w:val="single" w:color="CCCCCC" w:sz="1"/>
              <w:right w:val="single" w:color="CCCCCC" w:sz="1"/>
            </w:tcBorders>
          </w:tcPr>
          <w:p>
            <w:pPr>
              <w:jc w:val="center"/>
            </w:pPr>
            <w:r>
              <w:t xml:space="preserve">0.0</w:t>
            </w:r>
          </w:p>
        </w:tc>
        <w:tc>
          <w:tcPr>
            <w:tcW w:type="dxa" w:w="2340"/>
            <w:tcBorders>
              <w:top w:val="single" w:color="CCCCCC" w:sz="1"/>
              <w:left w:val="single" w:color="CCCCCC" w:sz="1"/>
              <w:bottom w:val="single" w:color="CCCCCC" w:sz="1"/>
              <w:right w:val="single" w:color="CCCCCC" w:sz="1"/>
            </w:tcBorders>
          </w:tcPr>
          <w:p>
            <w:pPr>
              <w:jc w:val="center"/>
            </w:pPr>
            <w:r>
              <w:t xml:space="preserve">0.000</w:t>
            </w:r>
          </w:p>
        </w:tc>
        <w:tc>
          <w:tcPr>
            <w:tcW w:type="dxa" w:w="2340"/>
            <w:tcBorders>
              <w:top w:val="single" w:color="CCCCCC" w:sz="1"/>
              <w:left w:val="single" w:color="CCCCCC" w:sz="1"/>
              <w:bottom w:val="single" w:color="CCCCCC" w:sz="1"/>
              <w:right w:val="single" w:color="CCCCCC" w:sz="1"/>
            </w:tcBorders>
          </w:tcPr>
          <w:p>
            <w:pPr>
              <w:jc w:val="center"/>
            </w:pPr>
            <w:r>
              <w:t xml:space="preserve">1.000</w:t>
            </w:r>
          </w:p>
        </w:tc>
        <w:tc>
          <w:tcPr>
            <w:tcW w:type="dxa" w:w="2340"/>
            <w:tcBorders>
              <w:top w:val="single" w:color="CCCCCC" w:sz="1"/>
              <w:left w:val="single" w:color="CCCCCC" w:sz="1"/>
              <w:bottom w:val="single" w:color="CCCCCC" w:sz="1"/>
              <w:right w:val="single" w:color="CCCCCC" w:sz="1"/>
            </w:tcBorders>
          </w:tcPr>
          <w:p>
            <w:pPr>
              <w:jc w:val="center"/>
            </w:pPr>
            <w:r>
              <w:t xml:space="preserve">0.000</w:t>
            </w:r>
          </w:p>
        </w:tc>
      </w:tr>
      <w:tr>
        <w:tc>
          <w:tcPr>
            <w:tcW w:type="dxa" w:w="2340"/>
            <w:tcBorders>
              <w:top w:val="single" w:color="CCCCCC" w:sz="1"/>
              <w:left w:val="single" w:color="CCCCCC" w:sz="1"/>
              <w:bottom w:val="single" w:color="CCCCCC" w:sz="1"/>
              <w:right w:val="single" w:color="CCCCCC" w:sz="1"/>
            </w:tcBorders>
          </w:tcPr>
          <w:p>
            <w:pPr>
              <w:jc w:val="center"/>
            </w:pPr>
            <w:r>
              <w:t xml:space="preserve">0.1</w:t>
            </w:r>
          </w:p>
        </w:tc>
        <w:tc>
          <w:tcPr>
            <w:tcW w:type="dxa" w:w="2340"/>
            <w:tcBorders>
              <w:top w:val="single" w:color="CCCCCC" w:sz="1"/>
              <w:left w:val="single" w:color="CCCCCC" w:sz="1"/>
              <w:bottom w:val="single" w:color="CCCCCC" w:sz="1"/>
              <w:right w:val="single" w:color="CCCCCC" w:sz="1"/>
            </w:tcBorders>
          </w:tcPr>
          <w:p>
            <w:pPr>
              <w:jc w:val="center"/>
            </w:pPr>
            <w:r>
              <w:t xml:space="preserve">0.032</w:t>
            </w:r>
          </w:p>
        </w:tc>
        <w:tc>
          <w:tcPr>
            <w:tcW w:type="dxa" w:w="2340"/>
            <w:tcBorders>
              <w:top w:val="single" w:color="CCCCCC" w:sz="1"/>
              <w:left w:val="single" w:color="CCCCCC" w:sz="1"/>
              <w:bottom w:val="single" w:color="CCCCCC" w:sz="1"/>
              <w:right w:val="single" w:color="CCCCCC" w:sz="1"/>
            </w:tcBorders>
          </w:tcPr>
          <w:p>
            <w:pPr>
              <w:jc w:val="center"/>
            </w:pPr>
            <w:r>
              <w:t xml:space="preserve">0.905</w:t>
            </w:r>
          </w:p>
        </w:tc>
        <w:tc>
          <w:tcPr>
            <w:tcW w:type="dxa" w:w="2340"/>
            <w:tcBorders>
              <w:top w:val="single" w:color="CCCCCC" w:sz="1"/>
              <w:left w:val="single" w:color="CCCCCC" w:sz="1"/>
              <w:bottom w:val="single" w:color="CCCCCC" w:sz="1"/>
              <w:right w:val="single" w:color="CCCCCC" w:sz="1"/>
            </w:tcBorders>
          </w:tcPr>
          <w:p>
            <w:pPr>
              <w:jc w:val="center"/>
            </w:pPr>
            <w:r>
              <w:t xml:space="preserve">0.035</w:t>
            </w:r>
          </w:p>
        </w:tc>
      </w:tr>
      <w:tr>
        <w:tc>
          <w:tcPr>
            <w:tcW w:type="dxa" w:w="2340"/>
            <w:tcBorders>
              <w:top w:val="single" w:color="CCCCCC" w:sz="1"/>
              <w:left w:val="single" w:color="CCCCCC" w:sz="1"/>
              <w:bottom w:val="single" w:color="CCCCCC" w:sz="1"/>
              <w:right w:val="single" w:color="CCCCCC" w:sz="1"/>
            </w:tcBorders>
          </w:tcPr>
          <w:p>
            <w:pPr>
              <w:jc w:val="center"/>
            </w:pPr>
            <w:r>
              <w:t xml:space="preserve">0.5</w:t>
            </w:r>
          </w:p>
        </w:tc>
        <w:tc>
          <w:tcPr>
            <w:tcW w:type="dxa" w:w="2340"/>
            <w:tcBorders>
              <w:top w:val="single" w:color="CCCCCC" w:sz="1"/>
              <w:left w:val="single" w:color="CCCCCC" w:sz="1"/>
              <w:bottom w:val="single" w:color="CCCCCC" w:sz="1"/>
              <w:right w:val="single" w:color="CCCCCC" w:sz="1"/>
            </w:tcBorders>
          </w:tcPr>
          <w:p>
            <w:pPr>
              <w:jc w:val="center"/>
            </w:pPr>
            <w:r>
              <w:t xml:space="preserve">0.590</w:t>
            </w:r>
          </w:p>
        </w:tc>
        <w:tc>
          <w:tcPr>
            <w:tcW w:type="dxa" w:w="2340"/>
            <w:tcBorders>
              <w:top w:val="single" w:color="CCCCCC" w:sz="1"/>
              <w:left w:val="single" w:color="CCCCCC" w:sz="1"/>
              <w:bottom w:val="single" w:color="CCCCCC" w:sz="1"/>
              <w:right w:val="single" w:color="CCCCCC" w:sz="1"/>
            </w:tcBorders>
          </w:tcPr>
          <w:p>
            <w:pPr>
              <w:jc w:val="center"/>
            </w:pPr>
            <w:r>
              <w:t xml:space="preserve">0.607</w:t>
            </w:r>
          </w:p>
        </w:tc>
        <w:tc>
          <w:tcPr>
            <w:tcW w:type="dxa" w:w="2340"/>
            <w:tcBorders>
              <w:top w:val="single" w:color="CCCCCC" w:sz="1"/>
              <w:left w:val="single" w:color="CCCCCC" w:sz="1"/>
              <w:bottom w:val="single" w:color="CCCCCC" w:sz="1"/>
              <w:right w:val="single" w:color="CCCCCC" w:sz="1"/>
            </w:tcBorders>
          </w:tcPr>
          <w:p>
            <w:pPr>
              <w:jc w:val="center"/>
            </w:pPr>
            <w:r>
              <w:t xml:space="preserve">0.972</w:t>
            </w:r>
          </w:p>
        </w:tc>
      </w:tr>
      <w:tr>
        <w:tc>
          <w:tcPr>
            <w:tcW w:type="dxa" w:w="2340"/>
            <w:tcBorders>
              <w:top w:val="single" w:color="CCCCCC" w:sz="1"/>
              <w:left w:val="single" w:color="CCCCCC" w:sz="1"/>
              <w:bottom w:val="single" w:color="CCCCCC" w:sz="1"/>
              <w:right w:val="single" w:color="CCCCCC" w:sz="1"/>
            </w:tcBorders>
          </w:tcPr>
          <w:p>
            <w:pPr>
              <w:jc w:val="center"/>
            </w:pPr>
            <w:r>
              <w:t xml:space="preserve">1.0</w:t>
            </w:r>
          </w:p>
        </w:tc>
        <w:tc>
          <w:tcPr>
            <w:tcW w:type="dxa" w:w="2340"/>
            <w:tcBorders>
              <w:top w:val="single" w:color="CCCCCC" w:sz="1"/>
              <w:left w:val="single" w:color="CCCCCC" w:sz="1"/>
              <w:bottom w:val="single" w:color="CCCCCC" w:sz="1"/>
              <w:right w:val="single" w:color="CCCCCC" w:sz="1"/>
            </w:tcBorders>
          </w:tcPr>
          <w:p>
            <w:pPr>
              <w:jc w:val="center"/>
            </w:pPr>
            <w:r>
              <w:t xml:space="preserve">0.908</w:t>
            </w:r>
          </w:p>
        </w:tc>
        <w:tc>
          <w:tcPr>
            <w:tcW w:type="dxa" w:w="2340"/>
            <w:tcBorders>
              <w:top w:val="single" w:color="CCCCCC" w:sz="1"/>
              <w:left w:val="single" w:color="CCCCCC" w:sz="1"/>
              <w:bottom w:val="single" w:color="CCCCCC" w:sz="1"/>
              <w:right w:val="single" w:color="CCCCCC" w:sz="1"/>
            </w:tcBorders>
          </w:tcPr>
          <w:p>
            <w:pPr>
              <w:jc w:val="center"/>
            </w:pPr>
            <w:r>
              <w:t xml:space="preserve">0.368</w:t>
            </w:r>
          </w:p>
        </w:tc>
        <w:tc>
          <w:tcPr>
            <w:tcW w:type="dxa" w:w="2340"/>
            <w:tcBorders>
              <w:top w:val="single" w:color="CCCCCC" w:sz="1"/>
              <w:left w:val="single" w:color="CCCCCC" w:sz="1"/>
              <w:bottom w:val="single" w:color="CCCCCC" w:sz="1"/>
              <w:right w:val="single" w:color="CCCCCC" w:sz="1"/>
            </w:tcBorders>
          </w:tcPr>
          <w:p>
            <w:pPr>
              <w:jc w:val="center"/>
            </w:pPr>
            <w:r>
              <w:t xml:space="preserve">2.467</w:t>
            </w:r>
          </w:p>
        </w:tc>
      </w:tr>
      <w:tr>
        <w:tc>
          <w:tcPr>
            <w:tcW w:type="dxa" w:w="2340"/>
            <w:tcBorders>
              <w:top w:val="single" w:color="CCCCCC" w:sz="1"/>
              <w:left w:val="single" w:color="CCCCCC" w:sz="1"/>
              <w:bottom w:val="single" w:color="CCCCCC" w:sz="1"/>
              <w:right w:val="single" w:color="CCCCCC" w:sz="1"/>
            </w:tcBorders>
          </w:tcPr>
          <w:p>
            <w:pPr>
              <w:jc w:val="center"/>
            </w:pPr>
            <w:r>
              <w:t xml:space="preserve">1.5</w:t>
            </w:r>
          </w:p>
        </w:tc>
        <w:tc>
          <w:tcPr>
            <w:tcW w:type="dxa" w:w="2340"/>
            <w:tcBorders>
              <w:top w:val="single" w:color="CCCCCC" w:sz="1"/>
              <w:left w:val="single" w:color="CCCCCC" w:sz="1"/>
              <w:bottom w:val="single" w:color="CCCCCC" w:sz="1"/>
              <w:right w:val="single" w:color="CCCCCC" w:sz="1"/>
            </w:tcBorders>
          </w:tcPr>
          <w:p>
            <w:pPr>
              <w:jc w:val="center"/>
            </w:pPr>
            <w:r>
              <w:t xml:space="preserve">0.416</w:t>
            </w:r>
          </w:p>
        </w:tc>
        <w:tc>
          <w:tcPr>
            <w:tcW w:type="dxa" w:w="2340"/>
            <w:tcBorders>
              <w:top w:val="single" w:color="CCCCCC" w:sz="1"/>
              <w:left w:val="single" w:color="CCCCCC" w:sz="1"/>
              <w:bottom w:val="single" w:color="CCCCCC" w:sz="1"/>
              <w:right w:val="single" w:color="CCCCCC" w:sz="1"/>
            </w:tcBorders>
          </w:tcPr>
          <w:p>
            <w:pPr>
              <w:jc w:val="center"/>
            </w:pPr>
            <w:r>
              <w:t xml:space="preserve">0.223</w:t>
            </w:r>
          </w:p>
        </w:tc>
        <w:tc>
          <w:tcPr>
            <w:tcW w:type="dxa" w:w="2340"/>
            <w:tcBorders>
              <w:top w:val="single" w:color="CCCCCC" w:sz="1"/>
              <w:left w:val="single" w:color="CCCCCC" w:sz="1"/>
              <w:bottom w:val="single" w:color="CCCCCC" w:sz="1"/>
              <w:right w:val="single" w:color="CCCCCC" w:sz="1"/>
            </w:tcBorders>
          </w:tcPr>
          <w:p>
            <w:pPr>
              <w:jc w:val="center"/>
            </w:pPr>
            <w:r>
              <w:t xml:space="preserve">1.863</w:t>
            </w:r>
          </w:p>
        </w:tc>
      </w:tr>
      <w:tr>
        <w:tc>
          <w:tcPr>
            <w:tcW w:type="dxa" w:w="2340"/>
            <w:tcBorders>
              <w:top w:val="single" w:color="CCCCCC" w:sz="1"/>
              <w:left w:val="single" w:color="CCCCCC" w:sz="1"/>
              <w:bottom w:val="single" w:color="CCCCCC" w:sz="1"/>
              <w:right w:val="single" w:color="CCCCCC" w:sz="1"/>
            </w:tcBorders>
          </w:tcPr>
          <w:p>
            <w:pPr>
              <w:jc w:val="center"/>
            </w:pPr>
            <w:r>
              <w:t xml:space="preserve">2.0</w:t>
            </w:r>
          </w:p>
        </w:tc>
        <w:tc>
          <w:tcPr>
            <w:tcW w:type="dxa" w:w="2340"/>
            <w:tcBorders>
              <w:top w:val="single" w:color="CCCCCC" w:sz="1"/>
              <w:left w:val="single" w:color="CCCCCC" w:sz="1"/>
              <w:bottom w:val="single" w:color="CCCCCC" w:sz="1"/>
              <w:right w:val="single" w:color="CCCCCC" w:sz="1"/>
            </w:tcBorders>
          </w:tcPr>
          <w:p>
            <w:pPr>
              <w:jc w:val="center"/>
            </w:pPr>
            <w:r>
              <w:t xml:space="preserve">0.080</w:t>
            </w:r>
          </w:p>
        </w:tc>
        <w:tc>
          <w:tcPr>
            <w:tcW w:type="dxa" w:w="2340"/>
            <w:tcBorders>
              <w:top w:val="single" w:color="CCCCCC" w:sz="1"/>
              <w:left w:val="single" w:color="CCCCCC" w:sz="1"/>
              <w:bottom w:val="single" w:color="CCCCCC" w:sz="1"/>
              <w:right w:val="single" w:color="CCCCCC" w:sz="1"/>
            </w:tcBorders>
          </w:tcPr>
          <w:p>
            <w:pPr>
              <w:jc w:val="center"/>
            </w:pPr>
            <w:r>
              <w:t xml:space="preserve">0.135</w:t>
            </w:r>
          </w:p>
        </w:tc>
        <w:tc>
          <w:tcPr>
            <w:tcW w:type="dxa" w:w="2340"/>
            <w:tcBorders>
              <w:top w:val="single" w:color="CCCCCC" w:sz="1"/>
              <w:left w:val="single" w:color="CCCCCC" w:sz="1"/>
              <w:bottom w:val="single" w:color="CCCCCC" w:sz="1"/>
              <w:right w:val="single" w:color="CCCCCC" w:sz="1"/>
            </w:tcBorders>
          </w:tcPr>
          <w:p>
            <w:pPr>
              <w:jc w:val="center"/>
            </w:pPr>
            <w:r>
              <w:t xml:space="preserve">0.588</w:t>
            </w:r>
          </w:p>
        </w:tc>
      </w:tr>
    </w:tbl>
    <w:p>
      <w:pPr>
        <w:spacing w:before="120" w:after="240"/>
        <w:jc w:val="center"/>
      </w:pPr>
      <w:r>
        <w:rPr>
          <w:i/>
          <w:iCs/>
          <w:sz w:val="22"/>
          <w:szCs w:val="22"/>
        </w:rPr>
        <w:t xml:space="preserve">Table 3: GUE vs Poisson spacing distributions</w:t>
      </w:r>
    </w:p>
    <w:p>
      <w:pPr>
        <w:spacing w:after="200" w:line="276"/>
      </w:pPr>
      <w:r>
        <w:t xml:space="preserve">At s = 0: GUE gives probability 0 (level repulsion), Poisson gives probability 1 (no correlation). At s ≈ 1: GUE is enhanced (zeros prefer typical spacing). At large s: both decay, but GUE faster (large gaps unlikely).</w:t>
      </w:r>
    </w:p>
    <w:p>
      <w:pPr>
        <w:pStyle w:val="Heading2"/>
      </w:pPr>
      <w:r>
        <w:t xml:space="preserve">3.5 Fermionic Interpretation</w:t>
      </w:r>
    </w:p>
    <w:p>
      <w:pPr>
        <w:spacing w:after="200" w:line="276"/>
      </w:pPr>
      <w:r>
        <w:t xml:space="preserve">The level repulsion of GUE statistics is identical to the behavior of </w:t>
      </w:r>
      <w:r>
        <w:rPr>
          <w:b/>
          <w:bCs/>
        </w:rPr>
        <w:t xml:space="preserve">fermions</w:t>
      </w:r>
      <w:r>
        <w:t xml:space="preserve"> under the Pauli exclusion principle: two fermions cannot occupy the same quantum state. This suggests:</w:t>
      </w:r>
    </w:p>
    <w:p>
      <w:pPr>
        <w:spacing w:after="200" w:line="276"/>
      </w:pPr>
      <w:r>
        <w:rPr>
          <w:b/>
          <w:bCs/>
        </w:rPr>
        <w:t xml:space="preserve">Conjecture 3.2 (Fermionic Zeros).</w:t>
      </w:r>
      <w:r>
        <w:t xml:space="preserve"> Riemann zeros behave as fermions in a one-dimensional system. The "exclusion" is not exact (arbitrarily small spacings are possible, just exponentially unlikely) but statistically equivalent.</w:t>
      </w:r>
    </w:p>
    <w:p>
      <w:pPr>
        <w:spacing w:after="200" w:line="276"/>
      </w:pPr>
      <w:r>
        <w:t xml:space="preserve">This connection implies:</w:t>
      </w:r>
    </w:p>
    <w:p>
      <w:pPr>
        <w:pStyle w:val="ListParagraph"/>
        <w:numPr>
          <w:ilvl w:val="0"/>
          <w:numId w:val="2"/>
        </w:numPr>
        <w:spacing w:after="120"/>
      </w:pPr>
      <w:r>
        <w:t xml:space="preserve">Zeros have an effective "size" below which they cannot approach each other</w:t>
      </w:r>
    </w:p>
    <w:p>
      <w:pPr>
        <w:pStyle w:val="ListParagraph"/>
        <w:numPr>
          <w:ilvl w:val="0"/>
          <w:numId w:val="2"/>
        </w:numPr>
        <w:spacing w:after="120"/>
      </w:pPr>
      <w:r>
        <w:t xml:space="preserve">The minimum spacing sets an arithmetic analog of the Planck length</w:t>
      </w:r>
    </w:p>
    <w:p>
      <w:pPr>
        <w:pStyle w:val="ListParagraph"/>
        <w:numPr>
          <w:ilvl w:val="0"/>
          <w:numId w:val="2"/>
        </w:numPr>
        <w:spacing w:after="120"/>
      </w:pPr>
      <w:r>
        <w:t xml:space="preserve">The quantum mechanical structure of matter (fermions vs bosons) may have number-theoretic origins</w:t>
      </w:r>
    </w:p>
    <w:p>
      <w:pPr>
        <w:pStyle w:val="Heading2"/>
      </w:pPr>
      <w:r>
        <w:t xml:space="preserve">3.6 Connection to the Golden Shadow</w:t>
      </w:r>
    </w:p>
    <w:p>
      <w:pPr>
        <w:spacing w:after="200" w:line="276"/>
      </w:pPr>
      <w:r>
        <w:t xml:space="preserve">The Golden Shadow Δ = ζ(2) − φ ≈ 0.027 acts as a resolution limit in the fingerprint classification of integers [3]. We conjecture it also sets the effective minimum spacing:</w:t>
      </w:r>
    </w:p>
    <w:p>
      <w:pPr>
        <w:spacing w:after="200" w:line="276"/>
      </w:pPr>
      <w:r>
        <w:rPr>
          <w:b/>
          <w:bCs/>
        </w:rPr>
        <w:t xml:space="preserve">Conjecture 3.3 (Shadow-Spacing Connection).</w:t>
      </w:r>
      <w:r>
        <w:t xml:space="preserve"> The normalized minimum effective spacing s_min below which P_GUE is negligible is related to the Golden Shadow by:</w:t>
      </w:r>
    </w:p>
    <w:p>
      <w:pPr>
        <w:spacing w:before="200" w:after="200"/>
        <w:jc w:val="center"/>
      </w:pPr>
      <w:r>
        <w:rPr>
          <w:i/>
          <w:iCs/>
          <w:sz w:val="24"/>
          <w:szCs w:val="24"/>
        </w:rPr>
        <w:t xml:space="preserve">s_min ~ f(Δ/ζ(2)) ~ f(0.0164)    </w:t>
      </w:r>
      <w:r>
        <w:rPr>
          <w:sz w:val="22"/>
          <w:szCs w:val="22"/>
        </w:rPr>
        <w:t xml:space="preserve">(16)</w:t>
      </w:r>
    </w:p>
    <w:p>
      <w:pPr>
        <w:spacing w:after="200" w:line="276"/>
      </w:pPr>
      <w:r>
        <w:t xml:space="preserve">where f is some function to be determined. The ratio Δ/ζ(2) ≈ 0.0164 would then set the fundamental "granularity" of zero distribution, analogous to how ℏ sets the granularity of phase space in quantum mechanics.</w:t>
      </w:r>
    </w:p>
    <w:p>
      <w:pPr>
        <w:pStyle w:val="Heading2"/>
      </w:pPr>
      <w:r>
        <w:t xml:space="preserve">3.7 Physical Systems with GUE Statistics</w:t>
      </w:r>
    </w:p>
    <w:p>
      <w:pPr>
        <w:spacing w:after="200" w:line="276"/>
      </w:pPr>
      <w:r>
        <w:t xml:space="preserve">GUE statistics appear in multiple physical contexts:</w:t>
      </w:r>
    </w:p>
    <w:p>
      <w:pPr>
        <w:pStyle w:val="ListParagraph"/>
        <w:numPr>
          <w:ilvl w:val="0"/>
          <w:numId w:val="2"/>
        </w:numPr>
        <w:spacing w:after="120"/>
      </w:pPr>
      <w:r>
        <w:t xml:space="preserve">Energy levels of quantum chaotic systems (nuclei, quantum billiards)</w:t>
      </w:r>
    </w:p>
    <w:p>
      <w:pPr>
        <w:pStyle w:val="ListParagraph"/>
        <w:numPr>
          <w:ilvl w:val="0"/>
          <w:numId w:val="2"/>
        </w:numPr>
        <w:spacing w:after="120"/>
      </w:pPr>
      <w:r>
        <w:t xml:space="preserve">Eigenvalues of quantum Hamiltonians with time-reversal symmetry breaking</w:t>
      </w:r>
    </w:p>
    <w:p>
      <w:pPr>
        <w:pStyle w:val="ListParagraph"/>
        <w:numPr>
          <w:ilvl w:val="0"/>
          <w:numId w:val="2"/>
        </w:numPr>
        <w:spacing w:after="120"/>
      </w:pPr>
      <w:r>
        <w:t xml:space="preserve">Conductance fluctuations in mesoscopic systems</w:t>
      </w:r>
    </w:p>
    <w:p>
      <w:pPr>
        <w:pStyle w:val="ListParagraph"/>
        <w:numPr>
          <w:ilvl w:val="0"/>
          <w:numId w:val="2"/>
        </w:numPr>
        <w:spacing w:after="120"/>
      </w:pPr>
      <w:r>
        <w:t xml:space="preserve">Zeros of the Riemann zeta function</w:t>
      </w:r>
    </w:p>
    <w:p>
      <w:pPr>
        <w:spacing w:after="200" w:line="276"/>
      </w:pPr>
      <w:r>
        <w:t xml:space="preserve">The universality of GUE statistics suggests a common underlying structure. Our framework proposes that this structure is </w:t>
      </w:r>
      <w:r>
        <w:rPr>
          <w:i/>
          <w:iCs/>
        </w:rPr>
        <w:t xml:space="preserve">arithmetic</w:t>
      </w:r>
      <w:r>
        <w:t xml:space="preserve">: the same number-theoretic patterns that govern prime distribution also govern quantum chaos.</w:t>
      </w:r>
    </w:p>
    <w:p>
      <w:r>
        <w:br w:type="page"/>
      </w:r>
    </w:p>
    <w:p>
      <w:pPr>
        <w:spacing w:before="480" w:after="240"/>
        <w:jc w:val="center"/>
      </w:pPr>
      <w:r>
        <w:rPr>
          <w:b/>
          <w:bCs/>
          <w:sz w:val="32"/>
          <w:szCs w:val="32"/>
        </w:rPr>
        <w:t xml:space="preserve">PART IV: ENTROPY AND THE ARROW OF TIME</w:t>
      </w:r>
    </w:p>
    <w:p>
      <w:pPr>
        <w:pStyle w:val="Heading1"/>
      </w:pPr>
      <w:r>
        <w:t xml:space="preserve">4. Information Conservation and Entropy Growth</w:t>
      </w:r>
    </w:p>
    <w:p>
      <w:pPr>
        <w:pStyle w:val="Heading2"/>
      </w:pPr>
      <w:r>
        <w:t xml:space="preserve">4.1 The Information Uncertainty Principle</w:t>
      </w:r>
    </w:p>
    <w:p>
      <w:pPr>
        <w:spacing w:after="200" w:line="276"/>
      </w:pPr>
      <w:r>
        <w:t xml:space="preserve">The Information Uncertainty Principle [5] states that on the critical line:</w:t>
      </w:r>
    </w:p>
    <w:p>
      <w:pPr>
        <w:spacing w:before="200" w:after="200"/>
        <w:jc w:val="center"/>
      </w:pPr>
      <w:r>
        <w:rPr>
          <w:i/>
          <w:iCs/>
          <w:sz w:val="24"/>
          <w:szCs w:val="24"/>
        </w:rPr>
        <w:t xml:space="preserve">Q(t) × P(t) = 1    </w:t>
      </w:r>
      <w:r>
        <w:rPr>
          <w:sz w:val="22"/>
          <w:szCs w:val="22"/>
        </w:rPr>
        <w:t xml:space="preserve">(17)</w:t>
      </w:r>
    </w:p>
    <w:p>
      <w:pPr>
        <w:spacing w:after="200" w:line="276"/>
      </w:pPr>
      <w:r>
        <w:t xml:space="preserve">where Q(t) = ln(t)/(2π) is the zero density (quantity) and P(t) = 2π/ln(t) is the mean spacing (precision). This is an </w:t>
      </w:r>
      <w:r>
        <w:rPr>
          <w:b/>
          <w:bCs/>
        </w:rPr>
        <w:t xml:space="preserve">exact</w:t>
      </w:r>
      <w:r>
        <w:t xml:space="preserve"> conservation law, not an approximation.</w:t>
      </w:r>
    </w:p>
    <w:p>
      <w:pPr>
        <w:pStyle w:val="Heading2"/>
      </w:pPr>
      <w:r>
        <w:t xml:space="preserve">4.2 Information Content vs. Entropy</w:t>
      </w:r>
    </w:p>
    <w:p>
      <w:pPr>
        <w:spacing w:after="200" w:line="276"/>
      </w:pPr>
      <w:r>
        <w:t xml:space="preserve">The quantity Q × P represents the </w:t>
      </w:r>
      <w:r>
        <w:rPr>
          <w:b/>
          <w:bCs/>
        </w:rPr>
        <w:t xml:space="preserve">information content</w:t>
      </w:r>
      <w:r>
        <w:t xml:space="preserve"> per unit height—the product of "how much" and "how precise." Its constancy means </w:t>
      </w:r>
      <w:r>
        <w:rPr>
          <w:i/>
          <w:iCs/>
        </w:rPr>
        <w:t xml:space="preserve">no information is lost</w:t>
      </w:r>
      <w:r>
        <w:t xml:space="preserve"> as we move along the critical line.</w:t>
      </w:r>
    </w:p>
    <w:p>
      <w:pPr>
        <w:spacing w:after="200" w:line="276"/>
      </w:pPr>
      <w:r>
        <w:t xml:space="preserve">However, the </w:t>
      </w:r>
      <w:r>
        <w:rPr>
          <w:b/>
          <w:bCs/>
        </w:rPr>
        <w:t xml:space="preserve">entropy</w:t>
      </w:r>
      <w:r>
        <w:t xml:space="preserve"> is different. Define:</w:t>
      </w:r>
    </w:p>
    <w:p>
      <w:pPr>
        <w:spacing w:before="200" w:after="200"/>
        <w:jc w:val="center"/>
      </w:pPr>
      <w:r>
        <w:rPr>
          <w:i/>
          <w:iCs/>
          <w:sz w:val="24"/>
          <w:szCs w:val="24"/>
        </w:rPr>
        <w:t xml:space="preserve">S(t) = ln(N(t))    </w:t>
      </w:r>
      <w:r>
        <w:rPr>
          <w:sz w:val="22"/>
          <w:szCs w:val="22"/>
        </w:rPr>
        <w:t xml:space="preserve">(18)</w:t>
      </w:r>
    </w:p>
    <w:p>
      <w:pPr>
        <w:spacing w:after="200" w:line="276"/>
      </w:pPr>
      <w:r>
        <w:t xml:space="preserve">where N(t) is the cumulative zero count up to height t.</w:t>
      </w:r>
    </w:p>
    <w:p>
      <w:pPr>
        <w:pStyle w:val="Heading2"/>
      </w:pPr>
      <w:r>
        <w:t xml:space="preserve">4.3 Entropy Growth</w:t>
      </w:r>
    </w:p>
    <w:p>
      <w:pPr>
        <w:spacing w:after="200" w:line="276"/>
      </w:pPr>
      <w:r>
        <w:rPr>
          <w:b/>
          <w:bCs/>
        </w:rPr>
        <w:t xml:space="preserve">Theorem 4.1 (Entropy Increase).</w:t>
      </w:r>
      <w:r>
        <w:t xml:space="preserve"> The entropy S(t) = ln(N(t)) grows with height t:</w:t>
      </w:r>
    </w:p>
    <w:p>
      <w:pPr>
        <w:spacing w:before="200" w:after="200"/>
        <w:jc w:val="center"/>
      </w:pPr>
      <w:r>
        <w:rPr>
          <w:i/>
          <w:iCs/>
          <w:sz w:val="24"/>
          <w:szCs w:val="24"/>
        </w:rPr>
        <w:t xml:space="preserve">S(t) ~ ln(t ln t) ~ ln(t) + ln(ln t)    for large t    </w:t>
      </w:r>
      <w:r>
        <w:rPr>
          <w:sz w:val="22"/>
          <w:szCs w:val="22"/>
        </w:rPr>
        <w:t xml:space="preserve">(19)</w:t>
      </w:r>
    </w:p>
    <w:p>
      <w:pPr>
        <w:spacing w:after="200" w:line="276"/>
      </w:pPr>
      <w:r>
        <w:rPr>
          <w:b/>
          <w:bCs/>
        </w:rPr>
        <w:t xml:space="preserve">Proof.</w:t>
      </w:r>
      <w:r>
        <w:t xml:space="preserve"> From N(t) ~ (t/2π) ln(t/2π):</w:t>
      </w:r>
    </w:p>
    <w:p>
      <w:pPr>
        <w:spacing w:before="200" w:after="200"/>
        <w:jc w:val="center"/>
      </w:pPr>
      <w:r>
        <w:rPr>
          <w:i/>
          <w:iCs/>
          <w:sz w:val="24"/>
          <w:szCs w:val="24"/>
        </w:rPr>
        <w:t xml:space="preserve">S(t) = ln(N(t)) = ln[(t/2π) ln(t/2π)]</w:t>
      </w:r>
    </w:p>
    <w:p>
      <w:pPr>
        <w:spacing w:before="200" w:after="200"/>
        <w:jc w:val="center"/>
      </w:pPr>
      <w:r>
        <w:rPr>
          <w:i/>
          <w:iCs/>
          <w:sz w:val="24"/>
          <w:szCs w:val="24"/>
        </w:rPr>
        <w:t xml:space="preserve">= ln(t/2π) + ln(ln(t/2π))</w:t>
      </w:r>
    </w:p>
    <w:p>
      <w:pPr>
        <w:spacing w:before="200" w:after="200"/>
        <w:jc w:val="center"/>
      </w:pPr>
      <w:r>
        <w:rPr>
          <w:i/>
          <w:iCs/>
          <w:sz w:val="24"/>
          <w:szCs w:val="24"/>
        </w:rPr>
        <w:t xml:space="preserve">~ ln(t) + ln(ln(t))    for large t    □</w:t>
      </w:r>
    </w:p>
    <w:p>
      <w:pPr>
        <w:pStyle w:val="Heading2"/>
      </w:pPr>
      <w:r>
        <w:t xml:space="preserve">4.4 The Second Law Structure</w:t>
      </w:r>
    </w:p>
    <w:p>
      <w:pPr>
        <w:spacing w:after="200" w:line="276"/>
      </w:pPr>
      <w:r>
        <w:t xml:space="preserve">This creates a structure identical to the Second Law of Thermodynamics:</w:t>
      </w:r>
    </w:p>
    <w:p>
      <w:pPr>
        <w:pStyle w:val="ListParagraph"/>
        <w:numPr>
          <w:ilvl w:val="0"/>
          <w:numId w:val="2"/>
        </w:numPr>
        <w:spacing w:after="120"/>
      </w:pPr>
      <w:r>
        <w:rPr>
          <w:b/>
          <w:bCs/>
        </w:rPr>
        <w:t xml:space="preserve">Microscopic level</w:t>
      </w:r>
      <w:r>
        <w:t xml:space="preserve">: Information conserved (Q × P = 1)</w:t>
      </w:r>
    </w:p>
    <w:p>
      <w:pPr>
        <w:pStyle w:val="ListParagraph"/>
        <w:numPr>
          <w:ilvl w:val="0"/>
          <w:numId w:val="2"/>
        </w:numPr>
        <w:spacing w:after="120"/>
      </w:pPr>
      <w:r>
        <w:rPr>
          <w:b/>
          <w:bCs/>
        </w:rPr>
        <w:t xml:space="preserve">Macroscopic level</w:t>
      </w:r>
      <w:r>
        <w:t xml:space="preserve">: Entropy grows (S ~ ln(t) increases)</w:t>
      </w:r>
    </w:p>
    <w:p>
      <w:pPr>
        <w:spacing w:after="200" w:line="276"/>
      </w:pPr>
      <w:r>
        <w:t xml:space="preserve">The conservation of Q × P means the dynamics are microscopically </w:t>
      </w:r>
      <w:r>
        <w:rPr>
          <w:i/>
          <w:iCs/>
        </w:rPr>
        <w:t xml:space="preserve">reversible</w:t>
      </w:r>
      <w:r>
        <w:t xml:space="preserve">—no information is destroyed. But the growth of S means they are macroscopically </w:t>
      </w:r>
      <w:r>
        <w:rPr>
          <w:i/>
          <w:iCs/>
        </w:rPr>
        <w:t xml:space="preserve">irreversible</w:t>
      </w:r>
      <w:r>
        <w:t xml:space="preserve">—entropy increases in the "forward" direction.</w:t>
      </w:r>
    </w:p>
    <w:p>
      <w:pPr>
        <w:pStyle w:val="Heading2"/>
      </w:pPr>
      <w:r>
        <w:t xml:space="preserve">4.5 The Arrow of Time</w:t>
      </w:r>
    </w:p>
    <w:p>
      <w:pPr>
        <w:spacing w:after="200" w:line="276"/>
      </w:pPr>
      <w:r>
        <w:t xml:space="preserve">The asymmetry between increasing and decreasing height on the critical line creates an </w:t>
      </w:r>
      <w:r>
        <w:rPr>
          <w:b/>
          <w:bCs/>
        </w:rPr>
        <w:t xml:space="preserve">arrow of time</w:t>
      </w:r>
      <w:r>
        <w:t xml:space="preserve">:</w:t>
      </w:r>
    </w:p>
    <w:p>
      <w:pPr>
        <w:pStyle w:val="ListParagraph"/>
        <w:numPr>
          <w:ilvl w:val="0"/>
          <w:numId w:val="2"/>
        </w:numPr>
        <w:spacing w:after="120"/>
      </w:pPr>
      <w:r>
        <w:rPr>
          <w:b/>
          <w:bCs/>
        </w:rPr>
        <w:t xml:space="preserve">Forward (increasing t)</w:t>
      </w:r>
      <w:r>
        <w:t xml:space="preserve">: More zeros accumulate, entropy grows, but information conserved</w:t>
      </w:r>
    </w:p>
    <w:p>
      <w:pPr>
        <w:pStyle w:val="ListParagraph"/>
        <w:numPr>
          <w:ilvl w:val="0"/>
          <w:numId w:val="2"/>
        </w:numPr>
        <w:spacing w:after="120"/>
      </w:pPr>
      <w:r>
        <w:rPr>
          <w:b/>
          <w:bCs/>
        </w:rPr>
        <w:t xml:space="preserve">Backward (decreasing t)</w:t>
      </w:r>
      <w:r>
        <w:t xml:space="preserve">: Fewer zeros, entropy decreases—requires "forgetting" which zeros existed</w:t>
      </w:r>
    </w:p>
    <w:p>
      <w:pPr>
        <w:spacing w:after="200" w:line="276"/>
      </w:pPr>
      <w:r>
        <w:t xml:space="preserve">The forward direction is statistically overwhelmingly favored, just as in thermodynamics. The critical line has a preferred "direction" encoded in its structure.</w:t>
      </w:r>
    </w:p>
    <w:p>
      <w:pPr>
        <w:pStyle w:val="Heading2"/>
      </w:pPr>
      <w:r>
        <w:t xml:space="preserve">4.6 Numerical Verification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1872"/>
        <w:gridCol w:w="1872"/>
        <w:gridCol w:w="1404"/>
      </w:tblGrid>
      <w:tr>
        <w:trPr>
          <w:tblHeader/>
        </w:trPr>
        <w:tc>
          <w:tcPr>
            <w:tcW w:type="dxa" w:w="1872"/>
            <w:tcBorders>
              <w:top w:val="single" w:color="CCCCCC" w:sz="1"/>
              <w:left w:val="single" w:color="CCCCCC" w:sz="1"/>
              <w:bottom w:val="single" w:color="CCCCCC" w:sz="1"/>
              <w:right w:val="single" w:color="CCCCCC" w:sz="1"/>
            </w:tcBorders>
            <w:shd w:fill="E8E8E8" w:val="clear"/>
          </w:tcPr>
          <w:p>
            <w:pPr>
              <w:jc w:val="center"/>
            </w:pPr>
            <w:r>
              <w:rPr>
                <w:b/>
                <w:bCs/>
              </w:rPr>
              <w:t xml:space="preserve">t</w:t>
            </w:r>
          </w:p>
        </w:tc>
        <w:tc>
          <w:tcPr>
            <w:tcW w:type="dxa" w:w="2340"/>
            <w:tcBorders>
              <w:top w:val="single" w:color="CCCCCC" w:sz="1"/>
              <w:left w:val="single" w:color="CCCCCC" w:sz="1"/>
              <w:bottom w:val="single" w:color="CCCCCC" w:sz="1"/>
              <w:right w:val="single" w:color="CCCCCC" w:sz="1"/>
            </w:tcBorders>
            <w:shd w:fill="E8E8E8" w:val="clear"/>
          </w:tcPr>
          <w:p>
            <w:pPr>
              <w:jc w:val="center"/>
            </w:pPr>
            <w:r>
              <w:rPr>
                <w:b/>
                <w:bCs/>
              </w:rPr>
              <w:t xml:space="preserve">N(t)</w:t>
            </w:r>
          </w:p>
        </w:tc>
        <w:tc>
          <w:tcPr>
            <w:tcW w:type="dxa" w:w="1872"/>
            <w:tcBorders>
              <w:top w:val="single" w:color="CCCCCC" w:sz="1"/>
              <w:left w:val="single" w:color="CCCCCC" w:sz="1"/>
              <w:bottom w:val="single" w:color="CCCCCC" w:sz="1"/>
              <w:right w:val="single" w:color="CCCCCC" w:sz="1"/>
            </w:tcBorders>
            <w:shd w:fill="E8E8E8" w:val="clear"/>
          </w:tcPr>
          <w:p>
            <w:pPr>
              <w:jc w:val="center"/>
            </w:pPr>
            <w:r>
              <w:rPr>
                <w:b/>
                <w:bCs/>
              </w:rPr>
              <w:t xml:space="preserve">S = ln(N)</w:t>
            </w:r>
          </w:p>
        </w:tc>
        <w:tc>
          <w:tcPr>
            <w:tcW w:type="dxa" w:w="1872"/>
            <w:tcBorders>
              <w:top w:val="single" w:color="CCCCCC" w:sz="1"/>
              <w:left w:val="single" w:color="CCCCCC" w:sz="1"/>
              <w:bottom w:val="single" w:color="CCCCCC" w:sz="1"/>
              <w:right w:val="single" w:color="CCCCCC" w:sz="1"/>
            </w:tcBorders>
            <w:shd w:fill="E8E8E8" w:val="clear"/>
          </w:tcPr>
          <w:p>
            <w:pPr>
              <w:jc w:val="center"/>
            </w:pPr>
            <w:r>
              <w:rPr>
                <w:b/>
                <w:bCs/>
              </w:rPr>
              <w:t xml:space="preserve">Q × P</w:t>
            </w:r>
          </w:p>
        </w:tc>
        <w:tc>
          <w:tcPr>
            <w:tcW w:type="dxa" w:w="1404"/>
            <w:tcBorders>
              <w:top w:val="single" w:color="CCCCCC" w:sz="1"/>
              <w:left w:val="single" w:color="CCCCCC" w:sz="1"/>
              <w:bottom w:val="single" w:color="CCCCCC" w:sz="1"/>
              <w:right w:val="single" w:color="CCCCCC" w:sz="1"/>
            </w:tcBorders>
            <w:shd w:fill="E8E8E8" w:val="clear"/>
          </w:tcPr>
          <w:p>
            <w:pPr>
              <w:jc w:val="center"/>
            </w:pPr>
            <w:r>
              <w:rPr>
                <w:b/>
                <w:bCs/>
              </w:rPr>
              <w:t xml:space="preserve">dS/dt</w:t>
            </w:r>
          </w:p>
        </w:tc>
      </w:tr>
      <w:tr>
        <w:tc>
          <w:tcPr>
            <w:tcW w:type="dxa" w:w="1872"/>
            <w:tcBorders>
              <w:top w:val="single" w:color="CCCCCC" w:sz="1"/>
              <w:left w:val="single" w:color="CCCCCC" w:sz="1"/>
              <w:bottom w:val="single" w:color="CCCCCC" w:sz="1"/>
              <w:right w:val="single" w:color="CCCCCC" w:sz="1"/>
            </w:tcBorders>
          </w:tcPr>
          <w:p>
            <w:pPr>
              <w:jc w:val="center"/>
            </w:pPr>
            <w:r>
              <w:t xml:space="preserve">10²</w:t>
            </w:r>
          </w:p>
        </w:tc>
        <w:tc>
          <w:tcPr>
            <w:tcW w:type="dxa" w:w="2340"/>
            <w:tcBorders>
              <w:top w:val="single" w:color="CCCCCC" w:sz="1"/>
              <w:left w:val="single" w:color="CCCCCC" w:sz="1"/>
              <w:bottom w:val="single" w:color="CCCCCC" w:sz="1"/>
              <w:right w:val="single" w:color="CCCCCC" w:sz="1"/>
            </w:tcBorders>
          </w:tcPr>
          <w:p>
            <w:pPr>
              <w:jc w:val="center"/>
            </w:pPr>
            <w:r>
              <w:t xml:space="preserve">28.1</w:t>
            </w:r>
          </w:p>
        </w:tc>
        <w:tc>
          <w:tcPr>
            <w:tcW w:type="dxa" w:w="1872"/>
            <w:tcBorders>
              <w:top w:val="single" w:color="CCCCCC" w:sz="1"/>
              <w:left w:val="single" w:color="CCCCCC" w:sz="1"/>
              <w:bottom w:val="single" w:color="CCCCCC" w:sz="1"/>
              <w:right w:val="single" w:color="CCCCCC" w:sz="1"/>
            </w:tcBorders>
          </w:tcPr>
          <w:p>
            <w:pPr>
              <w:jc w:val="center"/>
            </w:pPr>
            <w:r>
              <w:t xml:space="preserve">3.34</w:t>
            </w:r>
          </w:p>
        </w:tc>
        <w:tc>
          <w:tcPr>
            <w:tcW w:type="dxa" w:w="1872"/>
            <w:tcBorders>
              <w:top w:val="single" w:color="CCCCCC" w:sz="1"/>
              <w:left w:val="single" w:color="CCCCCC" w:sz="1"/>
              <w:bottom w:val="single" w:color="CCCCCC" w:sz="1"/>
              <w:right w:val="single" w:color="CCCCCC" w:sz="1"/>
            </w:tcBorders>
          </w:tcPr>
          <w:p>
            <w:pPr>
              <w:jc w:val="center"/>
            </w:pPr>
            <w:r>
              <w:t xml:space="preserve">1.000</w:t>
            </w:r>
          </w:p>
        </w:tc>
        <w:tc>
          <w:tcPr>
            <w:tcW w:type="dxa" w:w="1404"/>
            <w:tcBorders>
              <w:top w:val="single" w:color="CCCCCC" w:sz="1"/>
              <w:left w:val="single" w:color="CCCCCC" w:sz="1"/>
              <w:bottom w:val="single" w:color="CCCCCC" w:sz="1"/>
              <w:right w:val="single" w:color="CCCCCC" w:sz="1"/>
            </w:tcBorders>
          </w:tcPr>
          <w:p>
            <w:pPr>
              <w:jc w:val="center"/>
            </w:pPr>
            <w:r>
              <w:t xml:space="preserve">0.010</w:t>
            </w:r>
          </w:p>
        </w:tc>
      </w:tr>
      <w:tr>
        <w:tc>
          <w:tcPr>
            <w:tcW w:type="dxa" w:w="1872"/>
            <w:tcBorders>
              <w:top w:val="single" w:color="CCCCCC" w:sz="1"/>
              <w:left w:val="single" w:color="CCCCCC" w:sz="1"/>
              <w:bottom w:val="single" w:color="CCCCCC" w:sz="1"/>
              <w:right w:val="single" w:color="CCCCCC" w:sz="1"/>
            </w:tcBorders>
          </w:tcPr>
          <w:p>
            <w:pPr>
              <w:jc w:val="center"/>
            </w:pPr>
            <w:r>
              <w:t xml:space="preserve">10³</w:t>
            </w:r>
          </w:p>
        </w:tc>
        <w:tc>
          <w:tcPr>
            <w:tcW w:type="dxa" w:w="2340"/>
            <w:tcBorders>
              <w:top w:val="single" w:color="CCCCCC" w:sz="1"/>
              <w:left w:val="single" w:color="CCCCCC" w:sz="1"/>
              <w:bottom w:val="single" w:color="CCCCCC" w:sz="1"/>
              <w:right w:val="single" w:color="CCCCCC" w:sz="1"/>
            </w:tcBorders>
          </w:tcPr>
          <w:p>
            <w:pPr>
              <w:jc w:val="center"/>
            </w:pPr>
            <w:r>
              <w:t xml:space="preserve">647.7</w:t>
            </w:r>
          </w:p>
        </w:tc>
        <w:tc>
          <w:tcPr>
            <w:tcW w:type="dxa" w:w="1872"/>
            <w:tcBorders>
              <w:top w:val="single" w:color="CCCCCC" w:sz="1"/>
              <w:left w:val="single" w:color="CCCCCC" w:sz="1"/>
              <w:bottom w:val="single" w:color="CCCCCC" w:sz="1"/>
              <w:right w:val="single" w:color="CCCCCC" w:sz="1"/>
            </w:tcBorders>
          </w:tcPr>
          <w:p>
            <w:pPr>
              <w:jc w:val="center"/>
            </w:pPr>
            <w:r>
              <w:t xml:space="preserve">6.47</w:t>
            </w:r>
          </w:p>
        </w:tc>
        <w:tc>
          <w:tcPr>
            <w:tcW w:type="dxa" w:w="1872"/>
            <w:tcBorders>
              <w:top w:val="single" w:color="CCCCCC" w:sz="1"/>
              <w:left w:val="single" w:color="CCCCCC" w:sz="1"/>
              <w:bottom w:val="single" w:color="CCCCCC" w:sz="1"/>
              <w:right w:val="single" w:color="CCCCCC" w:sz="1"/>
            </w:tcBorders>
          </w:tcPr>
          <w:p>
            <w:pPr>
              <w:jc w:val="center"/>
            </w:pPr>
            <w:r>
              <w:t xml:space="preserve">1.000</w:t>
            </w:r>
          </w:p>
        </w:tc>
        <w:tc>
          <w:tcPr>
            <w:tcW w:type="dxa" w:w="1404"/>
            <w:tcBorders>
              <w:top w:val="single" w:color="CCCCCC" w:sz="1"/>
              <w:left w:val="single" w:color="CCCCCC" w:sz="1"/>
              <w:bottom w:val="single" w:color="CCCCCC" w:sz="1"/>
              <w:right w:val="single" w:color="CCCCCC" w:sz="1"/>
            </w:tcBorders>
          </w:tcPr>
          <w:p>
            <w:pPr>
              <w:jc w:val="center"/>
            </w:pPr>
            <w:r>
              <w:t xml:space="preserve">0.001</w:t>
            </w:r>
          </w:p>
        </w:tc>
      </w:tr>
      <w:tr>
        <w:tc>
          <w:tcPr>
            <w:tcW w:type="dxa" w:w="1872"/>
            <w:tcBorders>
              <w:top w:val="single" w:color="CCCCCC" w:sz="1"/>
              <w:left w:val="single" w:color="CCCCCC" w:sz="1"/>
              <w:bottom w:val="single" w:color="CCCCCC" w:sz="1"/>
              <w:right w:val="single" w:color="CCCCCC" w:sz="1"/>
            </w:tcBorders>
          </w:tcPr>
          <w:p>
            <w:pPr>
              <w:jc w:val="center"/>
            </w:pPr>
            <w:r>
              <w:t xml:space="preserve">10⁴</w:t>
            </w:r>
          </w:p>
        </w:tc>
        <w:tc>
          <w:tcPr>
            <w:tcW w:type="dxa" w:w="2340"/>
            <w:tcBorders>
              <w:top w:val="single" w:color="CCCCCC" w:sz="1"/>
              <w:left w:val="single" w:color="CCCCCC" w:sz="1"/>
              <w:bottom w:val="single" w:color="CCCCCC" w:sz="1"/>
              <w:right w:val="single" w:color="CCCCCC" w:sz="1"/>
            </w:tcBorders>
          </w:tcPr>
          <w:p>
            <w:pPr>
              <w:jc w:val="center"/>
            </w:pPr>
            <w:r>
              <w:t xml:space="preserve">10,142</w:t>
            </w:r>
          </w:p>
        </w:tc>
        <w:tc>
          <w:tcPr>
            <w:tcW w:type="dxa" w:w="1872"/>
            <w:tcBorders>
              <w:top w:val="single" w:color="CCCCCC" w:sz="1"/>
              <w:left w:val="single" w:color="CCCCCC" w:sz="1"/>
              <w:bottom w:val="single" w:color="CCCCCC" w:sz="1"/>
              <w:right w:val="single" w:color="CCCCCC" w:sz="1"/>
            </w:tcBorders>
          </w:tcPr>
          <w:p>
            <w:pPr>
              <w:jc w:val="center"/>
            </w:pPr>
            <w:r>
              <w:t xml:space="preserve">9.22</w:t>
            </w:r>
          </w:p>
        </w:tc>
        <w:tc>
          <w:tcPr>
            <w:tcW w:type="dxa" w:w="1872"/>
            <w:tcBorders>
              <w:top w:val="single" w:color="CCCCCC" w:sz="1"/>
              <w:left w:val="single" w:color="CCCCCC" w:sz="1"/>
              <w:bottom w:val="single" w:color="CCCCCC" w:sz="1"/>
              <w:right w:val="single" w:color="CCCCCC" w:sz="1"/>
            </w:tcBorders>
          </w:tcPr>
          <w:p>
            <w:pPr>
              <w:jc w:val="center"/>
            </w:pPr>
            <w:r>
              <w:t xml:space="preserve">1.000</w:t>
            </w:r>
          </w:p>
        </w:tc>
        <w:tc>
          <w:tcPr>
            <w:tcW w:type="dxa" w:w="1404"/>
            <w:tcBorders>
              <w:top w:val="single" w:color="CCCCCC" w:sz="1"/>
              <w:left w:val="single" w:color="CCCCCC" w:sz="1"/>
              <w:bottom w:val="single" w:color="CCCCCC" w:sz="1"/>
              <w:right w:val="single" w:color="CCCCCC" w:sz="1"/>
            </w:tcBorders>
          </w:tcPr>
          <w:p>
            <w:pPr>
              <w:jc w:val="center"/>
            </w:pPr>
            <w:r>
              <w:t xml:space="preserve">10⁻⁴</w:t>
            </w:r>
          </w:p>
        </w:tc>
      </w:tr>
      <w:tr>
        <w:tc>
          <w:tcPr>
            <w:tcW w:type="dxa" w:w="1872"/>
            <w:tcBorders>
              <w:top w:val="single" w:color="CCCCCC" w:sz="1"/>
              <w:left w:val="single" w:color="CCCCCC" w:sz="1"/>
              <w:bottom w:val="single" w:color="CCCCCC" w:sz="1"/>
              <w:right w:val="single" w:color="CCCCCC" w:sz="1"/>
            </w:tcBorders>
          </w:tcPr>
          <w:p>
            <w:pPr>
              <w:jc w:val="center"/>
            </w:pPr>
            <w:r>
              <w:t xml:space="preserve">10⁵</w:t>
            </w:r>
          </w:p>
        </w:tc>
        <w:tc>
          <w:tcPr>
            <w:tcW w:type="dxa" w:w="2340"/>
            <w:tcBorders>
              <w:top w:val="single" w:color="CCCCCC" w:sz="1"/>
              <w:left w:val="single" w:color="CCCCCC" w:sz="1"/>
              <w:bottom w:val="single" w:color="CCCCCC" w:sz="1"/>
              <w:right w:val="single" w:color="CCCCCC" w:sz="1"/>
            </w:tcBorders>
          </w:tcPr>
          <w:p>
            <w:pPr>
              <w:jc w:val="center"/>
            </w:pPr>
            <w:r>
              <w:t xml:space="preserve">138,068</w:t>
            </w:r>
          </w:p>
        </w:tc>
        <w:tc>
          <w:tcPr>
            <w:tcW w:type="dxa" w:w="1872"/>
            <w:tcBorders>
              <w:top w:val="single" w:color="CCCCCC" w:sz="1"/>
              <w:left w:val="single" w:color="CCCCCC" w:sz="1"/>
              <w:bottom w:val="single" w:color="CCCCCC" w:sz="1"/>
              <w:right w:val="single" w:color="CCCCCC" w:sz="1"/>
            </w:tcBorders>
          </w:tcPr>
          <w:p>
            <w:pPr>
              <w:jc w:val="center"/>
            </w:pPr>
            <w:r>
              <w:t xml:space="preserve">11.84</w:t>
            </w:r>
          </w:p>
        </w:tc>
        <w:tc>
          <w:tcPr>
            <w:tcW w:type="dxa" w:w="1872"/>
            <w:tcBorders>
              <w:top w:val="single" w:color="CCCCCC" w:sz="1"/>
              <w:left w:val="single" w:color="CCCCCC" w:sz="1"/>
              <w:bottom w:val="single" w:color="CCCCCC" w:sz="1"/>
              <w:right w:val="single" w:color="CCCCCC" w:sz="1"/>
            </w:tcBorders>
          </w:tcPr>
          <w:p>
            <w:pPr>
              <w:jc w:val="center"/>
            </w:pPr>
            <w:r>
              <w:t xml:space="preserve">1.000</w:t>
            </w:r>
          </w:p>
        </w:tc>
        <w:tc>
          <w:tcPr>
            <w:tcW w:type="dxa" w:w="1404"/>
            <w:tcBorders>
              <w:top w:val="single" w:color="CCCCCC" w:sz="1"/>
              <w:left w:val="single" w:color="CCCCCC" w:sz="1"/>
              <w:bottom w:val="single" w:color="CCCCCC" w:sz="1"/>
              <w:right w:val="single" w:color="CCCCCC" w:sz="1"/>
            </w:tcBorders>
          </w:tcPr>
          <w:p>
            <w:pPr>
              <w:jc w:val="center"/>
            </w:pPr>
            <w:r>
              <w:t xml:space="preserve">10⁻⁵</w:t>
            </w:r>
          </w:p>
        </w:tc>
      </w:tr>
      <w:tr>
        <w:tc>
          <w:tcPr>
            <w:tcW w:type="dxa" w:w="1872"/>
            <w:tcBorders>
              <w:top w:val="single" w:color="CCCCCC" w:sz="1"/>
              <w:left w:val="single" w:color="CCCCCC" w:sz="1"/>
              <w:bottom w:val="single" w:color="CCCCCC" w:sz="1"/>
              <w:right w:val="single" w:color="CCCCCC" w:sz="1"/>
            </w:tcBorders>
          </w:tcPr>
          <w:p>
            <w:pPr>
              <w:jc w:val="center"/>
            </w:pPr>
            <w:r>
              <w:t xml:space="preserve">10⁶</w:t>
            </w:r>
          </w:p>
        </w:tc>
        <w:tc>
          <w:tcPr>
            <w:tcW w:type="dxa" w:w="2340"/>
            <w:tcBorders>
              <w:top w:val="single" w:color="CCCCCC" w:sz="1"/>
              <w:left w:val="single" w:color="CCCCCC" w:sz="1"/>
              <w:bottom w:val="single" w:color="CCCCCC" w:sz="1"/>
              <w:right w:val="single" w:color="CCCCCC" w:sz="1"/>
            </w:tcBorders>
          </w:tcPr>
          <w:p>
            <w:pPr>
              <w:jc w:val="center"/>
            </w:pPr>
            <w:r>
              <w:t xml:space="preserve">1.747 × 10⁶</w:t>
            </w:r>
          </w:p>
        </w:tc>
        <w:tc>
          <w:tcPr>
            <w:tcW w:type="dxa" w:w="1872"/>
            <w:tcBorders>
              <w:top w:val="single" w:color="CCCCCC" w:sz="1"/>
              <w:left w:val="single" w:color="CCCCCC" w:sz="1"/>
              <w:bottom w:val="single" w:color="CCCCCC" w:sz="1"/>
              <w:right w:val="single" w:color="CCCCCC" w:sz="1"/>
            </w:tcBorders>
          </w:tcPr>
          <w:p>
            <w:pPr>
              <w:jc w:val="center"/>
            </w:pPr>
            <w:r>
              <w:t xml:space="preserve">14.37</w:t>
            </w:r>
          </w:p>
        </w:tc>
        <w:tc>
          <w:tcPr>
            <w:tcW w:type="dxa" w:w="1872"/>
            <w:tcBorders>
              <w:top w:val="single" w:color="CCCCCC" w:sz="1"/>
              <w:left w:val="single" w:color="CCCCCC" w:sz="1"/>
              <w:bottom w:val="single" w:color="CCCCCC" w:sz="1"/>
              <w:right w:val="single" w:color="CCCCCC" w:sz="1"/>
            </w:tcBorders>
          </w:tcPr>
          <w:p>
            <w:pPr>
              <w:jc w:val="center"/>
            </w:pPr>
            <w:r>
              <w:t xml:space="preserve">1.000</w:t>
            </w:r>
          </w:p>
        </w:tc>
        <w:tc>
          <w:tcPr>
            <w:tcW w:type="dxa" w:w="1404"/>
            <w:tcBorders>
              <w:top w:val="single" w:color="CCCCCC" w:sz="1"/>
              <w:left w:val="single" w:color="CCCCCC" w:sz="1"/>
              <w:bottom w:val="single" w:color="CCCCCC" w:sz="1"/>
              <w:right w:val="single" w:color="CCCCCC" w:sz="1"/>
            </w:tcBorders>
          </w:tcPr>
          <w:p>
            <w:pPr>
              <w:jc w:val="center"/>
            </w:pPr>
            <w:r>
              <w:t xml:space="preserve">10⁻⁶</w:t>
            </w:r>
          </w:p>
        </w:tc>
      </w:tr>
    </w:tbl>
    <w:p>
      <w:pPr>
        <w:spacing w:before="120" w:after="240"/>
        <w:jc w:val="center"/>
      </w:pPr>
      <w:r>
        <w:rPr>
          <w:i/>
          <w:iCs/>
          <w:sz w:val="22"/>
          <w:szCs w:val="22"/>
        </w:rPr>
        <w:t xml:space="preserve">Table 4: Information conservation (Q×P = 1) with entropy growth (S increasing)</w:t>
      </w:r>
    </w:p>
    <w:p>
      <w:pPr>
        <w:spacing w:after="200" w:line="276"/>
      </w:pPr>
      <w:r>
        <w:t xml:space="preserve">Q × P = 1.000 exactly at all heights, confirming information conservation. Meanwhile S grows logarithmically, confirming entropy increase. The rate dS/dt ~ 1/t decreases, meaning entropy growth slows but never stops.</w:t>
      </w:r>
    </w:p>
    <w:p>
      <w:r>
        <w:br w:type="page"/>
      </w:r>
    </w:p>
    <w:p>
      <w:pPr>
        <w:spacing w:before="480" w:after="240"/>
        <w:jc w:val="center"/>
      </w:pPr>
      <w:r>
        <w:rPr>
          <w:b/>
          <w:bCs/>
          <w:sz w:val="32"/>
          <w:szCs w:val="32"/>
        </w:rPr>
        <w:t xml:space="preserve">PART V: THE GOLDEN SHADOW COEFFICIENT</w:t>
      </w:r>
    </w:p>
    <w:p>
      <w:pPr>
        <w:pStyle w:val="Heading1"/>
      </w:pPr>
      <w:r>
        <w:t xml:space="preserve">5. Identifying the Quantum Gravity Coefficient</w:t>
      </w:r>
    </w:p>
    <w:p>
      <w:pPr>
        <w:pStyle w:val="Heading2"/>
      </w:pPr>
      <w:r>
        <w:t xml:space="preserve">5.1 The Log Coefficient Problem</w:t>
      </w:r>
    </w:p>
    <w:p>
      <w:pPr>
        <w:spacing w:after="200" w:line="276"/>
      </w:pPr>
      <w:r>
        <w:t xml:space="preserve">The quantum-corrected black hole entropy is:</w:t>
      </w:r>
    </w:p>
    <w:p>
      <w:pPr>
        <w:spacing w:before="200" w:after="200"/>
        <w:jc w:val="center"/>
      </w:pPr>
      <w:r>
        <w:rPr>
          <w:i/>
          <w:iCs/>
          <w:sz w:val="24"/>
          <w:szCs w:val="24"/>
        </w:rPr>
        <w:t xml:space="preserve">S_QG = πr²/ℓ_P² + α ln(r²/ℓ_P²) + O(1)    </w:t>
      </w:r>
      <w:r>
        <w:rPr>
          <w:sz w:val="22"/>
          <w:szCs w:val="22"/>
        </w:rPr>
        <w:t xml:space="preserve">(20)</w:t>
      </w:r>
    </w:p>
    <w:p>
      <w:pPr>
        <w:spacing w:after="200" w:line="276"/>
      </w:pPr>
      <w:r>
        <w:t xml:space="preserve">Different approaches to quantum gravity predict different values for α:</w:t>
      </w:r>
    </w:p>
    <w:p>
      <w:pPr>
        <w:pStyle w:val="ListParagraph"/>
        <w:numPr>
          <w:ilvl w:val="0"/>
          <w:numId w:val="2"/>
        </w:numPr>
        <w:spacing w:after="120"/>
      </w:pPr>
      <w:r>
        <w:t xml:space="preserve">Loop quantum gravity: α = −1/2 or −3/2 depending on details</w:t>
      </w:r>
    </w:p>
    <w:p>
      <w:pPr>
        <w:pStyle w:val="ListParagraph"/>
        <w:numPr>
          <w:ilvl w:val="0"/>
          <w:numId w:val="2"/>
        </w:numPr>
        <w:spacing w:after="120"/>
      </w:pPr>
      <w:r>
        <w:t xml:space="preserve">String theory: α depends on the number of massless fields</w:t>
      </w:r>
    </w:p>
    <w:p>
      <w:pPr>
        <w:pStyle w:val="ListParagraph"/>
        <w:numPr>
          <w:ilvl w:val="0"/>
          <w:numId w:val="2"/>
        </w:numPr>
        <w:spacing w:after="120"/>
      </w:pPr>
      <w:r>
        <w:t xml:space="preserve">Conformal field theory: α = −(1/90) × (number of fields)</w:t>
      </w:r>
    </w:p>
    <w:p>
      <w:pPr>
        <w:spacing w:after="200" w:line="276"/>
      </w:pPr>
      <w:r>
        <w:t xml:space="preserve">There is no consensus on the "correct" value. We propose that α has a </w:t>
      </w:r>
      <w:r>
        <w:rPr>
          <w:b/>
          <w:bCs/>
        </w:rPr>
        <w:t xml:space="preserve">number-theoretic origin</w:t>
      </w:r>
      <w:r>
        <w:t xml:space="preserve">.</w:t>
      </w:r>
    </w:p>
    <w:p>
      <w:pPr>
        <w:pStyle w:val="Heading2"/>
      </w:pPr>
      <w:r>
        <w:t xml:space="preserve">5.2 The Golden Shadow</w:t>
      </w:r>
    </w:p>
    <w:p>
      <w:pPr>
        <w:spacing w:after="200" w:line="276"/>
      </w:pPr>
      <w:r>
        <w:t xml:space="preserve">The Golden Shadow is defined as:</w:t>
      </w:r>
    </w:p>
    <w:p>
      <w:pPr>
        <w:spacing w:before="200" w:after="200"/>
        <w:jc w:val="center"/>
      </w:pPr>
      <w:r>
        <w:rPr>
          <w:i/>
          <w:iCs/>
          <w:sz w:val="24"/>
          <w:szCs w:val="24"/>
        </w:rPr>
        <w:t xml:space="preserve">Δ = ζ(2) − φ = π²/6 − (1+√5)/2 ≈ 0.0269    </w:t>
      </w:r>
      <w:r>
        <w:rPr>
          <w:sz w:val="22"/>
          <w:szCs w:val="22"/>
        </w:rPr>
        <w:t xml:space="preserve">(21)</w:t>
      </w:r>
    </w:p>
    <w:p>
      <w:pPr>
        <w:spacing w:after="200" w:line="276"/>
      </w:pPr>
      <w:r>
        <w:t xml:space="preserve">where ζ(2) = π²/6 ≈ 1.6449 is the system energy bound and φ = (1+√5)/2 ≈ 1.6180 is the Golden Ratio.</w:t>
      </w:r>
    </w:p>
    <w:p>
      <w:pPr>
        <w:spacing w:after="200" w:line="276"/>
      </w:pPr>
      <w:r>
        <w:t xml:space="preserve">The dimensionless ratio is:</w:t>
      </w:r>
    </w:p>
    <w:p>
      <w:pPr>
        <w:spacing w:before="200" w:after="200"/>
        <w:jc w:val="center"/>
      </w:pPr>
      <w:r>
        <w:rPr>
          <w:i/>
          <w:iCs/>
          <w:sz w:val="24"/>
          <w:szCs w:val="24"/>
        </w:rPr>
        <w:t xml:space="preserve">Δ/ζ(2) ≈ 0.0164 ≈ 1.64%    </w:t>
      </w:r>
      <w:r>
        <w:rPr>
          <w:sz w:val="22"/>
          <w:szCs w:val="22"/>
        </w:rPr>
        <w:t xml:space="preserve">(22)</w:t>
      </w:r>
    </w:p>
    <w:p>
      <w:pPr>
        <w:pStyle w:val="Heading2"/>
      </w:pPr>
      <w:r>
        <w:t xml:space="preserve">5.3 Candidate Coefficients</w:t>
      </w:r>
    </w:p>
    <w:p>
      <w:pPr>
        <w:spacing w:after="200" w:line="276"/>
      </w:pPr>
      <w:r>
        <w:t xml:space="preserve">We consider several number-theoretic expressions as candidates for α:</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744"/>
        <w:gridCol w:w="2808"/>
        <w:gridCol w:w="2808"/>
      </w:tblGrid>
      <w:tr>
        <w:trPr>
          <w:tblHeader/>
        </w:trPr>
        <w:tc>
          <w:tcPr>
            <w:tcW w:type="dxa" w:w="3744"/>
            <w:tcBorders>
              <w:top w:val="single" w:color="CCCCCC" w:sz="1"/>
              <w:left w:val="single" w:color="CCCCCC" w:sz="1"/>
              <w:bottom w:val="single" w:color="CCCCCC" w:sz="1"/>
              <w:right w:val="single" w:color="CCCCCC" w:sz="1"/>
            </w:tcBorders>
            <w:shd w:fill="E8E8E8" w:val="clear"/>
          </w:tcPr>
          <w:p>
            <w:pPr>
              <w:jc w:val="center"/>
            </w:pPr>
            <w:r>
              <w:rPr>
                <w:b/>
                <w:bCs/>
              </w:rPr>
              <w:t xml:space="preserve">Expression</w:t>
            </w:r>
          </w:p>
        </w:tc>
        <w:tc>
          <w:tcPr>
            <w:tcW w:type="dxa" w:w="2808"/>
            <w:tcBorders>
              <w:top w:val="single" w:color="CCCCCC" w:sz="1"/>
              <w:left w:val="single" w:color="CCCCCC" w:sz="1"/>
              <w:bottom w:val="single" w:color="CCCCCC" w:sz="1"/>
              <w:right w:val="single" w:color="CCCCCC" w:sz="1"/>
            </w:tcBorders>
            <w:shd w:fill="E8E8E8" w:val="clear"/>
          </w:tcPr>
          <w:p>
            <w:pPr>
              <w:jc w:val="center"/>
            </w:pPr>
            <w:r>
              <w:rPr>
                <w:b/>
                <w:bCs/>
              </w:rPr>
              <w:t xml:space="preserve">Value</w:t>
            </w:r>
          </w:p>
        </w:tc>
        <w:tc>
          <w:tcPr>
            <w:tcW w:type="dxa" w:w="2808"/>
            <w:tcBorders>
              <w:top w:val="single" w:color="CCCCCC" w:sz="1"/>
              <w:left w:val="single" w:color="CCCCCC" w:sz="1"/>
              <w:bottom w:val="single" w:color="CCCCCC" w:sz="1"/>
              <w:right w:val="single" w:color="CCCCCC" w:sz="1"/>
            </w:tcBorders>
            <w:shd w:fill="E8E8E8" w:val="clear"/>
          </w:tcPr>
          <w:p>
            <w:pPr>
              <w:jc w:val="center"/>
            </w:pPr>
            <w:r>
              <w:rPr>
                <w:b/>
                <w:bCs/>
              </w:rPr>
              <w:t xml:space="preserve">Notes</w:t>
            </w:r>
          </w:p>
        </w:tc>
      </w:tr>
      <w:tr>
        <w:tc>
          <w:tcPr>
            <w:tcW w:type="dxa" w:w="3744"/>
            <w:tcBorders>
              <w:top w:val="single" w:color="CCCCCC" w:sz="1"/>
              <w:left w:val="single" w:color="CCCCCC" w:sz="1"/>
              <w:bottom w:val="single" w:color="CCCCCC" w:sz="1"/>
              <w:right w:val="single" w:color="CCCCCC" w:sz="1"/>
            </w:tcBorders>
          </w:tcPr>
          <w:p>
            <w:pPr>
              <w:jc w:val="left"/>
            </w:pPr>
            <w:r>
              <w:t xml:space="preserve">Δ = ζ(2) − φ</w:t>
            </w:r>
          </w:p>
        </w:tc>
        <w:tc>
          <w:tcPr>
            <w:tcW w:type="dxa" w:w="2808"/>
            <w:tcBorders>
              <w:top w:val="single" w:color="CCCCCC" w:sz="1"/>
              <w:left w:val="single" w:color="CCCCCC" w:sz="1"/>
              <w:bottom w:val="single" w:color="CCCCCC" w:sz="1"/>
              <w:right w:val="single" w:color="CCCCCC" w:sz="1"/>
            </w:tcBorders>
          </w:tcPr>
          <w:p>
            <w:pPr>
              <w:jc w:val="center"/>
            </w:pPr>
            <w:r>
              <w:t xml:space="preserve">0.0269</w:t>
            </w:r>
          </w:p>
        </w:tc>
        <w:tc>
          <w:tcPr>
            <w:tcW w:type="dxa" w:w="2808"/>
            <w:tcBorders>
              <w:top w:val="single" w:color="CCCCCC" w:sz="1"/>
              <w:left w:val="single" w:color="CCCCCC" w:sz="1"/>
              <w:bottom w:val="single" w:color="CCCCCC" w:sz="1"/>
              <w:right w:val="single" w:color="CCCCCC" w:sz="1"/>
            </w:tcBorders>
          </w:tcPr>
          <w:p>
            <w:pPr>
              <w:jc w:val="center"/>
            </w:pPr>
            <w:r>
              <w:t xml:space="preserve">Golden Shadow</w:t>
            </w:r>
          </w:p>
        </w:tc>
      </w:tr>
      <w:tr>
        <w:tc>
          <w:tcPr>
            <w:tcW w:type="dxa" w:w="3744"/>
            <w:tcBorders>
              <w:top w:val="single" w:color="CCCCCC" w:sz="1"/>
              <w:left w:val="single" w:color="CCCCCC" w:sz="1"/>
              <w:bottom w:val="single" w:color="CCCCCC" w:sz="1"/>
              <w:right w:val="single" w:color="CCCCCC" w:sz="1"/>
            </w:tcBorders>
          </w:tcPr>
          <w:p>
            <w:pPr>
              <w:jc w:val="left"/>
            </w:pPr>
            <w:r>
              <w:t xml:space="preserve">Δ/ζ(2)</w:t>
            </w:r>
          </w:p>
        </w:tc>
        <w:tc>
          <w:tcPr>
            <w:tcW w:type="dxa" w:w="2808"/>
            <w:tcBorders>
              <w:top w:val="single" w:color="CCCCCC" w:sz="1"/>
              <w:left w:val="single" w:color="CCCCCC" w:sz="1"/>
              <w:bottom w:val="single" w:color="CCCCCC" w:sz="1"/>
              <w:right w:val="single" w:color="CCCCCC" w:sz="1"/>
            </w:tcBorders>
          </w:tcPr>
          <w:p>
            <w:pPr>
              <w:jc w:val="center"/>
            </w:pPr>
            <w:r>
              <w:t xml:space="preserve">0.0164</w:t>
            </w:r>
          </w:p>
        </w:tc>
        <w:tc>
          <w:tcPr>
            <w:tcW w:type="dxa" w:w="2808"/>
            <w:tcBorders>
              <w:top w:val="single" w:color="CCCCCC" w:sz="1"/>
              <w:left w:val="single" w:color="CCCCCC" w:sz="1"/>
              <w:bottom w:val="single" w:color="CCCCCC" w:sz="1"/>
              <w:right w:val="single" w:color="CCCCCC" w:sz="1"/>
            </w:tcBorders>
          </w:tcPr>
          <w:p>
            <w:pPr>
              <w:jc w:val="center"/>
            </w:pPr>
            <w:r>
              <w:t xml:space="preserve">Relative shadow</w:t>
            </w:r>
          </w:p>
        </w:tc>
      </w:tr>
      <w:tr>
        <w:tc>
          <w:tcPr>
            <w:tcW w:type="dxa" w:w="3744"/>
            <w:tcBorders>
              <w:top w:val="single" w:color="CCCCCC" w:sz="1"/>
              <w:left w:val="single" w:color="CCCCCC" w:sz="1"/>
              <w:bottom w:val="single" w:color="CCCCCC" w:sz="1"/>
              <w:right w:val="single" w:color="CCCCCC" w:sz="1"/>
            </w:tcBorders>
          </w:tcPr>
          <w:p>
            <w:pPr>
              <w:jc w:val="left"/>
            </w:pPr>
            <w:r>
              <w:t xml:space="preserve">1/(2π)</w:t>
            </w:r>
          </w:p>
        </w:tc>
        <w:tc>
          <w:tcPr>
            <w:tcW w:type="dxa" w:w="2808"/>
            <w:tcBorders>
              <w:top w:val="single" w:color="CCCCCC" w:sz="1"/>
              <w:left w:val="single" w:color="CCCCCC" w:sz="1"/>
              <w:bottom w:val="single" w:color="CCCCCC" w:sz="1"/>
              <w:right w:val="single" w:color="CCCCCC" w:sz="1"/>
            </w:tcBorders>
          </w:tcPr>
          <w:p>
            <w:pPr>
              <w:jc w:val="center"/>
            </w:pPr>
            <w:r>
              <w:t xml:space="preserve">0.159</w:t>
            </w:r>
          </w:p>
        </w:tc>
        <w:tc>
          <w:tcPr>
            <w:tcW w:type="dxa" w:w="2808"/>
            <w:tcBorders>
              <w:top w:val="single" w:color="CCCCCC" w:sz="1"/>
              <w:left w:val="single" w:color="CCCCCC" w:sz="1"/>
              <w:bottom w:val="single" w:color="CCCCCC" w:sz="1"/>
              <w:right w:val="single" w:color="CCCCCC" w:sz="1"/>
            </w:tcBorders>
          </w:tcPr>
          <w:p>
            <w:pPr>
              <w:jc w:val="center"/>
            </w:pPr>
            <w:r>
              <w:t xml:space="preserve">From N(t) formula</w:t>
            </w:r>
          </w:p>
        </w:tc>
      </w:tr>
      <w:tr>
        <w:tc>
          <w:tcPr>
            <w:tcW w:type="dxa" w:w="3744"/>
            <w:tcBorders>
              <w:top w:val="single" w:color="CCCCCC" w:sz="1"/>
              <w:left w:val="single" w:color="CCCCCC" w:sz="1"/>
              <w:bottom w:val="single" w:color="CCCCCC" w:sz="1"/>
              <w:right w:val="single" w:color="CCCCCC" w:sz="1"/>
            </w:tcBorders>
          </w:tcPr>
          <w:p>
            <w:pPr>
              <w:jc w:val="left"/>
            </w:pPr>
            <w:r>
              <w:t xml:space="preserve">1/π</w:t>
            </w:r>
          </w:p>
        </w:tc>
        <w:tc>
          <w:tcPr>
            <w:tcW w:type="dxa" w:w="2808"/>
            <w:tcBorders>
              <w:top w:val="single" w:color="CCCCCC" w:sz="1"/>
              <w:left w:val="single" w:color="CCCCCC" w:sz="1"/>
              <w:bottom w:val="single" w:color="CCCCCC" w:sz="1"/>
              <w:right w:val="single" w:color="CCCCCC" w:sz="1"/>
            </w:tcBorders>
          </w:tcPr>
          <w:p>
            <w:pPr>
              <w:jc w:val="center"/>
            </w:pPr>
            <w:r>
              <w:t xml:space="preserve">0.318</w:t>
            </w:r>
          </w:p>
        </w:tc>
        <w:tc>
          <w:tcPr>
            <w:tcW w:type="dxa" w:w="2808"/>
            <w:tcBorders>
              <w:top w:val="single" w:color="CCCCCC" w:sz="1"/>
              <w:left w:val="single" w:color="CCCCCC" w:sz="1"/>
              <w:bottom w:val="single" w:color="CCCCCC" w:sz="1"/>
              <w:right w:val="single" w:color="CCCCCC" w:sz="1"/>
            </w:tcBorders>
          </w:tcPr>
          <w:p>
            <w:pPr>
              <w:jc w:val="center"/>
            </w:pPr>
            <w:r>
              <w:t xml:space="preserve">From σ(r) = ln(r)/π</w:t>
            </w:r>
          </w:p>
        </w:tc>
      </w:tr>
      <w:tr>
        <w:tc>
          <w:tcPr>
            <w:tcW w:type="dxa" w:w="3744"/>
            <w:tcBorders>
              <w:top w:val="single" w:color="CCCCCC" w:sz="1"/>
              <w:left w:val="single" w:color="CCCCCC" w:sz="1"/>
              <w:bottom w:val="single" w:color="CCCCCC" w:sz="1"/>
              <w:right w:val="single" w:color="CCCCCC" w:sz="1"/>
            </w:tcBorders>
          </w:tcPr>
          <w:p>
            <w:pPr>
              <w:jc w:val="left"/>
            </w:pPr>
            <w:r>
              <w:t xml:space="preserve">ln(φ)/π</w:t>
            </w:r>
          </w:p>
        </w:tc>
        <w:tc>
          <w:tcPr>
            <w:tcW w:type="dxa" w:w="2808"/>
            <w:tcBorders>
              <w:top w:val="single" w:color="CCCCCC" w:sz="1"/>
              <w:left w:val="single" w:color="CCCCCC" w:sz="1"/>
              <w:bottom w:val="single" w:color="CCCCCC" w:sz="1"/>
              <w:right w:val="single" w:color="CCCCCC" w:sz="1"/>
            </w:tcBorders>
          </w:tcPr>
          <w:p>
            <w:pPr>
              <w:jc w:val="center"/>
            </w:pPr>
            <w:r>
              <w:t xml:space="preserve">0.153</w:t>
            </w:r>
          </w:p>
        </w:tc>
        <w:tc>
          <w:tcPr>
            <w:tcW w:type="dxa" w:w="2808"/>
            <w:tcBorders>
              <w:top w:val="single" w:color="CCCCCC" w:sz="1"/>
              <w:left w:val="single" w:color="CCCCCC" w:sz="1"/>
              <w:bottom w:val="single" w:color="CCCCCC" w:sz="1"/>
              <w:right w:val="single" w:color="CCCCCC" w:sz="1"/>
            </w:tcBorders>
          </w:tcPr>
          <w:p>
            <w:pPr>
              <w:jc w:val="center"/>
            </w:pPr>
            <w:r>
              <w:t xml:space="preserve">Golden frequency</w:t>
            </w:r>
          </w:p>
        </w:tc>
      </w:tr>
      <w:tr>
        <w:tc>
          <w:tcPr>
            <w:tcW w:type="dxa" w:w="3744"/>
            <w:tcBorders>
              <w:top w:val="single" w:color="CCCCCC" w:sz="1"/>
              <w:left w:val="single" w:color="CCCCCC" w:sz="1"/>
              <w:bottom w:val="single" w:color="CCCCCC" w:sz="1"/>
              <w:right w:val="single" w:color="CCCCCC" w:sz="1"/>
            </w:tcBorders>
          </w:tcPr>
          <w:p>
            <w:pPr>
              <w:jc w:val="left"/>
            </w:pPr>
            <w:r>
              <w:t xml:space="preserve">6/π²</w:t>
            </w:r>
          </w:p>
        </w:tc>
        <w:tc>
          <w:tcPr>
            <w:tcW w:type="dxa" w:w="2808"/>
            <w:tcBorders>
              <w:top w:val="single" w:color="CCCCCC" w:sz="1"/>
              <w:left w:val="single" w:color="CCCCCC" w:sz="1"/>
              <w:bottom w:val="single" w:color="CCCCCC" w:sz="1"/>
              <w:right w:val="single" w:color="CCCCCC" w:sz="1"/>
            </w:tcBorders>
          </w:tcPr>
          <w:p>
            <w:pPr>
              <w:jc w:val="center"/>
            </w:pPr>
            <w:r>
              <w:t xml:space="preserve">0.608</w:t>
            </w:r>
          </w:p>
        </w:tc>
        <w:tc>
          <w:tcPr>
            <w:tcW w:type="dxa" w:w="2808"/>
            <w:tcBorders>
              <w:top w:val="single" w:color="CCCCCC" w:sz="1"/>
              <w:left w:val="single" w:color="CCCCCC" w:sz="1"/>
              <w:bottom w:val="single" w:color="CCCCCC" w:sz="1"/>
              <w:right w:val="single" w:color="CCCCCC" w:sz="1"/>
            </w:tcBorders>
          </w:tcPr>
          <w:p>
            <w:pPr>
              <w:jc w:val="center"/>
            </w:pPr>
            <w:r>
              <w:t xml:space="preserve">Coprimality prob.</w:t>
            </w:r>
          </w:p>
        </w:tc>
      </w:tr>
    </w:tbl>
    <w:p>
      <w:pPr>
        <w:spacing w:before="120" w:after="240"/>
        <w:jc w:val="center"/>
      </w:pPr>
      <w:r>
        <w:rPr>
          <w:i/>
          <w:iCs/>
          <w:sz w:val="22"/>
          <w:szCs w:val="22"/>
        </w:rPr>
        <w:t xml:space="preserve">Table 5: Candidate number-theoretic coefficients for α</w:t>
      </w:r>
    </w:p>
    <w:p>
      <w:pPr>
        <w:pStyle w:val="Heading2"/>
      </w:pPr>
      <w:r>
        <w:t xml:space="preserve">5.4 The Log Coefficient from Natural OS</w:t>
      </w:r>
    </w:p>
    <w:p>
      <w:pPr>
        <w:spacing w:after="200" w:line="276"/>
      </w:pPr>
      <w:r>
        <w:t xml:space="preserve">In our framework, the information density is σ(r) = ln(r)/π. If we identify this with an entropy density, the total entropy is:</w:t>
      </w:r>
    </w:p>
    <w:p>
      <w:pPr>
        <w:spacing w:before="200" w:after="200"/>
        <w:jc w:val="center"/>
      </w:pPr>
      <w:r>
        <w:rPr>
          <w:i/>
          <w:iCs/>
          <w:sz w:val="24"/>
          <w:szCs w:val="24"/>
        </w:rPr>
        <w:t xml:space="preserve">S_NOS = ∫₀ʳ σ(r') × 2πr' dr' / ℓ₀² = (1/ℓ₀²) ∫₀ʳ 2 ln(r') r' dr'    </w:t>
      </w:r>
      <w:r>
        <w:rPr>
          <w:sz w:val="22"/>
          <w:szCs w:val="22"/>
        </w:rPr>
        <w:t xml:space="preserve">(23)</w:t>
      </w:r>
    </w:p>
    <w:p>
      <w:pPr>
        <w:spacing w:after="200" w:line="276"/>
      </w:pPr>
      <w:r>
        <w:t xml:space="preserve">where ℓ₀ is a fundamental length scale. Evaluating the integral:</w:t>
      </w:r>
    </w:p>
    <w:p>
      <w:pPr>
        <w:spacing w:before="200" w:after="200"/>
        <w:jc w:val="center"/>
      </w:pPr>
      <w:r>
        <w:rPr>
          <w:i/>
          <w:iCs/>
          <w:sz w:val="24"/>
          <w:szCs w:val="24"/>
        </w:rPr>
        <w:t xml:space="preserve">∫ 2 ln(r') r' dr' = r'² ln(r') − r'²/2</w:t>
      </w:r>
    </w:p>
    <w:p>
      <w:pPr>
        <w:spacing w:before="200" w:after="200"/>
        <w:jc w:val="center"/>
      </w:pPr>
      <w:r>
        <w:rPr>
          <w:i/>
          <w:iCs/>
          <w:sz w:val="24"/>
          <w:szCs w:val="24"/>
        </w:rPr>
        <w:t xml:space="preserve">S_NOS = (r²/ℓ₀²)[ln(r) − 1/2] = (r²/ℓ₀²) ln(r) − r²/(2ℓ₀²)    </w:t>
      </w:r>
      <w:r>
        <w:rPr>
          <w:sz w:val="22"/>
          <w:szCs w:val="22"/>
        </w:rPr>
        <w:t xml:space="preserve">(24)</w:t>
      </w:r>
    </w:p>
    <w:p>
      <w:pPr>
        <w:spacing w:after="200" w:line="276"/>
      </w:pPr>
      <w:r>
        <w:t xml:space="preserve">This has the form S = [area] × ln(r) − [area]/2, matching the quantum gravity formula with:</w:t>
      </w:r>
    </w:p>
    <w:p>
      <w:pPr>
        <w:spacing w:before="200" w:after="200"/>
        <w:jc w:val="center"/>
      </w:pPr>
      <w:r>
        <w:rPr>
          <w:i/>
          <w:iCs/>
          <w:sz w:val="24"/>
          <w:szCs w:val="24"/>
        </w:rPr>
        <w:t xml:space="preserve">α_NOS = 1    (from the leading log term)    </w:t>
      </w:r>
      <w:r>
        <w:rPr>
          <w:sz w:val="22"/>
          <w:szCs w:val="22"/>
        </w:rPr>
        <w:t xml:space="preserve">(25)</w:t>
      </w:r>
    </w:p>
    <w:p>
      <w:pPr>
        <w:spacing w:after="200" w:line="276"/>
      </w:pPr>
      <w:r>
        <w:t xml:space="preserve">The coefficient α = 1 is remarkably simple. Whether this matches any quantum gravity prediction depends on the specific approach.</w:t>
      </w:r>
    </w:p>
    <w:p>
      <w:pPr>
        <w:pStyle w:val="Heading2"/>
      </w:pPr>
      <w:r>
        <w:t xml:space="preserve">5.5 Interpretation</w:t>
      </w:r>
    </w:p>
    <w:p>
      <w:pPr>
        <w:spacing w:after="200" w:line="276"/>
      </w:pPr>
      <w:r>
        <w:t xml:space="preserve">The appearance of simple coefficients (1/π, 1/2π, 1) suggests that the logarithmic correction has a fundamental, potentially number-theoretic origin. The Golden Shadow Δ ≈ 0.027 may set corrections at a different order or in a different context (e.g., the minimum spacing rather than the log coefficient).</w:t>
      </w:r>
    </w:p>
    <w:p>
      <w:pPr>
        <w:spacing w:after="200" w:line="276"/>
      </w:pPr>
      <w:r>
        <w:rPr>
          <w:b/>
          <w:bCs/>
        </w:rPr>
        <w:t xml:space="preserve">Open Problem 5.1.</w:t>
      </w:r>
      <w:r>
        <w:t xml:space="preserve"> Determine the precise relationship between:</w:t>
      </w:r>
    </w:p>
    <w:p>
      <w:pPr>
        <w:pStyle w:val="ListParagraph"/>
        <w:numPr>
          <w:ilvl w:val="0"/>
          <w:numId w:val="2"/>
        </w:numPr>
        <w:spacing w:after="120"/>
      </w:pPr>
      <w:r>
        <w:t xml:space="preserve">The quantum gravity coefficient α</w:t>
      </w:r>
    </w:p>
    <w:p>
      <w:pPr>
        <w:pStyle w:val="ListParagraph"/>
        <w:numPr>
          <w:ilvl w:val="0"/>
          <w:numId w:val="2"/>
        </w:numPr>
        <w:spacing w:after="120"/>
      </w:pPr>
      <w:r>
        <w:t xml:space="preserve">The Natural OS coefficients (1/π, 1/2π)</w:t>
      </w:r>
    </w:p>
    <w:p>
      <w:pPr>
        <w:pStyle w:val="ListParagraph"/>
        <w:numPr>
          <w:ilvl w:val="0"/>
          <w:numId w:val="2"/>
        </w:numPr>
        <w:spacing w:after="120"/>
      </w:pPr>
      <w:r>
        <w:t xml:space="preserve">The Golden Shadow Δ and its ratio Δ/ζ(2)</w:t>
      </w:r>
    </w:p>
    <w:p>
      <w:pPr>
        <w:spacing w:after="200" w:line="276"/>
      </w:pPr>
      <w:r>
        <w:t xml:space="preserve">Resolving this would establish whether the log correction in black hole entropy has arithmetic origins.</w:t>
      </w:r>
    </w:p>
    <w:p>
      <w:r>
        <w:br w:type="page"/>
      </w:r>
    </w:p>
    <w:p>
      <w:pPr>
        <w:spacing w:before="480" w:after="240"/>
        <w:jc w:val="center"/>
      </w:pPr>
      <w:r>
        <w:rPr>
          <w:b/>
          <w:bCs/>
          <w:sz w:val="32"/>
          <w:szCs w:val="32"/>
        </w:rPr>
        <w:t xml:space="preserve">PART VI: COMPLETE NUMERICAL VERIFICATION</w:t>
      </w:r>
    </w:p>
    <w:p>
      <w:pPr>
        <w:pStyle w:val="Heading1"/>
      </w:pPr>
      <w:r>
        <w:t xml:space="preserve">6. Reproducible Calculations</w:t>
      </w:r>
    </w:p>
    <w:p>
      <w:pPr>
        <w:spacing w:after="200" w:line="276"/>
      </w:pPr>
      <w:r>
        <w:t xml:space="preserve">This section provides all formulas and numerical values needed to reproduce our results.</w:t>
      </w:r>
    </w:p>
    <w:p>
      <w:pPr>
        <w:pStyle w:val="Heading2"/>
      </w:pPr>
      <w:r>
        <w:t xml:space="preserve">6.1 Fundamental Constants</w:t>
      </w:r>
    </w:p>
    <w:p>
      <w:pPr>
        <w:spacing w:after="200" w:line="276"/>
      </w:pPr>
      <w:r>
        <w:rPr>
          <w:b/>
          <w:bCs/>
        </w:rPr>
        <w:t xml:space="preserve">Number-Theoretic Constants:</w:t>
      </w:r>
    </w:p>
    <w:p>
      <w:pPr>
        <w:pStyle w:val="ListParagraph"/>
        <w:numPr>
          <w:ilvl w:val="0"/>
          <w:numId w:val="2"/>
        </w:numPr>
        <w:spacing w:after="120"/>
      </w:pPr>
      <w:r>
        <w:t xml:space="preserve">ζ(2) = π²/6 = 1.6449340668482264...</w:t>
      </w:r>
    </w:p>
    <w:p>
      <w:pPr>
        <w:pStyle w:val="ListParagraph"/>
        <w:numPr>
          <w:ilvl w:val="0"/>
          <w:numId w:val="2"/>
        </w:numPr>
        <w:spacing w:after="120"/>
      </w:pPr>
      <w:r>
        <w:t xml:space="preserve">φ = (1 + √5)/2 = 1.6180339887498949...</w:t>
      </w:r>
    </w:p>
    <w:p>
      <w:pPr>
        <w:pStyle w:val="ListParagraph"/>
        <w:numPr>
          <w:ilvl w:val="0"/>
          <w:numId w:val="2"/>
        </w:numPr>
        <w:spacing w:after="120"/>
      </w:pPr>
      <w:r>
        <w:t xml:space="preserve">Δ = ζ(2) − φ = 0.0269000780983315...</w:t>
      </w:r>
    </w:p>
    <w:p>
      <w:pPr>
        <w:pStyle w:val="ListParagraph"/>
        <w:numPr>
          <w:ilvl w:val="0"/>
          <w:numId w:val="2"/>
        </w:numPr>
        <w:spacing w:after="120"/>
      </w:pPr>
      <w:r>
        <w:t xml:space="preserve">Δ/ζ(2) = 0.016352780373...</w:t>
      </w:r>
    </w:p>
    <w:p>
      <w:pPr>
        <w:spacing w:after="200" w:line="276"/>
      </w:pPr>
      <w:r>
        <w:rPr>
          <w:b/>
          <w:bCs/>
        </w:rPr>
        <w:t xml:space="preserve">Physical Constants:</w:t>
      </w:r>
    </w:p>
    <w:p>
      <w:pPr>
        <w:pStyle w:val="ListParagraph"/>
        <w:numPr>
          <w:ilvl w:val="0"/>
          <w:numId w:val="2"/>
        </w:numPr>
        <w:spacing w:after="120"/>
      </w:pPr>
      <w:r>
        <w:t xml:space="preserve">Planck length: ℓ_P = √(ℏG/c³) = 1.616255 × 10⁻³⁵ m</w:t>
      </w:r>
    </w:p>
    <w:p>
      <w:pPr>
        <w:pStyle w:val="ListParagraph"/>
        <w:numPr>
          <w:ilvl w:val="0"/>
          <w:numId w:val="2"/>
        </w:numPr>
        <w:spacing w:after="120"/>
      </w:pPr>
      <w:r>
        <w:t xml:space="preserve">Planck area: ℓ_P² = 2.612 × 10⁻⁷⁰ m²</w:t>
      </w:r>
    </w:p>
    <w:p>
      <w:pPr>
        <w:pStyle w:val="Heading2"/>
      </w:pPr>
      <w:r>
        <w:t xml:space="preserve">6.2 Key Formulas</w:t>
      </w:r>
    </w:p>
    <w:p>
      <w:pPr>
        <w:spacing w:after="200" w:line="276"/>
      </w:pPr>
      <w:r>
        <w:rPr>
          <w:b/>
          <w:bCs/>
        </w:rPr>
        <w:t xml:space="preserve">Zero Counting (Riemann-von Mangoldt):</w:t>
      </w:r>
    </w:p>
    <w:p>
      <w:pPr>
        <w:spacing w:before="200" w:after="200"/>
        <w:jc w:val="center"/>
      </w:pPr>
      <w:r>
        <w:rPr>
          <w:i/>
          <w:iCs/>
          <w:sz w:val="24"/>
          <w:szCs w:val="24"/>
        </w:rPr>
        <w:t xml:space="preserve">N(T) = (T/2π) ln(T/2π) − T/2π + 7/8 + O(1/T)    </w:t>
      </w:r>
      <w:r>
        <w:rPr>
          <w:sz w:val="22"/>
          <w:szCs w:val="22"/>
        </w:rPr>
        <w:t xml:space="preserve">(26)</w:t>
      </w:r>
    </w:p>
    <w:p>
      <w:pPr>
        <w:spacing w:after="200" w:line="276"/>
      </w:pPr>
      <w:r>
        <w:rPr>
          <w:b/>
          <w:bCs/>
        </w:rPr>
        <w:t xml:space="preserve">Zero Density:</w:t>
      </w:r>
    </w:p>
    <w:p>
      <w:pPr>
        <w:spacing w:before="200" w:after="200"/>
        <w:jc w:val="center"/>
      </w:pPr>
      <w:r>
        <w:rPr>
          <w:i/>
          <w:iCs/>
          <w:sz w:val="24"/>
          <w:szCs w:val="24"/>
        </w:rPr>
        <w:t xml:space="preserve">Q(t) = ln(t) / (2π)    </w:t>
      </w:r>
      <w:r>
        <w:rPr>
          <w:sz w:val="22"/>
          <w:szCs w:val="22"/>
        </w:rPr>
        <w:t xml:space="preserve">(27)</w:t>
      </w:r>
    </w:p>
    <w:p>
      <w:pPr>
        <w:spacing w:after="200" w:line="276"/>
      </w:pPr>
      <w:r>
        <w:rPr>
          <w:b/>
          <w:bCs/>
        </w:rPr>
        <w:t xml:space="preserve">Mean Spacing:</w:t>
      </w:r>
    </w:p>
    <w:p>
      <w:pPr>
        <w:spacing w:before="200" w:after="200"/>
        <w:jc w:val="center"/>
      </w:pPr>
      <w:r>
        <w:rPr>
          <w:i/>
          <w:iCs/>
          <w:sz w:val="24"/>
          <w:szCs w:val="24"/>
        </w:rPr>
        <w:t xml:space="preserve">P(t) = 2π / ln(t)    </w:t>
      </w:r>
      <w:r>
        <w:rPr>
          <w:sz w:val="22"/>
          <w:szCs w:val="22"/>
        </w:rPr>
        <w:t xml:space="preserve">(28)</w:t>
      </w:r>
    </w:p>
    <w:p>
      <w:pPr>
        <w:spacing w:after="200" w:line="276"/>
      </w:pPr>
      <w:r>
        <w:rPr>
          <w:b/>
          <w:bCs/>
        </w:rPr>
        <w:t xml:space="preserve">Information Uncertainty Principle:</w:t>
      </w:r>
    </w:p>
    <w:p>
      <w:pPr>
        <w:spacing w:before="200" w:after="200"/>
        <w:jc w:val="center"/>
      </w:pPr>
      <w:r>
        <w:rPr>
          <w:i/>
          <w:iCs/>
          <w:sz w:val="24"/>
          <w:szCs w:val="24"/>
        </w:rPr>
        <w:t xml:space="preserve">Q(t) × P(t) = 1    (exact)    </w:t>
      </w:r>
      <w:r>
        <w:rPr>
          <w:sz w:val="22"/>
          <w:szCs w:val="22"/>
        </w:rPr>
        <w:t xml:space="preserve">(29)</w:t>
      </w:r>
    </w:p>
    <w:p>
      <w:pPr>
        <w:spacing w:after="200" w:line="276"/>
      </w:pPr>
      <w:r>
        <w:rPr>
          <w:b/>
          <w:bCs/>
        </w:rPr>
        <w:t xml:space="preserve">Height-Area Mapping:</w:t>
      </w:r>
    </w:p>
    <w:p>
      <w:pPr>
        <w:spacing w:before="200" w:after="200"/>
        <w:jc w:val="center"/>
      </w:pPr>
      <w:r>
        <w:rPr>
          <w:i/>
          <w:iCs/>
          <w:sz w:val="24"/>
          <w:szCs w:val="24"/>
        </w:rPr>
        <w:t xml:space="preserve">t = r²,    r = √t    </w:t>
      </w:r>
      <w:r>
        <w:rPr>
          <w:sz w:val="22"/>
          <w:szCs w:val="22"/>
        </w:rPr>
        <w:t xml:space="preserve">(30)</w:t>
      </w:r>
    </w:p>
    <w:p>
      <w:pPr>
        <w:spacing w:after="200" w:line="276"/>
      </w:pPr>
      <w:r>
        <w:rPr>
          <w:b/>
          <w:bCs/>
        </w:rPr>
        <w:t xml:space="preserve">Holographic Zero Count:</w:t>
      </w:r>
    </w:p>
    <w:p>
      <w:pPr>
        <w:spacing w:before="200" w:after="200"/>
        <w:jc w:val="center"/>
      </w:pPr>
      <w:r>
        <w:rPr>
          <w:i/>
          <w:iCs/>
          <w:sz w:val="24"/>
          <w:szCs w:val="24"/>
        </w:rPr>
        <w:t xml:space="preserve">N(r) ~ r² ln(r) / π    (asymptotic)    </w:t>
      </w:r>
      <w:r>
        <w:rPr>
          <w:sz w:val="22"/>
          <w:szCs w:val="22"/>
        </w:rPr>
        <w:t xml:space="preserve">(31)</w:t>
      </w:r>
    </w:p>
    <w:p>
      <w:pPr>
        <w:spacing w:after="200" w:line="276"/>
      </w:pPr>
      <w:r>
        <w:rPr>
          <w:b/>
          <w:bCs/>
        </w:rPr>
        <w:t xml:space="preserve">Information Density:</w:t>
      </w:r>
    </w:p>
    <w:p>
      <w:pPr>
        <w:spacing w:before="200" w:after="200"/>
        <w:jc w:val="center"/>
      </w:pPr>
      <w:r>
        <w:rPr>
          <w:i/>
          <w:iCs/>
          <w:sz w:val="24"/>
          <w:szCs w:val="24"/>
        </w:rPr>
        <w:t xml:space="preserve">σ(r) = N(r)/r² = ln(r)/π    (asymptotic)    </w:t>
      </w:r>
      <w:r>
        <w:rPr>
          <w:sz w:val="22"/>
          <w:szCs w:val="22"/>
        </w:rPr>
        <w:t xml:space="preserve">(32)</w:t>
      </w:r>
    </w:p>
    <w:p>
      <w:pPr>
        <w:spacing w:after="200" w:line="276"/>
      </w:pPr>
      <w:r>
        <w:rPr>
          <w:b/>
          <w:bCs/>
        </w:rPr>
        <w:t xml:space="preserve">Entropy:</w:t>
      </w:r>
    </w:p>
    <w:p>
      <w:pPr>
        <w:spacing w:before="200" w:after="200"/>
        <w:jc w:val="center"/>
      </w:pPr>
      <w:r>
        <w:rPr>
          <w:i/>
          <w:iCs/>
          <w:sz w:val="24"/>
          <w:szCs w:val="24"/>
        </w:rPr>
        <w:t xml:space="preserve">S(t) = ln(N(t)) ~ ln(t) + ln(ln(t))    </w:t>
      </w:r>
      <w:r>
        <w:rPr>
          <w:sz w:val="22"/>
          <w:szCs w:val="22"/>
        </w:rPr>
        <w:t xml:space="preserve">(33)</w:t>
      </w:r>
    </w:p>
    <w:p>
      <w:pPr>
        <w:spacing w:after="200" w:line="276"/>
      </w:pPr>
      <w:r>
        <w:rPr>
          <w:b/>
          <w:bCs/>
        </w:rPr>
        <w:t xml:space="preserve">GUE Spacing Distribution:</w:t>
      </w:r>
    </w:p>
    <w:p>
      <w:pPr>
        <w:spacing w:before="200" w:after="200"/>
        <w:jc w:val="center"/>
      </w:pPr>
      <w:r>
        <w:rPr>
          <w:i/>
          <w:iCs/>
          <w:sz w:val="24"/>
          <w:szCs w:val="24"/>
        </w:rPr>
        <w:t xml:space="preserve">P_GUE(s) = (32/π²) s² exp(−4s²/π)    </w:t>
      </w:r>
      <w:r>
        <w:rPr>
          <w:sz w:val="22"/>
          <w:szCs w:val="22"/>
        </w:rPr>
        <w:t xml:space="preserve">(34)</w:t>
      </w:r>
    </w:p>
    <w:p>
      <w:pPr>
        <w:pStyle w:val="Heading2"/>
      </w:pPr>
      <w:r>
        <w:t xml:space="preserve">6.3 First 20 Riemann Zeros</w:t>
      </w:r>
    </w:p>
    <w:p>
      <w:pPr>
        <w:spacing w:after="200" w:line="276"/>
      </w:pPr>
      <w:r>
        <w:t xml:space="preserve">The imaginary parts of the first 20 non-trivial zeros of ζ(s) on the critical line: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
        <w:gridCol w:w="2340"/>
        <w:gridCol w:w="936"/>
        <w:gridCol w:w="2340"/>
        <w:gridCol w:w="936"/>
        <w:gridCol w:w="2340"/>
      </w:tblGrid>
      <w:tr>
        <w:trPr>
          <w:tblHeader/>
        </w:trPr>
        <w:tc>
          <w:tcPr>
            <w:tcW w:type="dxa" w:w="936"/>
            <w:tcBorders>
              <w:top w:val="single" w:color="CCCCCC" w:sz="1"/>
              <w:left w:val="single" w:color="CCCCCC" w:sz="1"/>
              <w:bottom w:val="single" w:color="CCCCCC" w:sz="1"/>
              <w:right w:val="single" w:color="CCCCCC" w:sz="1"/>
            </w:tcBorders>
            <w:shd w:fill="E8E8E8" w:val="clear"/>
          </w:tcPr>
          <w:p>
            <w:pPr>
              <w:jc w:val="center"/>
            </w:pPr>
            <w:r>
              <w:rPr>
                <w:b/>
                <w:bCs/>
              </w:rPr>
              <w:t xml:space="preserve">n</w:t>
            </w:r>
          </w:p>
        </w:tc>
        <w:tc>
          <w:tcPr>
            <w:tcW w:type="dxa" w:w="2340"/>
            <w:tcBorders>
              <w:top w:val="single" w:color="CCCCCC" w:sz="1"/>
              <w:left w:val="single" w:color="CCCCCC" w:sz="1"/>
              <w:bottom w:val="single" w:color="CCCCCC" w:sz="1"/>
              <w:right w:val="single" w:color="CCCCCC" w:sz="1"/>
            </w:tcBorders>
            <w:shd w:fill="E8E8E8" w:val="clear"/>
          </w:tcPr>
          <w:p>
            <w:pPr>
              <w:jc w:val="center"/>
            </w:pPr>
            <w:r>
              <w:rPr>
                <w:b/>
                <w:bCs/>
              </w:rPr>
              <w:t xml:space="preserve">tₙ</w:t>
            </w:r>
          </w:p>
        </w:tc>
        <w:tc>
          <w:tcPr>
            <w:tcW w:type="dxa" w:w="936"/>
            <w:tcBorders>
              <w:top w:val="single" w:color="CCCCCC" w:sz="1"/>
              <w:left w:val="single" w:color="CCCCCC" w:sz="1"/>
              <w:bottom w:val="single" w:color="CCCCCC" w:sz="1"/>
              <w:right w:val="single" w:color="CCCCCC" w:sz="1"/>
            </w:tcBorders>
            <w:shd w:fill="E8E8E8" w:val="clear"/>
          </w:tcPr>
          <w:p>
            <w:pPr>
              <w:jc w:val="center"/>
            </w:pPr>
            <w:r>
              <w:rPr>
                <w:b/>
                <w:bCs/>
              </w:rPr>
              <w:t xml:space="preserve">n</w:t>
            </w:r>
          </w:p>
        </w:tc>
        <w:tc>
          <w:tcPr>
            <w:tcW w:type="dxa" w:w="2340"/>
            <w:tcBorders>
              <w:top w:val="single" w:color="CCCCCC" w:sz="1"/>
              <w:left w:val="single" w:color="CCCCCC" w:sz="1"/>
              <w:bottom w:val="single" w:color="CCCCCC" w:sz="1"/>
              <w:right w:val="single" w:color="CCCCCC" w:sz="1"/>
            </w:tcBorders>
            <w:shd w:fill="E8E8E8" w:val="clear"/>
          </w:tcPr>
          <w:p>
            <w:pPr>
              <w:jc w:val="center"/>
            </w:pPr>
            <w:r>
              <w:rPr>
                <w:b/>
                <w:bCs/>
              </w:rPr>
              <w:t xml:space="preserve">tₙ</w:t>
            </w:r>
          </w:p>
        </w:tc>
        <w:tc>
          <w:tcPr>
            <w:tcW w:type="dxa" w:w="936"/>
            <w:tcBorders>
              <w:top w:val="single" w:color="CCCCCC" w:sz="1"/>
              <w:left w:val="single" w:color="CCCCCC" w:sz="1"/>
              <w:bottom w:val="single" w:color="CCCCCC" w:sz="1"/>
              <w:right w:val="single" w:color="CCCCCC" w:sz="1"/>
            </w:tcBorders>
            <w:shd w:fill="E8E8E8" w:val="clear"/>
          </w:tcPr>
          <w:p>
            <w:pPr>
              <w:jc w:val="center"/>
            </w:pPr>
            <w:r>
              <w:rPr>
                <w:b/>
                <w:bCs/>
              </w:rPr>
              <w:t xml:space="preserve">n</w:t>
            </w:r>
          </w:p>
        </w:tc>
        <w:tc>
          <w:tcPr>
            <w:tcW w:type="dxa" w:w="2340"/>
            <w:tcBorders>
              <w:top w:val="single" w:color="CCCCCC" w:sz="1"/>
              <w:left w:val="single" w:color="CCCCCC" w:sz="1"/>
              <w:bottom w:val="single" w:color="CCCCCC" w:sz="1"/>
              <w:right w:val="single" w:color="CCCCCC" w:sz="1"/>
            </w:tcBorders>
            <w:shd w:fill="E8E8E8" w:val="clear"/>
          </w:tcPr>
          <w:p>
            <w:pPr>
              <w:jc w:val="center"/>
            </w:pPr>
            <w:r>
              <w:rPr>
                <w:b/>
                <w:bCs/>
              </w:rPr>
              <w:t xml:space="preserve">tₙ</w:t>
            </w:r>
          </w:p>
        </w:tc>
      </w:tr>
      <w:tr>
        <w:tc>
          <w:tcPr>
            <w:tcW w:type="dxa" w:w="936"/>
            <w:tcBorders>
              <w:top w:val="single" w:color="CCCCCC" w:sz="1"/>
              <w:left w:val="single" w:color="CCCCCC" w:sz="1"/>
              <w:bottom w:val="single" w:color="CCCCCC" w:sz="1"/>
              <w:right w:val="single" w:color="CCCCCC" w:sz="1"/>
            </w:tcBorders>
          </w:tcPr>
          <w:p>
            <w:pPr>
              <w:jc w:val="center"/>
            </w:pPr>
            <w:r>
              <w:t xml:space="preserve">1</w:t>
            </w:r>
          </w:p>
        </w:tc>
        <w:tc>
          <w:tcPr>
            <w:tcW w:type="dxa" w:w="2340"/>
            <w:tcBorders>
              <w:top w:val="single" w:color="CCCCCC" w:sz="1"/>
              <w:left w:val="single" w:color="CCCCCC" w:sz="1"/>
              <w:bottom w:val="single" w:color="CCCCCC" w:sz="1"/>
              <w:right w:val="single" w:color="CCCCCC" w:sz="1"/>
            </w:tcBorders>
          </w:tcPr>
          <w:p>
            <w:pPr>
              <w:jc w:val="center"/>
            </w:pPr>
            <w:r>
              <w:t xml:space="preserve">14.134725</w:t>
            </w:r>
          </w:p>
        </w:tc>
        <w:tc>
          <w:tcPr>
            <w:tcW w:type="dxa" w:w="936"/>
            <w:tcBorders>
              <w:top w:val="single" w:color="CCCCCC" w:sz="1"/>
              <w:left w:val="single" w:color="CCCCCC" w:sz="1"/>
              <w:bottom w:val="single" w:color="CCCCCC" w:sz="1"/>
              <w:right w:val="single" w:color="CCCCCC" w:sz="1"/>
            </w:tcBorders>
          </w:tcPr>
          <w:p>
            <w:pPr>
              <w:jc w:val="center"/>
            </w:pPr>
            <w:r>
              <w:t xml:space="preserve">8</w:t>
            </w:r>
          </w:p>
        </w:tc>
        <w:tc>
          <w:tcPr>
            <w:tcW w:type="dxa" w:w="2340"/>
            <w:tcBorders>
              <w:top w:val="single" w:color="CCCCCC" w:sz="1"/>
              <w:left w:val="single" w:color="CCCCCC" w:sz="1"/>
              <w:bottom w:val="single" w:color="CCCCCC" w:sz="1"/>
              <w:right w:val="single" w:color="CCCCCC" w:sz="1"/>
            </w:tcBorders>
          </w:tcPr>
          <w:p>
            <w:pPr>
              <w:jc w:val="center"/>
            </w:pPr>
            <w:r>
              <w:t xml:space="preserve">43.327073</w:t>
            </w:r>
          </w:p>
        </w:tc>
        <w:tc>
          <w:tcPr>
            <w:tcW w:type="dxa" w:w="936"/>
            <w:tcBorders>
              <w:top w:val="single" w:color="CCCCCC" w:sz="1"/>
              <w:left w:val="single" w:color="CCCCCC" w:sz="1"/>
              <w:bottom w:val="single" w:color="CCCCCC" w:sz="1"/>
              <w:right w:val="single" w:color="CCCCCC" w:sz="1"/>
            </w:tcBorders>
          </w:tcPr>
          <w:p>
            <w:pPr>
              <w:jc w:val="center"/>
            </w:pPr>
            <w:r>
              <w:t xml:space="preserve">15</w:t>
            </w:r>
          </w:p>
        </w:tc>
        <w:tc>
          <w:tcPr>
            <w:tcW w:type="dxa" w:w="2340"/>
            <w:tcBorders>
              <w:top w:val="single" w:color="CCCCCC" w:sz="1"/>
              <w:left w:val="single" w:color="CCCCCC" w:sz="1"/>
              <w:bottom w:val="single" w:color="CCCCCC" w:sz="1"/>
              <w:right w:val="single" w:color="CCCCCC" w:sz="1"/>
            </w:tcBorders>
          </w:tcPr>
          <w:p>
            <w:pPr>
              <w:jc w:val="center"/>
            </w:pPr>
            <w:r>
              <w:t xml:space="preserve">65.112544</w:t>
            </w:r>
          </w:p>
        </w:tc>
      </w:tr>
      <w:tr>
        <w:tc>
          <w:tcPr>
            <w:tcW w:type="dxa" w:w="936"/>
            <w:tcBorders>
              <w:top w:val="single" w:color="CCCCCC" w:sz="1"/>
              <w:left w:val="single" w:color="CCCCCC" w:sz="1"/>
              <w:bottom w:val="single" w:color="CCCCCC" w:sz="1"/>
              <w:right w:val="single" w:color="CCCCCC" w:sz="1"/>
            </w:tcBorders>
          </w:tcPr>
          <w:p>
            <w:pPr>
              <w:jc w:val="center"/>
            </w:pPr>
            <w:r>
              <w:t xml:space="preserve">2</w:t>
            </w:r>
          </w:p>
        </w:tc>
        <w:tc>
          <w:tcPr>
            <w:tcW w:type="dxa" w:w="2340"/>
            <w:tcBorders>
              <w:top w:val="single" w:color="CCCCCC" w:sz="1"/>
              <w:left w:val="single" w:color="CCCCCC" w:sz="1"/>
              <w:bottom w:val="single" w:color="CCCCCC" w:sz="1"/>
              <w:right w:val="single" w:color="CCCCCC" w:sz="1"/>
            </w:tcBorders>
          </w:tcPr>
          <w:p>
            <w:pPr>
              <w:jc w:val="center"/>
            </w:pPr>
            <w:r>
              <w:t xml:space="preserve">21.022040</w:t>
            </w:r>
          </w:p>
        </w:tc>
        <w:tc>
          <w:tcPr>
            <w:tcW w:type="dxa" w:w="936"/>
            <w:tcBorders>
              <w:top w:val="single" w:color="CCCCCC" w:sz="1"/>
              <w:left w:val="single" w:color="CCCCCC" w:sz="1"/>
              <w:bottom w:val="single" w:color="CCCCCC" w:sz="1"/>
              <w:right w:val="single" w:color="CCCCCC" w:sz="1"/>
            </w:tcBorders>
          </w:tcPr>
          <w:p>
            <w:pPr>
              <w:jc w:val="center"/>
            </w:pPr>
            <w:r>
              <w:t xml:space="preserve">9</w:t>
            </w:r>
          </w:p>
        </w:tc>
        <w:tc>
          <w:tcPr>
            <w:tcW w:type="dxa" w:w="2340"/>
            <w:tcBorders>
              <w:top w:val="single" w:color="CCCCCC" w:sz="1"/>
              <w:left w:val="single" w:color="CCCCCC" w:sz="1"/>
              <w:bottom w:val="single" w:color="CCCCCC" w:sz="1"/>
              <w:right w:val="single" w:color="CCCCCC" w:sz="1"/>
            </w:tcBorders>
          </w:tcPr>
          <w:p>
            <w:pPr>
              <w:jc w:val="center"/>
            </w:pPr>
            <w:r>
              <w:t xml:space="preserve">48.005151</w:t>
            </w:r>
          </w:p>
        </w:tc>
        <w:tc>
          <w:tcPr>
            <w:tcW w:type="dxa" w:w="936"/>
            <w:tcBorders>
              <w:top w:val="single" w:color="CCCCCC" w:sz="1"/>
              <w:left w:val="single" w:color="CCCCCC" w:sz="1"/>
              <w:bottom w:val="single" w:color="CCCCCC" w:sz="1"/>
              <w:right w:val="single" w:color="CCCCCC" w:sz="1"/>
            </w:tcBorders>
          </w:tcPr>
          <w:p>
            <w:pPr>
              <w:jc w:val="center"/>
            </w:pPr>
            <w:r>
              <w:t xml:space="preserve">16</w:t>
            </w:r>
          </w:p>
        </w:tc>
        <w:tc>
          <w:tcPr>
            <w:tcW w:type="dxa" w:w="2340"/>
            <w:tcBorders>
              <w:top w:val="single" w:color="CCCCCC" w:sz="1"/>
              <w:left w:val="single" w:color="CCCCCC" w:sz="1"/>
              <w:bottom w:val="single" w:color="CCCCCC" w:sz="1"/>
              <w:right w:val="single" w:color="CCCCCC" w:sz="1"/>
            </w:tcBorders>
          </w:tcPr>
          <w:p>
            <w:pPr>
              <w:jc w:val="center"/>
            </w:pPr>
            <w:r>
              <w:t xml:space="preserve">67.079811</w:t>
            </w:r>
          </w:p>
        </w:tc>
      </w:tr>
      <w:tr>
        <w:tc>
          <w:tcPr>
            <w:tcW w:type="dxa" w:w="936"/>
            <w:tcBorders>
              <w:top w:val="single" w:color="CCCCCC" w:sz="1"/>
              <w:left w:val="single" w:color="CCCCCC" w:sz="1"/>
              <w:bottom w:val="single" w:color="CCCCCC" w:sz="1"/>
              <w:right w:val="single" w:color="CCCCCC" w:sz="1"/>
            </w:tcBorders>
          </w:tcPr>
          <w:p>
            <w:pPr>
              <w:jc w:val="center"/>
            </w:pPr>
            <w:r>
              <w:t xml:space="preserve">3</w:t>
            </w:r>
          </w:p>
        </w:tc>
        <w:tc>
          <w:tcPr>
            <w:tcW w:type="dxa" w:w="2340"/>
            <w:tcBorders>
              <w:top w:val="single" w:color="CCCCCC" w:sz="1"/>
              <w:left w:val="single" w:color="CCCCCC" w:sz="1"/>
              <w:bottom w:val="single" w:color="CCCCCC" w:sz="1"/>
              <w:right w:val="single" w:color="CCCCCC" w:sz="1"/>
            </w:tcBorders>
          </w:tcPr>
          <w:p>
            <w:pPr>
              <w:jc w:val="center"/>
            </w:pPr>
            <w:r>
              <w:t xml:space="preserve">25.010858</w:t>
            </w:r>
          </w:p>
        </w:tc>
        <w:tc>
          <w:tcPr>
            <w:tcW w:type="dxa" w:w="936"/>
            <w:tcBorders>
              <w:top w:val="single" w:color="CCCCCC" w:sz="1"/>
              <w:left w:val="single" w:color="CCCCCC" w:sz="1"/>
              <w:bottom w:val="single" w:color="CCCCCC" w:sz="1"/>
              <w:right w:val="single" w:color="CCCCCC" w:sz="1"/>
            </w:tcBorders>
          </w:tcPr>
          <w:p>
            <w:pPr>
              <w:jc w:val="center"/>
            </w:pPr>
            <w:r>
              <w:t xml:space="preserve">10</w:t>
            </w:r>
          </w:p>
        </w:tc>
        <w:tc>
          <w:tcPr>
            <w:tcW w:type="dxa" w:w="2340"/>
            <w:tcBorders>
              <w:top w:val="single" w:color="CCCCCC" w:sz="1"/>
              <w:left w:val="single" w:color="CCCCCC" w:sz="1"/>
              <w:bottom w:val="single" w:color="CCCCCC" w:sz="1"/>
              <w:right w:val="single" w:color="CCCCCC" w:sz="1"/>
            </w:tcBorders>
          </w:tcPr>
          <w:p>
            <w:pPr>
              <w:jc w:val="center"/>
            </w:pPr>
            <w:r>
              <w:t xml:space="preserve">49.773832</w:t>
            </w:r>
          </w:p>
        </w:tc>
        <w:tc>
          <w:tcPr>
            <w:tcW w:type="dxa" w:w="936"/>
            <w:tcBorders>
              <w:top w:val="single" w:color="CCCCCC" w:sz="1"/>
              <w:left w:val="single" w:color="CCCCCC" w:sz="1"/>
              <w:bottom w:val="single" w:color="CCCCCC" w:sz="1"/>
              <w:right w:val="single" w:color="CCCCCC" w:sz="1"/>
            </w:tcBorders>
          </w:tcPr>
          <w:p>
            <w:pPr>
              <w:jc w:val="center"/>
            </w:pPr>
            <w:r>
              <w:t xml:space="preserve">17</w:t>
            </w:r>
          </w:p>
        </w:tc>
        <w:tc>
          <w:tcPr>
            <w:tcW w:type="dxa" w:w="2340"/>
            <w:tcBorders>
              <w:top w:val="single" w:color="CCCCCC" w:sz="1"/>
              <w:left w:val="single" w:color="CCCCCC" w:sz="1"/>
              <w:bottom w:val="single" w:color="CCCCCC" w:sz="1"/>
              <w:right w:val="single" w:color="CCCCCC" w:sz="1"/>
            </w:tcBorders>
          </w:tcPr>
          <w:p>
            <w:pPr>
              <w:jc w:val="center"/>
            </w:pPr>
            <w:r>
              <w:t xml:space="preserve">69.546402</w:t>
            </w:r>
          </w:p>
        </w:tc>
      </w:tr>
      <w:tr>
        <w:tc>
          <w:tcPr>
            <w:tcW w:type="dxa" w:w="936"/>
            <w:tcBorders>
              <w:top w:val="single" w:color="CCCCCC" w:sz="1"/>
              <w:left w:val="single" w:color="CCCCCC" w:sz="1"/>
              <w:bottom w:val="single" w:color="CCCCCC" w:sz="1"/>
              <w:right w:val="single" w:color="CCCCCC" w:sz="1"/>
            </w:tcBorders>
          </w:tcPr>
          <w:p>
            <w:pPr>
              <w:jc w:val="center"/>
            </w:pPr>
            <w:r>
              <w:t xml:space="preserve">4</w:t>
            </w:r>
          </w:p>
        </w:tc>
        <w:tc>
          <w:tcPr>
            <w:tcW w:type="dxa" w:w="2340"/>
            <w:tcBorders>
              <w:top w:val="single" w:color="CCCCCC" w:sz="1"/>
              <w:left w:val="single" w:color="CCCCCC" w:sz="1"/>
              <w:bottom w:val="single" w:color="CCCCCC" w:sz="1"/>
              <w:right w:val="single" w:color="CCCCCC" w:sz="1"/>
            </w:tcBorders>
          </w:tcPr>
          <w:p>
            <w:pPr>
              <w:jc w:val="center"/>
            </w:pPr>
            <w:r>
              <w:t xml:space="preserve">30.424876</w:t>
            </w:r>
          </w:p>
        </w:tc>
        <w:tc>
          <w:tcPr>
            <w:tcW w:type="dxa" w:w="936"/>
            <w:tcBorders>
              <w:top w:val="single" w:color="CCCCCC" w:sz="1"/>
              <w:left w:val="single" w:color="CCCCCC" w:sz="1"/>
              <w:bottom w:val="single" w:color="CCCCCC" w:sz="1"/>
              <w:right w:val="single" w:color="CCCCCC" w:sz="1"/>
            </w:tcBorders>
          </w:tcPr>
          <w:p>
            <w:pPr>
              <w:jc w:val="center"/>
            </w:pPr>
            <w:r>
              <w:t xml:space="preserve">11</w:t>
            </w:r>
          </w:p>
        </w:tc>
        <w:tc>
          <w:tcPr>
            <w:tcW w:type="dxa" w:w="2340"/>
            <w:tcBorders>
              <w:top w:val="single" w:color="CCCCCC" w:sz="1"/>
              <w:left w:val="single" w:color="CCCCCC" w:sz="1"/>
              <w:bottom w:val="single" w:color="CCCCCC" w:sz="1"/>
              <w:right w:val="single" w:color="CCCCCC" w:sz="1"/>
            </w:tcBorders>
          </w:tcPr>
          <w:p>
            <w:pPr>
              <w:jc w:val="center"/>
            </w:pPr>
            <w:r>
              <w:t xml:space="preserve">52.970321</w:t>
            </w:r>
          </w:p>
        </w:tc>
        <w:tc>
          <w:tcPr>
            <w:tcW w:type="dxa" w:w="936"/>
            <w:tcBorders>
              <w:top w:val="single" w:color="CCCCCC" w:sz="1"/>
              <w:left w:val="single" w:color="CCCCCC" w:sz="1"/>
              <w:bottom w:val="single" w:color="CCCCCC" w:sz="1"/>
              <w:right w:val="single" w:color="CCCCCC" w:sz="1"/>
            </w:tcBorders>
          </w:tcPr>
          <w:p>
            <w:pPr>
              <w:jc w:val="center"/>
            </w:pPr>
            <w:r>
              <w:t xml:space="preserve">18</w:t>
            </w:r>
          </w:p>
        </w:tc>
        <w:tc>
          <w:tcPr>
            <w:tcW w:type="dxa" w:w="2340"/>
            <w:tcBorders>
              <w:top w:val="single" w:color="CCCCCC" w:sz="1"/>
              <w:left w:val="single" w:color="CCCCCC" w:sz="1"/>
              <w:bottom w:val="single" w:color="CCCCCC" w:sz="1"/>
              <w:right w:val="single" w:color="CCCCCC" w:sz="1"/>
            </w:tcBorders>
          </w:tcPr>
          <w:p>
            <w:pPr>
              <w:jc w:val="center"/>
            </w:pPr>
            <w:r>
              <w:t xml:space="preserve">72.067158</w:t>
            </w:r>
          </w:p>
        </w:tc>
      </w:tr>
      <w:tr>
        <w:tc>
          <w:tcPr>
            <w:tcW w:type="dxa" w:w="936"/>
            <w:tcBorders>
              <w:top w:val="single" w:color="CCCCCC" w:sz="1"/>
              <w:left w:val="single" w:color="CCCCCC" w:sz="1"/>
              <w:bottom w:val="single" w:color="CCCCCC" w:sz="1"/>
              <w:right w:val="single" w:color="CCCCCC" w:sz="1"/>
            </w:tcBorders>
          </w:tcPr>
          <w:p>
            <w:pPr>
              <w:jc w:val="center"/>
            </w:pPr>
            <w:r>
              <w:t xml:space="preserve">5</w:t>
            </w:r>
          </w:p>
        </w:tc>
        <w:tc>
          <w:tcPr>
            <w:tcW w:type="dxa" w:w="2340"/>
            <w:tcBorders>
              <w:top w:val="single" w:color="CCCCCC" w:sz="1"/>
              <w:left w:val="single" w:color="CCCCCC" w:sz="1"/>
              <w:bottom w:val="single" w:color="CCCCCC" w:sz="1"/>
              <w:right w:val="single" w:color="CCCCCC" w:sz="1"/>
            </w:tcBorders>
          </w:tcPr>
          <w:p>
            <w:pPr>
              <w:jc w:val="center"/>
            </w:pPr>
            <w:r>
              <w:t xml:space="preserve">32.935062</w:t>
            </w:r>
          </w:p>
        </w:tc>
        <w:tc>
          <w:tcPr>
            <w:tcW w:type="dxa" w:w="936"/>
            <w:tcBorders>
              <w:top w:val="single" w:color="CCCCCC" w:sz="1"/>
              <w:left w:val="single" w:color="CCCCCC" w:sz="1"/>
              <w:bottom w:val="single" w:color="CCCCCC" w:sz="1"/>
              <w:right w:val="single" w:color="CCCCCC" w:sz="1"/>
            </w:tcBorders>
          </w:tcPr>
          <w:p>
            <w:pPr>
              <w:jc w:val="center"/>
            </w:pPr>
            <w:r>
              <w:t xml:space="preserve">12</w:t>
            </w:r>
          </w:p>
        </w:tc>
        <w:tc>
          <w:tcPr>
            <w:tcW w:type="dxa" w:w="2340"/>
            <w:tcBorders>
              <w:top w:val="single" w:color="CCCCCC" w:sz="1"/>
              <w:left w:val="single" w:color="CCCCCC" w:sz="1"/>
              <w:bottom w:val="single" w:color="CCCCCC" w:sz="1"/>
              <w:right w:val="single" w:color="CCCCCC" w:sz="1"/>
            </w:tcBorders>
          </w:tcPr>
          <w:p>
            <w:pPr>
              <w:jc w:val="center"/>
            </w:pPr>
            <w:r>
              <w:t xml:space="preserve">56.446248</w:t>
            </w:r>
          </w:p>
        </w:tc>
        <w:tc>
          <w:tcPr>
            <w:tcW w:type="dxa" w:w="936"/>
            <w:tcBorders>
              <w:top w:val="single" w:color="CCCCCC" w:sz="1"/>
              <w:left w:val="single" w:color="CCCCCC" w:sz="1"/>
              <w:bottom w:val="single" w:color="CCCCCC" w:sz="1"/>
              <w:right w:val="single" w:color="CCCCCC" w:sz="1"/>
            </w:tcBorders>
          </w:tcPr>
          <w:p>
            <w:pPr>
              <w:jc w:val="center"/>
            </w:pPr>
            <w:r>
              <w:t xml:space="preserve">19</w:t>
            </w:r>
          </w:p>
        </w:tc>
        <w:tc>
          <w:tcPr>
            <w:tcW w:type="dxa" w:w="2340"/>
            <w:tcBorders>
              <w:top w:val="single" w:color="CCCCCC" w:sz="1"/>
              <w:left w:val="single" w:color="CCCCCC" w:sz="1"/>
              <w:bottom w:val="single" w:color="CCCCCC" w:sz="1"/>
              <w:right w:val="single" w:color="CCCCCC" w:sz="1"/>
            </w:tcBorders>
          </w:tcPr>
          <w:p>
            <w:pPr>
              <w:jc w:val="center"/>
            </w:pPr>
            <w:r>
              <w:t xml:space="preserve">75.704691</w:t>
            </w:r>
          </w:p>
        </w:tc>
      </w:tr>
      <w:tr>
        <w:tc>
          <w:tcPr>
            <w:tcW w:type="dxa" w:w="936"/>
            <w:tcBorders>
              <w:top w:val="single" w:color="CCCCCC" w:sz="1"/>
              <w:left w:val="single" w:color="CCCCCC" w:sz="1"/>
              <w:bottom w:val="single" w:color="CCCCCC" w:sz="1"/>
              <w:right w:val="single" w:color="CCCCCC" w:sz="1"/>
            </w:tcBorders>
          </w:tcPr>
          <w:p>
            <w:pPr>
              <w:jc w:val="center"/>
            </w:pPr>
            <w:r>
              <w:t xml:space="preserve">6</w:t>
            </w:r>
          </w:p>
        </w:tc>
        <w:tc>
          <w:tcPr>
            <w:tcW w:type="dxa" w:w="2340"/>
            <w:tcBorders>
              <w:top w:val="single" w:color="CCCCCC" w:sz="1"/>
              <w:left w:val="single" w:color="CCCCCC" w:sz="1"/>
              <w:bottom w:val="single" w:color="CCCCCC" w:sz="1"/>
              <w:right w:val="single" w:color="CCCCCC" w:sz="1"/>
            </w:tcBorders>
          </w:tcPr>
          <w:p>
            <w:pPr>
              <w:jc w:val="center"/>
            </w:pPr>
            <w:r>
              <w:t xml:space="preserve">37.586178</w:t>
            </w:r>
          </w:p>
        </w:tc>
        <w:tc>
          <w:tcPr>
            <w:tcW w:type="dxa" w:w="936"/>
            <w:tcBorders>
              <w:top w:val="single" w:color="CCCCCC" w:sz="1"/>
              <w:left w:val="single" w:color="CCCCCC" w:sz="1"/>
              <w:bottom w:val="single" w:color="CCCCCC" w:sz="1"/>
              <w:right w:val="single" w:color="CCCCCC" w:sz="1"/>
            </w:tcBorders>
          </w:tcPr>
          <w:p>
            <w:pPr>
              <w:jc w:val="center"/>
            </w:pPr>
            <w:r>
              <w:t xml:space="preserve">13</w:t>
            </w:r>
          </w:p>
        </w:tc>
        <w:tc>
          <w:tcPr>
            <w:tcW w:type="dxa" w:w="2340"/>
            <w:tcBorders>
              <w:top w:val="single" w:color="CCCCCC" w:sz="1"/>
              <w:left w:val="single" w:color="CCCCCC" w:sz="1"/>
              <w:bottom w:val="single" w:color="CCCCCC" w:sz="1"/>
              <w:right w:val="single" w:color="CCCCCC" w:sz="1"/>
            </w:tcBorders>
          </w:tcPr>
          <w:p>
            <w:pPr>
              <w:jc w:val="center"/>
            </w:pPr>
            <w:r>
              <w:t xml:space="preserve">59.347044</w:t>
            </w:r>
          </w:p>
        </w:tc>
        <w:tc>
          <w:tcPr>
            <w:tcW w:type="dxa" w:w="936"/>
            <w:tcBorders>
              <w:top w:val="single" w:color="CCCCCC" w:sz="1"/>
              <w:left w:val="single" w:color="CCCCCC" w:sz="1"/>
              <w:bottom w:val="single" w:color="CCCCCC" w:sz="1"/>
              <w:right w:val="single" w:color="CCCCCC" w:sz="1"/>
            </w:tcBorders>
          </w:tcPr>
          <w:p>
            <w:pPr>
              <w:jc w:val="center"/>
            </w:pPr>
            <w:r>
              <w:t xml:space="preserve">20</w:t>
            </w:r>
          </w:p>
        </w:tc>
        <w:tc>
          <w:tcPr>
            <w:tcW w:type="dxa" w:w="2340"/>
            <w:tcBorders>
              <w:top w:val="single" w:color="CCCCCC" w:sz="1"/>
              <w:left w:val="single" w:color="CCCCCC" w:sz="1"/>
              <w:bottom w:val="single" w:color="CCCCCC" w:sz="1"/>
              <w:right w:val="single" w:color="CCCCCC" w:sz="1"/>
            </w:tcBorders>
          </w:tcPr>
          <w:p>
            <w:pPr>
              <w:jc w:val="center"/>
            </w:pPr>
            <w:r>
              <w:t xml:space="preserve">77.144840</w:t>
            </w:r>
          </w:p>
        </w:tc>
      </w:tr>
      <w:tr>
        <w:tc>
          <w:tcPr>
            <w:tcW w:type="dxa" w:w="936"/>
            <w:tcBorders>
              <w:top w:val="single" w:color="CCCCCC" w:sz="1"/>
              <w:left w:val="single" w:color="CCCCCC" w:sz="1"/>
              <w:bottom w:val="single" w:color="CCCCCC" w:sz="1"/>
              <w:right w:val="single" w:color="CCCCCC" w:sz="1"/>
            </w:tcBorders>
          </w:tcPr>
          <w:p>
            <w:pPr>
              <w:jc w:val="center"/>
            </w:pPr>
            <w:r>
              <w:t xml:space="preserve">7</w:t>
            </w:r>
          </w:p>
        </w:tc>
        <w:tc>
          <w:tcPr>
            <w:tcW w:type="dxa" w:w="2340"/>
            <w:tcBorders>
              <w:top w:val="single" w:color="CCCCCC" w:sz="1"/>
              <w:left w:val="single" w:color="CCCCCC" w:sz="1"/>
              <w:bottom w:val="single" w:color="CCCCCC" w:sz="1"/>
              <w:right w:val="single" w:color="CCCCCC" w:sz="1"/>
            </w:tcBorders>
          </w:tcPr>
          <w:p>
            <w:pPr>
              <w:jc w:val="center"/>
            </w:pPr>
            <w:r>
              <w:t xml:space="preserve">40.918720</w:t>
            </w:r>
          </w:p>
        </w:tc>
        <w:tc>
          <w:tcPr>
            <w:tcW w:type="dxa" w:w="936"/>
            <w:tcBorders>
              <w:top w:val="single" w:color="CCCCCC" w:sz="1"/>
              <w:left w:val="single" w:color="CCCCCC" w:sz="1"/>
              <w:bottom w:val="single" w:color="CCCCCC" w:sz="1"/>
              <w:right w:val="single" w:color="CCCCCC" w:sz="1"/>
            </w:tcBorders>
          </w:tcPr>
          <w:p>
            <w:pPr>
              <w:jc w:val="center"/>
            </w:pPr>
            <w:r>
              <w:t xml:space="preserve">14</w:t>
            </w:r>
          </w:p>
        </w:tc>
        <w:tc>
          <w:tcPr>
            <w:tcW w:type="dxa" w:w="2340"/>
            <w:tcBorders>
              <w:top w:val="single" w:color="CCCCCC" w:sz="1"/>
              <w:left w:val="single" w:color="CCCCCC" w:sz="1"/>
              <w:bottom w:val="single" w:color="CCCCCC" w:sz="1"/>
              <w:right w:val="single" w:color="CCCCCC" w:sz="1"/>
            </w:tcBorders>
          </w:tcPr>
          <w:p>
            <w:pPr>
              <w:jc w:val="center"/>
            </w:pPr>
            <w:r>
              <w:t xml:space="preserve">60.831779</w:t>
            </w:r>
          </w:p>
        </w:tc>
        <w:tc>
          <w:tcPr>
            <w:tcW w:type="dxa" w:w="936"/>
            <w:tcBorders>
              <w:top w:val="single" w:color="CCCCCC" w:sz="1"/>
              <w:left w:val="single" w:color="CCCCCC" w:sz="1"/>
              <w:bottom w:val="single" w:color="CCCCCC" w:sz="1"/>
              <w:right w:val="single" w:color="CCCCCC" w:sz="1"/>
            </w:tcBorders>
          </w:tcPr>
          <w:p>
            <w:pPr>
              <w:jc w:val="center"/>
            </w:pPr>
            <w:r>
              <w:t xml:space="preserve"/>
            </w:r>
          </w:p>
        </w:tc>
        <w:tc>
          <w:tcPr>
            <w:tcW w:type="dxa" w:w="2340"/>
            <w:tcBorders>
              <w:top w:val="single" w:color="CCCCCC" w:sz="1"/>
              <w:left w:val="single" w:color="CCCCCC" w:sz="1"/>
              <w:bottom w:val="single" w:color="CCCCCC" w:sz="1"/>
              <w:right w:val="single" w:color="CCCCCC" w:sz="1"/>
            </w:tcBorders>
          </w:tcPr>
          <w:p>
            <w:pPr>
              <w:jc w:val="center"/>
            </w:pPr>
            <w:r>
              <w:t xml:space="preserve"/>
            </w:r>
          </w:p>
        </w:tc>
      </w:tr>
    </w:tbl>
    <w:p>
      <w:pPr>
        <w:spacing w:before="120" w:after="240"/>
        <w:jc w:val="center"/>
      </w:pPr>
      <w:r>
        <w:rPr>
          <w:i/>
          <w:iCs/>
          <w:sz w:val="22"/>
          <w:szCs w:val="22"/>
        </w:rPr>
        <w:t xml:space="preserve">Table 6: First 20 Riemann zeros (imaginary parts)</w:t>
      </w:r>
    </w:p>
    <w:p>
      <w:pPr>
        <w:pStyle w:val="Heading2"/>
      </w:pPr>
      <w:r>
        <w:t xml:space="preserve">6.4 Pseudocode for Verification</w:t>
      </w:r>
    </w:p>
    <w:p>
      <w:pPr>
        <w:spacing w:after="200" w:line="276"/>
      </w:pPr>
      <w:r>
        <w:rPr>
          <w:b/>
          <w:bCs/>
        </w:rPr>
        <w:t xml:space="preserve">Algorithm 1: Verify Information Uncertainty Principle</w:t>
      </w:r>
    </w:p>
    <w:p>
      <w:pPr>
        <w:spacing w:after="200" w:line="276"/>
      </w:pPr>
      <w:r>
        <w:t xml:space="preserve">Input: Height t &gt; 2π</w:t>
      </w:r>
      <w:r>
        <w:t xml:space="preserve">Output: Q × P</w:t>
      </w:r>
    </w:p>
    <w:p>
      <w:pPr>
        <w:spacing w:before="200" w:after="200"/>
        <w:jc w:val="center"/>
      </w:pPr>
      <w:r>
        <w:rPr>
          <w:i/>
          <w:iCs/>
          <w:sz w:val="24"/>
          <w:szCs w:val="24"/>
        </w:rPr>
        <w:t xml:space="preserve">Q ← ln(t) / (2π)</w:t>
      </w:r>
    </w:p>
    <w:p>
      <w:pPr>
        <w:spacing w:before="200" w:after="200"/>
        <w:jc w:val="center"/>
      </w:pPr>
      <w:r>
        <w:rPr>
          <w:i/>
          <w:iCs/>
          <w:sz w:val="24"/>
          <w:szCs w:val="24"/>
        </w:rPr>
        <w:t xml:space="preserve">P ← 2π / ln(t)</w:t>
      </w:r>
    </w:p>
    <w:p>
      <w:pPr>
        <w:spacing w:before="200" w:after="200"/>
        <w:jc w:val="center"/>
      </w:pPr>
      <w:r>
        <w:rPr>
          <w:i/>
          <w:iCs/>
          <w:sz w:val="24"/>
          <w:szCs w:val="24"/>
        </w:rPr>
        <w:t xml:space="preserve">return Q × P    // Should equal 1.0 exactly</w:t>
      </w:r>
    </w:p>
    <w:p>
      <w:pPr>
        <w:spacing w:after="200" w:line="276"/>
      </w:pPr>
      <w:r>
        <w:rPr>
          <w:b/>
          <w:bCs/>
        </w:rPr>
        <w:t xml:space="preserve">Algorithm 2: Compute Zero Count</w:t>
      </w:r>
    </w:p>
    <w:p>
      <w:pPr>
        <w:spacing w:after="200" w:line="276"/>
      </w:pPr>
      <w:r>
        <w:t xml:space="preserve">Input: Height T &gt; 2π</w:t>
      </w:r>
      <w:r>
        <w:t xml:space="preserve">Output: N(T)</w:t>
      </w:r>
    </w:p>
    <w:p>
      <w:pPr>
        <w:spacing w:before="200" w:after="200"/>
        <w:jc w:val="center"/>
      </w:pPr>
      <w:r>
        <w:rPr>
          <w:i/>
          <w:iCs/>
          <w:sz w:val="24"/>
          <w:szCs w:val="24"/>
        </w:rPr>
        <w:t xml:space="preserve">N ← (T/2π) × ln(T/2π) − T/2π + 7/8</w:t>
      </w:r>
    </w:p>
    <w:p>
      <w:pPr>
        <w:spacing w:before="200" w:after="200"/>
        <w:jc w:val="center"/>
      </w:pPr>
      <w:r>
        <w:rPr>
          <w:i/>
          <w:iCs/>
          <w:sz w:val="24"/>
          <w:szCs w:val="24"/>
        </w:rPr>
        <w:t xml:space="preserve">return N</w:t>
      </w:r>
    </w:p>
    <w:p>
      <w:pPr>
        <w:spacing w:after="200" w:line="276"/>
      </w:pPr>
      <w:r>
        <w:rPr>
          <w:b/>
          <w:bCs/>
        </w:rPr>
        <w:t xml:space="preserve">Algorithm 3: Compute Information Density</w:t>
      </w:r>
    </w:p>
    <w:p>
      <w:pPr>
        <w:spacing w:after="200" w:line="276"/>
      </w:pPr>
      <w:r>
        <w:t xml:space="preserve">Input: Radius r &gt; 1</w:t>
      </w:r>
      <w:r>
        <w:t xml:space="preserve">Output: σ(r)</w:t>
      </w:r>
    </w:p>
    <w:p>
      <w:pPr>
        <w:spacing w:before="200" w:after="200"/>
        <w:jc w:val="center"/>
      </w:pPr>
      <w:r>
        <w:rPr>
          <w:i/>
          <w:iCs/>
          <w:sz w:val="24"/>
          <w:szCs w:val="24"/>
        </w:rPr>
        <w:t xml:space="preserve">t ← r²</w:t>
      </w:r>
    </w:p>
    <w:p>
      <w:pPr>
        <w:spacing w:before="200" w:after="200"/>
        <w:jc w:val="center"/>
      </w:pPr>
      <w:r>
        <w:rPr>
          <w:i/>
          <w:iCs/>
          <w:sz w:val="24"/>
          <w:szCs w:val="24"/>
        </w:rPr>
        <w:t xml:space="preserve">N ← ZeroCount(t)</w:t>
      </w:r>
    </w:p>
    <w:p>
      <w:pPr>
        <w:spacing w:before="200" w:after="200"/>
        <w:jc w:val="center"/>
      </w:pPr>
      <w:r>
        <w:rPr>
          <w:i/>
          <w:iCs/>
          <w:sz w:val="24"/>
          <w:szCs w:val="24"/>
        </w:rPr>
        <w:t xml:space="preserve">σ ← N / r²</w:t>
      </w:r>
    </w:p>
    <w:p>
      <w:pPr>
        <w:spacing w:before="200" w:after="200"/>
        <w:jc w:val="center"/>
      </w:pPr>
      <w:r>
        <w:rPr>
          <w:i/>
          <w:iCs/>
          <w:sz w:val="24"/>
          <w:szCs w:val="24"/>
        </w:rPr>
        <w:t xml:space="preserve">return σ    // Should approach ln(r)/π for large r</w:t>
      </w:r>
    </w:p>
    <w:p>
      <w:pPr>
        <w:spacing w:after="200" w:line="276"/>
      </w:pPr>
      <w:r>
        <w:rPr>
          <w:b/>
          <w:bCs/>
        </w:rPr>
        <w:t xml:space="preserve">Algorithm 4: Compute GUE Probability</w:t>
      </w:r>
    </w:p>
    <w:p>
      <w:pPr>
        <w:spacing w:after="200" w:line="276"/>
      </w:pPr>
      <w:r>
        <w:t xml:space="preserve">Input: Normalized spacing s ≥ 0</w:t>
      </w:r>
      <w:r>
        <w:t xml:space="preserve">Output: P_GUE(s)</w:t>
      </w:r>
    </w:p>
    <w:p>
      <w:pPr>
        <w:spacing w:before="200" w:after="200"/>
        <w:jc w:val="center"/>
      </w:pPr>
      <w:r>
        <w:rPr>
          <w:i/>
          <w:iCs/>
          <w:sz w:val="24"/>
          <w:szCs w:val="24"/>
        </w:rPr>
        <w:t xml:space="preserve">P ← (32/π²) × s² × exp(−4s²/π)</w:t>
      </w:r>
    </w:p>
    <w:p>
      <w:pPr>
        <w:spacing w:before="200" w:after="200"/>
        <w:jc w:val="center"/>
      </w:pPr>
      <w:r>
        <w:rPr>
          <w:i/>
          <w:iCs/>
          <w:sz w:val="24"/>
          <w:szCs w:val="24"/>
        </w:rPr>
        <w:t xml:space="preserve">return P</w:t>
      </w:r>
    </w:p>
    <w:p>
      <w:r>
        <w:br w:type="page"/>
      </w:r>
    </w:p>
    <w:p>
      <w:pPr>
        <w:spacing w:before="480" w:after="240"/>
        <w:jc w:val="center"/>
      </w:pPr>
      <w:r>
        <w:rPr>
          <w:b/>
          <w:bCs/>
          <w:sz w:val="32"/>
          <w:szCs w:val="32"/>
        </w:rPr>
        <w:t xml:space="preserve">PART VII: IMPLICATIONS AND FUTURE DIRECTIONS</w:t>
      </w:r>
    </w:p>
    <w:p>
      <w:pPr>
        <w:pStyle w:val="Heading1"/>
      </w:pPr>
      <w:r>
        <w:t xml:space="preserve">7. Discussion</w:t>
      </w:r>
    </w:p>
    <w:p>
      <w:pPr>
        <w:pStyle w:val="Heading2"/>
      </w:pPr>
      <w:r>
        <w:t xml:space="preserve">7.1 Summary of Results</w:t>
      </w:r>
    </w:p>
    <w:p>
      <w:pPr>
        <w:spacing w:after="200" w:line="276"/>
      </w:pPr>
      <w:r>
        <w:t xml:space="preserve">This paper has established three major connections between the Natural OS framework and physical information theory:</w:t>
      </w:r>
    </w:p>
    <w:p>
      <w:pPr>
        <w:spacing w:after="200" w:line="276"/>
      </w:pPr>
      <w:r>
        <w:rPr>
          <w:b/>
          <w:bCs/>
        </w:rPr>
        <w:t xml:space="preserve">1. Holographic Entropy Match.</w:t>
      </w:r>
      <w:r>
        <w:t xml:space="preserve"> The cumulative zero count N(r) ~ r² ln(r) exactly matches the form of quantum-corrected black hole entropy S ~ r² + α ln(r²). This suggests the holographic principle—that information is bounded by area—has number-theoretic foundations.</w:t>
      </w:r>
    </w:p>
    <w:p>
      <w:pPr>
        <w:spacing w:after="200" w:line="276"/>
      </w:pPr>
      <w:r>
        <w:rPr>
          <w:b/>
          <w:bCs/>
        </w:rPr>
        <w:t xml:space="preserve">2. GUE Level Repulsion.</w:t>
      </w:r>
      <w:r>
        <w:t xml:space="preserve"> Riemann zeros obey GUE statistics with P_GUE(0) = 0, exhibiting level repulsion identical to fermions. This creates a minimum effective spacing, analogous to the Planck length, and suggests quantum statistics emerge from prime distribution.</w:t>
      </w:r>
    </w:p>
    <w:p>
      <w:pPr>
        <w:spacing w:after="200" w:line="276"/>
      </w:pPr>
      <w:r>
        <w:rPr>
          <w:b/>
          <w:bCs/>
        </w:rPr>
        <w:t xml:space="preserve">3. Arrow of Time.</w:t>
      </w:r>
      <w:r>
        <w:t xml:space="preserve"> While information content Q × P = 1 is conserved, entropy S = ln(N(t)) grows with height. This reproduces the structure of the Second Law of Thermodynamics from pure arithmetic.</w:t>
      </w:r>
    </w:p>
    <w:p>
      <w:pPr>
        <w:pStyle w:val="Heading2"/>
      </w:pPr>
      <w:r>
        <w:t xml:space="preserve">7.2 The Logarithm as Translation Signature</w:t>
      </w:r>
    </w:p>
    <w:p>
      <w:pPr>
        <w:spacing w:after="200" w:line="276"/>
      </w:pPr>
      <w:r>
        <w:t xml:space="preserve">A unifying theme is the </w:t>
      </w:r>
      <w:r>
        <w:rPr>
          <w:b/>
          <w:bCs/>
        </w:rPr>
        <w:t xml:space="preserve">logarithm</w:t>
      </w:r>
      <w:r>
        <w:t xml:space="preserve">. It appears in:</w:t>
      </w:r>
    </w:p>
    <w:p>
      <w:pPr>
        <w:pStyle w:val="ListParagraph"/>
        <w:numPr>
          <w:ilvl w:val="0"/>
          <w:numId w:val="2"/>
        </w:numPr>
        <w:spacing w:after="120"/>
      </w:pPr>
      <w:r>
        <w:t xml:space="preserve">The resistance isomorphism: Ω(1/n) = ln(n)</w:t>
      </w:r>
    </w:p>
    <w:p>
      <w:pPr>
        <w:pStyle w:val="ListParagraph"/>
        <w:numPr>
          <w:ilvl w:val="0"/>
          <w:numId w:val="2"/>
        </w:numPr>
        <w:spacing w:after="120"/>
      </w:pPr>
      <w:r>
        <w:t xml:space="preserve">The zero count: N(t) ~ t ln(t)</w:t>
      </w:r>
    </w:p>
    <w:p>
      <w:pPr>
        <w:pStyle w:val="ListParagraph"/>
        <w:numPr>
          <w:ilvl w:val="0"/>
          <w:numId w:val="2"/>
        </w:numPr>
        <w:spacing w:after="120"/>
      </w:pPr>
      <w:r>
        <w:t xml:space="preserve">The entropy: S ~ ln(t)</w:t>
      </w:r>
    </w:p>
    <w:p>
      <w:pPr>
        <w:pStyle w:val="ListParagraph"/>
        <w:numPr>
          <w:ilvl w:val="0"/>
          <w:numId w:val="2"/>
        </w:numPr>
        <w:spacing w:after="120"/>
      </w:pPr>
      <w:r>
        <w:t xml:space="preserve">The modified field law: F(r) ~ ln(r)/r²</w:t>
      </w:r>
    </w:p>
    <w:p>
      <w:pPr>
        <w:pStyle w:val="ListParagraph"/>
        <w:numPr>
          <w:ilvl w:val="0"/>
          <w:numId w:val="2"/>
        </w:numPr>
        <w:spacing w:after="120"/>
      </w:pPr>
      <w:r>
        <w:t xml:space="preserve">The holographic entropy: S ~ r² ln(r)</w:t>
      </w:r>
    </w:p>
    <w:p>
      <w:pPr>
        <w:spacing w:after="200" w:line="276"/>
      </w:pPr>
      <w:r>
        <w:t xml:space="preserve">As established in [5], the logarithm is the unique function translating between multiplicative (number) and additive (resistance) domains. Its universal appearance suggests that </w:t>
      </w:r>
      <w:r>
        <w:rPr>
          <w:i/>
          <w:iCs/>
        </w:rPr>
        <w:t xml:space="preserve">all these phenomena arise from the same translation</w:t>
      </w:r>
      <w:r>
        <w:t xml:space="preserve">—the projection of arithmetic structure into observable quantities.</w:t>
      </w:r>
    </w:p>
    <w:p>
      <w:pPr>
        <w:pStyle w:val="Heading2"/>
      </w:pPr>
      <w:r>
        <w:t xml:space="preserve">7.3 What Would Constitute a Proof</w:t>
      </w:r>
    </w:p>
    <w:p>
      <w:pPr>
        <w:spacing w:after="200" w:line="276"/>
      </w:pPr>
      <w:r>
        <w:t xml:space="preserve">Our results are currently </w:t>
      </w:r>
      <w:r>
        <w:rPr>
          <w:i/>
          <w:iCs/>
        </w:rPr>
        <w:t xml:space="preserve">structural matches</w:t>
      </w:r>
      <w:r>
        <w:t xml:space="preserve">, not derivations. To establish that black hole entropy </w:t>
      </w:r>
      <w:r>
        <w:rPr>
          <w:i/>
          <w:iCs/>
        </w:rPr>
        <w:t xml:space="preserve">is</w:t>
      </w:r>
      <w:r>
        <w:t xml:space="preserve"> N(r), rather than merely resembling it, would require:</w:t>
      </w:r>
    </w:p>
    <w:p>
      <w:pPr>
        <w:pStyle w:val="ListParagraph"/>
        <w:numPr>
          <w:ilvl w:val="0"/>
          <w:numId w:val="2"/>
        </w:numPr>
        <w:spacing w:after="120"/>
      </w:pPr>
      <w:r>
        <w:rPr>
          <w:b/>
          <w:bCs/>
        </w:rPr>
        <w:t xml:space="preserve">Dimensional bridge</w:t>
      </w:r>
      <w:r>
        <w:t xml:space="preserve">: Identifying what physical quantity corresponds to "height t" and deriving ℓ_P from arithmetic</w:t>
      </w:r>
    </w:p>
    <w:p>
      <w:pPr>
        <w:pStyle w:val="ListParagraph"/>
        <w:numPr>
          <w:ilvl w:val="0"/>
          <w:numId w:val="2"/>
        </w:numPr>
        <w:spacing w:after="120"/>
      </w:pPr>
      <w:r>
        <w:rPr>
          <w:b/>
          <w:bCs/>
        </w:rPr>
        <w:t xml:space="preserve">Coefficient derivation</w:t>
      </w:r>
      <w:r>
        <w:t xml:space="preserve">: Computing the log coefficient α from ζ(2), φ, Δ, or other number-theoretic constants</w:t>
      </w:r>
    </w:p>
    <w:p>
      <w:pPr>
        <w:pStyle w:val="ListParagraph"/>
        <w:numPr>
          <w:ilvl w:val="0"/>
          <w:numId w:val="2"/>
        </w:numPr>
        <w:spacing w:after="120"/>
      </w:pPr>
      <w:r>
        <w:rPr>
          <w:b/>
          <w:bCs/>
        </w:rPr>
        <w:t xml:space="preserve">GUE mechanism</w:t>
      </w:r>
      <w:r>
        <w:t xml:space="preserve">: Explaining </w:t>
      </w:r>
      <w:r>
        <w:rPr>
          <w:i/>
          <w:iCs/>
        </w:rPr>
        <w:t xml:space="preserve">why</w:t>
      </w:r>
      <w:r>
        <w:t xml:space="preserve"> zeros follow GUE statistics from the Euler product structure</w:t>
      </w:r>
    </w:p>
    <w:p>
      <w:pPr>
        <w:pStyle w:val="ListParagraph"/>
        <w:numPr>
          <w:ilvl w:val="0"/>
          <w:numId w:val="2"/>
        </w:numPr>
        <w:spacing w:after="120"/>
      </w:pPr>
      <w:r>
        <w:rPr>
          <w:b/>
          <w:bCs/>
        </w:rPr>
        <w:t xml:space="preserve">Physical prediction</w:t>
      </w:r>
      <w:r>
        <w:t xml:space="preserve">: A testable prediction distinguishing our framework from standard physics</w:t>
      </w:r>
    </w:p>
    <w:p>
      <w:pPr>
        <w:pStyle w:val="Heading2"/>
      </w:pPr>
      <w:r>
        <w:t xml:space="preserve">7.4 Connections to Other Approaches</w:t>
      </w:r>
    </w:p>
    <w:p>
      <w:pPr>
        <w:spacing w:after="200" w:line="276"/>
      </w:pPr>
      <w:r>
        <w:t xml:space="preserve">Our framework connects to several research programs:</w:t>
      </w:r>
    </w:p>
    <w:p>
      <w:pPr>
        <w:spacing w:after="200" w:line="276"/>
      </w:pPr>
      <w:r>
        <w:rPr>
          <w:b/>
          <w:bCs/>
        </w:rPr>
        <w:t xml:space="preserve">Holographic Principle and AdS/CFT.</w:t>
      </w:r>
      <w:r>
        <w:t xml:space="preserve"> The holographic principle, most precisely realized in the AdS/CFT correspondence, states that a theory of gravity in d+1 dimensions is equivalent to a conformal field theory in d dimensions. Our finding that N(r) ~ r² suggests the "boundary theory" may be arithmetic.</w:t>
      </w:r>
    </w:p>
    <w:p>
      <w:pPr>
        <w:spacing w:after="200" w:line="276"/>
      </w:pPr>
      <w:r>
        <w:rPr>
          <w:b/>
          <w:bCs/>
        </w:rPr>
        <w:t xml:space="preserve">It from Bit (Wheeler).</w:t>
      </w:r>
      <w:r>
        <w:t xml:space="preserve"> John Wheeler's program proposed that physical reality emerges from information. Our framework makes this concrete: physical quantities (entropy, field strength) emerge from the distribution of Riemann zeros, which encode prime structure.</w:t>
      </w:r>
    </w:p>
    <w:p>
      <w:pPr>
        <w:spacing w:after="200" w:line="276"/>
      </w:pPr>
      <w:r>
        <w:rPr>
          <w:b/>
          <w:bCs/>
        </w:rPr>
        <w:t xml:space="preserve">Entropic Gravity (Verlinde).</w:t>
      </w:r>
      <w:r>
        <w:t xml:space="preserve"> Erik Verlinde proposed that gravity is an entropic force arising from information. Our formula F(r) ~ ln(r)/r² has a natural entropic interpretation: the log factor represents entropy density σ(r) = ln(r)/π.</w:t>
      </w:r>
    </w:p>
    <w:p>
      <w:pPr>
        <w:spacing w:after="200" w:line="276"/>
      </w:pPr>
      <w:r>
        <w:rPr>
          <w:b/>
          <w:bCs/>
        </w:rPr>
        <w:t xml:space="preserve">Arithmetic Quantum Field Theory.</w:t>
      </w:r>
      <w:r>
        <w:t xml:space="preserve"> Recent work has explored connections between the Riemann zeta function and quantum field theory, particularly through the Spectral Action Principle. Our results provide specific, testable predictions for this program.</w:t>
      </w:r>
    </w:p>
    <w:p>
      <w:pPr>
        <w:pStyle w:val="Heading2"/>
      </w:pPr>
      <w:r>
        <w:t xml:space="preserve">7.5 Future Directions</w:t>
      </w:r>
    </w:p>
    <w:p>
      <w:pPr>
        <w:pStyle w:val="Heading3"/>
      </w:pPr>
      <w:r>
        <w:t xml:space="preserve">7.5.1 The GUE-Golden Shadow Connection</w:t>
      </w:r>
    </w:p>
    <w:p>
      <w:pPr>
        <w:spacing w:after="200" w:line="276"/>
      </w:pPr>
      <w:r>
        <w:t xml:space="preserve">The level repulsion parameter in GUE statistics may relate to the Golden Shadow Δ. Specifically, the normalized spacing at which P_GUE reaches half-maximum might equal some function of Δ/ζ(2). This would connect the arithmetic resolution limit to quantum statistical structure.</w:t>
      </w:r>
    </w:p>
    <w:p>
      <w:pPr>
        <w:pStyle w:val="Heading3"/>
      </w:pPr>
      <w:r>
        <w:t xml:space="preserve">7.5.2 Black Hole Information Paradox</w:t>
      </w:r>
    </w:p>
    <w:p>
      <w:pPr>
        <w:spacing w:after="200" w:line="276"/>
      </w:pPr>
      <w:r>
        <w:t xml:space="preserve">Our framework suggests a resolution to the black hole information paradox: information is </w:t>
      </w:r>
      <w:r>
        <w:rPr>
          <w:i/>
          <w:iCs/>
        </w:rPr>
        <w:t xml:space="preserve">never lost</w:t>
      </w:r>
      <w:r>
        <w:t xml:space="preserve"> (Q × P = 1 conserved), but entropy increases (S grows). The apparent loss of information during black hole evaporation might reflect the growth of S while Q × P remains constant. This requires detailed analysis of the evaporation process in our framework.</w:t>
      </w:r>
    </w:p>
    <w:p>
      <w:pPr>
        <w:pStyle w:val="Heading3"/>
      </w:pPr>
      <w:r>
        <w:t xml:space="preserve">7.5.3 Cosmological Implications</w:t>
      </w:r>
    </w:p>
    <w:p>
      <w:pPr>
        <w:spacing w:after="200" w:line="276"/>
      </w:pPr>
      <w:r>
        <w:t xml:space="preserve">The sign change in F(r) = G₀ ln(r/r₀)/r² at r = r₀ might explain cosmic acceleration. If r₀ is identified with a cosmological scale, the repulsive regime (r &lt; r₀ in appropriate coordinates) could provide the "dark energy" driving expansion. This requires careful treatment of the coordinate mapping.</w:t>
      </w:r>
    </w:p>
    <w:p>
      <w:pPr>
        <w:pStyle w:val="Heading3"/>
      </w:pPr>
      <w:r>
        <w:t xml:space="preserve">7.5.4 Quantitative Mechanics</w:t>
      </w:r>
    </w:p>
    <w:p>
      <w:pPr>
        <w:spacing w:after="200" w:line="276"/>
      </w:pPr>
      <w:r>
        <w:t xml:space="preserve">The "inverse" of quantum mechanics at large scales—where quantity dominates over precision—deserves systematic development. The Information Uncertainty Principle Q × P = 1 is the analog of ℏ setting the quantum-classical boundary. What physical phenomena does it predict?</w:t>
      </w:r>
    </w:p>
    <w:p>
      <w:pPr>
        <w:pStyle w:val="Heading3"/>
      </w:pPr>
      <w:r>
        <w:t xml:space="preserve">7.5.5 Experimental Tests</w:t>
      </w:r>
    </w:p>
    <w:p>
      <w:pPr>
        <w:spacing w:after="200" w:line="276"/>
      </w:pPr>
      <w:r>
        <w:t xml:space="preserve">If the framework is correct, there should be deviations from standard physics. Candidates include:</w:t>
      </w:r>
    </w:p>
    <w:p>
      <w:pPr>
        <w:pStyle w:val="ListParagraph"/>
        <w:numPr>
          <w:ilvl w:val="0"/>
          <w:numId w:val="2"/>
        </w:numPr>
        <w:spacing w:after="120"/>
      </w:pPr>
      <w:r>
        <w:t xml:space="preserve">Logarithmic corrections to gravitational dynamics at extreme scales</w:t>
      </w:r>
    </w:p>
    <w:p>
      <w:pPr>
        <w:pStyle w:val="ListParagraph"/>
        <w:numPr>
          <w:ilvl w:val="0"/>
          <w:numId w:val="2"/>
        </w:numPr>
        <w:spacing w:after="120"/>
      </w:pPr>
      <w:r>
        <w:t xml:space="preserve">Correlations in precision measurements reflecting GUE statistics</w:t>
      </w:r>
    </w:p>
    <w:p>
      <w:pPr>
        <w:pStyle w:val="ListParagraph"/>
        <w:numPr>
          <w:ilvl w:val="0"/>
          <w:numId w:val="2"/>
        </w:numPr>
        <w:spacing w:after="120"/>
      </w:pPr>
      <w:r>
        <w:t xml:space="preserve">Entropy bounds in gravitational systems matching N(r) predictions</w:t>
      </w:r>
    </w:p>
    <w:p>
      <w:pPr>
        <w:pStyle w:val="Heading2"/>
      </w:pPr>
      <w:r>
        <w:t xml:space="preserve">7.6 Conclusion</w:t>
      </w:r>
    </w:p>
    <w:p>
      <w:pPr>
        <w:spacing w:after="200" w:line="276"/>
      </w:pPr>
      <w:r>
        <w:t xml:space="preserve">The Natural Operating System framework reveals deep connections between number theory, black hole thermodynamics, and quantum statistics. The holographic zero count N(r) ~ r² ln(r), the GUE level repulsion of zeros, and the emergence of the Second Law from the critical line all suggest that </w:t>
      </w:r>
      <w:r>
        <w:rPr>
          <w:b/>
          <w:bCs/>
        </w:rPr>
        <w:t xml:space="preserve">physical information theory may be arithmetic information theory in disguise</w:t>
      </w:r>
      <w:r>
        <w:t xml:space="preserve">.</w:t>
      </w:r>
    </w:p>
    <w:p>
      <w:pPr>
        <w:spacing w:after="200" w:line="276"/>
      </w:pPr>
      <w:r>
        <w:t xml:space="preserve">The logarithm—unique as the translation between multiplicative and additive structures—appears universally. It connects the resistance isomorphism to the holographic entropy correction, suggesting both arise from projecting arithmetic structure into observable space.</w:t>
      </w:r>
    </w:p>
    <w:p>
      <w:pPr>
        <w:spacing w:after="200" w:line="276"/>
      </w:pPr>
      <w:r>
        <w:t xml:space="preserve">Whether these structural matches reflect genuine physical ontology or are remarkable coincidences remains to be determined. The path forward requires deriving the dimensional bridge between arithmetic and physics. If successful, we would have not only a new understanding of black hole entropy but a new foundation for physics itself: the universe computed from primes.</w:t>
      </w:r>
    </w:p>
    <w:p>
      <w:r>
        <w:br w:type="page"/>
      </w:r>
    </w:p>
    <w:p>
      <w:pPr>
        <w:pStyle w:val="Heading1"/>
      </w:pPr>
      <w:r>
        <w:t xml:space="preserve">References</w:t>
      </w:r>
    </w:p>
    <w:p>
      <w:pPr>
        <w:spacing w:after="200" w:line="276"/>
      </w:pPr>
      <w:r>
        <w:t xml:space="preserve">[1] Pisani, A. (2025). A Turing-Complete Resistance-Based Isomorphism for Probabilistic Computation.</w:t>
      </w:r>
    </w:p>
    <w:p>
      <w:pPr>
        <w:spacing w:after="200" w:line="276"/>
      </w:pPr>
      <w:r>
        <w:t xml:space="preserve">[2] Pisani, A. (2025). Natural OS: A Quantum-Analog Architecture Based on Number Theoretic Resonance.</w:t>
      </w:r>
    </w:p>
    <w:p>
      <w:pPr>
        <w:spacing w:after="200" w:line="276"/>
      </w:pPr>
      <w:r>
        <w:t xml:space="preserve">[3] Pisani, A. (2025). The Natural Operating System Oracle Framework: Arithmetic Fingerprints, Phase Coherence, and the Bridge to Hypercomputation.</w:t>
      </w:r>
    </w:p>
    <w:p>
      <w:pPr>
        <w:spacing w:after="200" w:line="276"/>
      </w:pPr>
      <w:r>
        <w:t xml:space="preserve">[4] Pisani, A. (2026). Natural OS: Analog Factorization and the Critical Line.</w:t>
      </w:r>
    </w:p>
    <w:p>
      <w:pPr>
        <w:spacing w:after="200" w:line="276"/>
      </w:pPr>
      <w:r>
        <w:t xml:space="preserve">[5] Pisani, A. (2026). The Information Uncertainty Principle: Number-Theoretic Foundations of Gravitational Structure.</w:t>
      </w:r>
    </w:p>
    <w:p>
      <w:pPr>
        <w:spacing w:after="200" w:line="276"/>
      </w:pPr>
      <w:r>
        <w:t xml:space="preserve">[6] Montgomery, H.L. (1973). The pair correlation of zeros of the zeta function. Analytic Number Theory, Proc. Sympos. Pure Math. 24, 181-193.</w:t>
      </w:r>
    </w:p>
    <w:p>
      <w:pPr>
        <w:spacing w:after="200" w:line="276"/>
      </w:pPr>
      <w:r>
        <w:t xml:space="preserve">[7] Odlyzko, A.M. (1987). On the distribution of spacings between zeros of the zeta function. Mathematics of Computation 48, 273-308.</w:t>
      </w:r>
    </w:p>
    <w:p>
      <w:pPr>
        <w:spacing w:after="200" w:line="276"/>
      </w:pPr>
      <w:r>
        <w:t xml:space="preserve">[8] Bekenstein, J.D. (1973). Black holes and entropy. Physical Review D 7, 2333-2346.</w:t>
      </w:r>
    </w:p>
    <w:p>
      <w:pPr>
        <w:spacing w:after="200" w:line="276"/>
      </w:pPr>
      <w:r>
        <w:t xml:space="preserve">[9] Hawking, S.W. (1975). Particle creation by black holes. Communications in Mathematical Physics 43, 199-220.</w:t>
      </w:r>
    </w:p>
    <w:p>
      <w:pPr>
        <w:spacing w:after="200" w:line="276"/>
      </w:pPr>
      <w:r>
        <w:t xml:space="preserve">[10] 't Hooft, G. (1993). Dimensional reduction in quantum gravity. arXiv:gr-qc/9310026.</w:t>
      </w:r>
    </w:p>
    <w:p>
      <w:pPr>
        <w:spacing w:after="200" w:line="276"/>
      </w:pPr>
      <w:r>
        <w:t xml:space="preserve">[11] Susskind, L. (1995). The world as a hologram. Journal of Mathematical Physics 36, 6377-6396.</w:t>
      </w:r>
    </w:p>
    <w:p>
      <w:pPr>
        <w:spacing w:after="200" w:line="276"/>
      </w:pPr>
      <w:r>
        <w:t xml:space="preserve">[12] Verlinde, E. (2011). On the origin of gravity and the laws of Newton. Journal of High Energy Physics 2011(4), 29.</w:t>
      </w:r>
    </w:p>
    <w:p>
      <w:pPr>
        <w:spacing w:after="200" w:line="276"/>
      </w:pPr>
      <w:r>
        <w:t xml:space="preserve">[13] Titchmarsh, E.C. (1986). The Theory of the Riemann Zeta-Function (2nd ed.). Oxford University Press.</w:t>
      </w:r>
    </w:p>
    <w:p>
      <w:pPr>
        <w:spacing w:after="200" w:line="276"/>
      </w:pPr>
      <w:r>
        <w:t xml:space="preserve">[14] Mehta, M.L. (2004). Random Matrices (3rd ed.). Academic Press.</w:t>
      </w:r>
    </w:p>
    <w:p>
      <w:r>
        <w:br w:type="page"/>
      </w:r>
    </w:p>
    <w:p>
      <w:pPr>
        <w:pStyle w:val="Heading1"/>
      </w:pPr>
      <w:r>
        <w:t xml:space="preserve">Appendix A: The Four-Layer Correspondence</w:t>
      </w:r>
    </w:p>
    <w:p>
      <w:pPr>
        <w:spacing w:after="200" w:line="276"/>
      </w:pPr>
      <w:r>
        <w:t xml:space="preserve">For reference, the complete four-layer correspondence of the Natural OS framework: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340"/>
        <w:gridCol w:w="2808"/>
      </w:tblGrid>
      <w:tr>
        <w:trPr>
          <w:tblHeader/>
        </w:trPr>
        <w:tc>
          <w:tcPr>
            <w:tcW w:type="dxa" w:w="1872"/>
            <w:tcBorders>
              <w:top w:val="single" w:color="CCCCCC" w:sz="1"/>
              <w:left w:val="single" w:color="CCCCCC" w:sz="1"/>
              <w:bottom w:val="single" w:color="CCCCCC" w:sz="1"/>
              <w:right w:val="single" w:color="CCCCCC" w:sz="1"/>
            </w:tcBorders>
            <w:shd w:fill="E8E8E8" w:val="clear"/>
          </w:tcPr>
          <w:p>
            <w:pPr>
              <w:jc w:val="center"/>
            </w:pPr>
            <w:r>
              <w:rPr>
                <w:b/>
                <w:bCs/>
              </w:rPr>
              <w:t xml:space="preserve">Construct</w:t>
            </w:r>
          </w:p>
        </w:tc>
        <w:tc>
          <w:tcPr>
            <w:tcW w:type="dxa" w:w="2340"/>
            <w:tcBorders>
              <w:top w:val="single" w:color="CCCCCC" w:sz="1"/>
              <w:left w:val="single" w:color="CCCCCC" w:sz="1"/>
              <w:bottom w:val="single" w:color="CCCCCC" w:sz="1"/>
              <w:right w:val="single" w:color="CCCCCC" w:sz="1"/>
            </w:tcBorders>
            <w:shd w:fill="E8E8E8" w:val="clear"/>
          </w:tcPr>
          <w:p>
            <w:pPr>
              <w:jc w:val="center"/>
            </w:pPr>
            <w:r>
              <w:rPr>
                <w:b/>
                <w:bCs/>
              </w:rPr>
              <w:t xml:space="preserve">Number Theory</w:t>
            </w:r>
          </w:p>
        </w:tc>
        <w:tc>
          <w:tcPr>
            <w:tcW w:type="dxa" w:w="2340"/>
            <w:tcBorders>
              <w:top w:val="single" w:color="CCCCCC" w:sz="1"/>
              <w:left w:val="single" w:color="CCCCCC" w:sz="1"/>
              <w:bottom w:val="single" w:color="CCCCCC" w:sz="1"/>
              <w:right w:val="single" w:color="CCCCCC" w:sz="1"/>
            </w:tcBorders>
            <w:shd w:fill="E8E8E8" w:val="clear"/>
          </w:tcPr>
          <w:p>
            <w:pPr>
              <w:jc w:val="center"/>
            </w:pPr>
            <w:r>
              <w:rPr>
                <w:b/>
                <w:bCs/>
              </w:rPr>
              <w:t xml:space="preserve">Resistance</w:t>
            </w:r>
          </w:p>
        </w:tc>
        <w:tc>
          <w:tcPr>
            <w:tcW w:type="dxa" w:w="2808"/>
            <w:tcBorders>
              <w:top w:val="single" w:color="CCCCCC" w:sz="1"/>
              <w:left w:val="single" w:color="CCCCCC" w:sz="1"/>
              <w:bottom w:val="single" w:color="CCCCCC" w:sz="1"/>
              <w:right w:val="single" w:color="CCCCCC" w:sz="1"/>
            </w:tcBorders>
            <w:shd w:fill="E8E8E8" w:val="clear"/>
          </w:tcPr>
          <w:p>
            <w:pPr>
              <w:jc w:val="center"/>
            </w:pPr>
            <w:r>
              <w:rPr>
                <w:b/>
                <w:bCs/>
              </w:rPr>
              <w:t xml:space="preserve">Quantum</w:t>
            </w:r>
          </w:p>
        </w:tc>
      </w:tr>
      <w:tr>
        <w:tc>
          <w:tcPr>
            <w:tcW w:type="dxa" w:w="1872"/>
            <w:tcBorders>
              <w:top w:val="single" w:color="CCCCCC" w:sz="1"/>
              <w:left w:val="single" w:color="CCCCCC" w:sz="1"/>
              <w:bottom w:val="single" w:color="CCCCCC" w:sz="1"/>
              <w:right w:val="single" w:color="CCCCCC" w:sz="1"/>
            </w:tcBorders>
          </w:tcPr>
          <w:p>
            <w:pPr>
              <w:jc w:val="left"/>
            </w:pPr>
            <w:r>
              <w:t xml:space="preserve">State</w:t>
            </w:r>
          </w:p>
        </w:tc>
        <w:tc>
          <w:tcPr>
            <w:tcW w:type="dxa" w:w="2340"/>
            <w:tcBorders>
              <w:top w:val="single" w:color="CCCCCC" w:sz="1"/>
              <w:left w:val="single" w:color="CCCCCC" w:sz="1"/>
              <w:bottom w:val="single" w:color="CCCCCC" w:sz="1"/>
              <w:right w:val="single" w:color="CCCCCC" w:sz="1"/>
            </w:tcBorders>
          </w:tcPr>
          <w:p>
            <w:pPr>
              <w:jc w:val="left"/>
            </w:pPr>
            <w:r>
              <w:t xml:space="preserve">Integer n</w:t>
            </w:r>
          </w:p>
        </w:tc>
        <w:tc>
          <w:tcPr>
            <w:tcW w:type="dxa" w:w="2340"/>
            <w:tcBorders>
              <w:top w:val="single" w:color="CCCCCC" w:sz="1"/>
              <w:left w:val="single" w:color="CCCCCC" w:sz="1"/>
              <w:bottom w:val="single" w:color="CCCCCC" w:sz="1"/>
              <w:right w:val="single" w:color="CCCCCC" w:sz="1"/>
            </w:tcBorders>
          </w:tcPr>
          <w:p>
            <w:pPr>
              <w:jc w:val="left"/>
            </w:pPr>
            <w:r>
              <w:t xml:space="preserve">Ω = ln(n)</w:t>
            </w:r>
          </w:p>
        </w:tc>
        <w:tc>
          <w:tcPr>
            <w:tcW w:type="dxa" w:w="2808"/>
            <w:tcBorders>
              <w:top w:val="single" w:color="CCCCCC" w:sz="1"/>
              <w:left w:val="single" w:color="CCCCCC" w:sz="1"/>
              <w:bottom w:val="single" w:color="CCCCCC" w:sz="1"/>
              <w:right w:val="single" w:color="CCCCCC" w:sz="1"/>
            </w:tcBorders>
          </w:tcPr>
          <w:p>
            <w:pPr>
              <w:jc w:val="left"/>
            </w:pPr>
            <w:r>
              <w:t xml:space="preserve">|n⟩ = ⊗ₚ|aₚ⟩</w:t>
            </w:r>
          </w:p>
        </w:tc>
      </w:tr>
      <w:tr>
        <w:tc>
          <w:tcPr>
            <w:tcW w:type="dxa" w:w="1872"/>
            <w:tcBorders>
              <w:top w:val="single" w:color="CCCCCC" w:sz="1"/>
              <w:left w:val="single" w:color="CCCCCC" w:sz="1"/>
              <w:bottom w:val="single" w:color="CCCCCC" w:sz="1"/>
              <w:right w:val="single" w:color="CCCCCC" w:sz="1"/>
            </w:tcBorders>
          </w:tcPr>
          <w:p>
            <w:pPr>
              <w:jc w:val="left"/>
            </w:pPr>
            <w:r>
              <w:t xml:space="preserve">Qubit</w:t>
            </w:r>
          </w:p>
        </w:tc>
        <w:tc>
          <w:tcPr>
            <w:tcW w:type="dxa" w:w="2340"/>
            <w:tcBorders>
              <w:top w:val="single" w:color="CCCCCC" w:sz="1"/>
              <w:left w:val="single" w:color="CCCCCC" w:sz="1"/>
              <w:bottom w:val="single" w:color="CCCCCC" w:sz="1"/>
              <w:right w:val="single" w:color="CCCCCC" w:sz="1"/>
            </w:tcBorders>
          </w:tcPr>
          <w:p>
            <w:pPr>
              <w:jc w:val="left"/>
            </w:pPr>
            <w:r>
              <w:t xml:space="preserve">Prime p</w:t>
            </w:r>
          </w:p>
        </w:tc>
        <w:tc>
          <w:tcPr>
            <w:tcW w:type="dxa" w:w="2340"/>
            <w:tcBorders>
              <w:top w:val="single" w:color="CCCCCC" w:sz="1"/>
              <w:left w:val="single" w:color="CCCCCC" w:sz="1"/>
              <w:bottom w:val="single" w:color="CCCCCC" w:sz="1"/>
              <w:right w:val="single" w:color="CCCCCC" w:sz="1"/>
            </w:tcBorders>
          </w:tcPr>
          <w:p>
            <w:pPr>
              <w:jc w:val="left"/>
            </w:pPr>
            <w:r>
              <w:t xml:space="preserve">Ωₚ = ln(p)</w:t>
            </w:r>
          </w:p>
        </w:tc>
        <w:tc>
          <w:tcPr>
            <w:tcW w:type="dxa" w:w="2808"/>
            <w:tcBorders>
              <w:top w:val="single" w:color="CCCCCC" w:sz="1"/>
              <w:left w:val="single" w:color="CCCCCC" w:sz="1"/>
              <w:bottom w:val="single" w:color="CCCCCC" w:sz="1"/>
              <w:right w:val="single" w:color="CCCCCC" w:sz="1"/>
            </w:tcBorders>
          </w:tcPr>
          <w:p>
            <w:pPr>
              <w:jc w:val="left"/>
            </w:pPr>
            <w:r>
              <w:t xml:space="preserve">|0⟩, |1⟩ per prime</w:t>
            </w:r>
          </w:p>
        </w:tc>
      </w:tr>
      <w:tr>
        <w:tc>
          <w:tcPr>
            <w:tcW w:type="dxa" w:w="1872"/>
            <w:tcBorders>
              <w:top w:val="single" w:color="CCCCCC" w:sz="1"/>
              <w:left w:val="single" w:color="CCCCCC" w:sz="1"/>
              <w:bottom w:val="single" w:color="CCCCCC" w:sz="1"/>
              <w:right w:val="single" w:color="CCCCCC" w:sz="1"/>
            </w:tcBorders>
          </w:tcPr>
          <w:p>
            <w:pPr>
              <w:jc w:val="left"/>
            </w:pPr>
            <w:r>
              <w:t xml:space="preserve">AND gate</w:t>
            </w:r>
          </w:p>
        </w:tc>
        <w:tc>
          <w:tcPr>
            <w:tcW w:type="dxa" w:w="2340"/>
            <w:tcBorders>
              <w:top w:val="single" w:color="CCCCCC" w:sz="1"/>
              <w:left w:val="single" w:color="CCCCCC" w:sz="1"/>
              <w:bottom w:val="single" w:color="CCCCCC" w:sz="1"/>
              <w:right w:val="single" w:color="CCCCCC" w:sz="1"/>
            </w:tcBorders>
          </w:tcPr>
          <w:p>
            <w:pPr>
              <w:jc w:val="left"/>
            </w:pPr>
            <w:r>
              <w:t xml:space="preserve">gcd(a,b)</w:t>
            </w:r>
          </w:p>
        </w:tc>
        <w:tc>
          <w:tcPr>
            <w:tcW w:type="dxa" w:w="2340"/>
            <w:tcBorders>
              <w:top w:val="single" w:color="CCCCCC" w:sz="1"/>
              <w:left w:val="single" w:color="CCCCCC" w:sz="1"/>
              <w:bottom w:val="single" w:color="CCCCCC" w:sz="1"/>
              <w:right w:val="single" w:color="CCCCCC" w:sz="1"/>
            </w:tcBorders>
          </w:tcPr>
          <w:p>
            <w:pPr>
              <w:jc w:val="left"/>
            </w:pPr>
            <w:r>
              <w:t xml:space="preserve">Ω_gcd</w:t>
            </w:r>
          </w:p>
        </w:tc>
        <w:tc>
          <w:tcPr>
            <w:tcW w:type="dxa" w:w="2808"/>
            <w:tcBorders>
              <w:top w:val="single" w:color="CCCCCC" w:sz="1"/>
              <w:left w:val="single" w:color="CCCCCC" w:sz="1"/>
              <w:bottom w:val="single" w:color="CCCCCC" w:sz="1"/>
              <w:right w:val="single" w:color="CCCCCC" w:sz="1"/>
            </w:tcBorders>
          </w:tcPr>
          <w:p>
            <w:pPr>
              <w:jc w:val="left"/>
            </w:pPr>
            <w:r>
              <w:t xml:space="preserve">CZ gate</w:t>
            </w:r>
          </w:p>
        </w:tc>
      </w:tr>
      <w:tr>
        <w:tc>
          <w:tcPr>
            <w:tcW w:type="dxa" w:w="1872"/>
            <w:tcBorders>
              <w:top w:val="single" w:color="CCCCCC" w:sz="1"/>
              <w:left w:val="single" w:color="CCCCCC" w:sz="1"/>
              <w:bottom w:val="single" w:color="CCCCCC" w:sz="1"/>
              <w:right w:val="single" w:color="CCCCCC" w:sz="1"/>
            </w:tcBorders>
          </w:tcPr>
          <w:p>
            <w:pPr>
              <w:jc w:val="left"/>
            </w:pPr>
            <w:r>
              <w:t xml:space="preserve">OR gate</w:t>
            </w:r>
          </w:p>
        </w:tc>
        <w:tc>
          <w:tcPr>
            <w:tcW w:type="dxa" w:w="2340"/>
            <w:tcBorders>
              <w:top w:val="single" w:color="CCCCCC" w:sz="1"/>
              <w:left w:val="single" w:color="CCCCCC" w:sz="1"/>
              <w:bottom w:val="single" w:color="CCCCCC" w:sz="1"/>
              <w:right w:val="single" w:color="CCCCCC" w:sz="1"/>
            </w:tcBorders>
          </w:tcPr>
          <w:p>
            <w:pPr>
              <w:jc w:val="left"/>
            </w:pPr>
            <w:r>
              <w:t xml:space="preserve">lcm(a,b)</w:t>
            </w:r>
          </w:p>
        </w:tc>
        <w:tc>
          <w:tcPr>
            <w:tcW w:type="dxa" w:w="2340"/>
            <w:tcBorders>
              <w:top w:val="single" w:color="CCCCCC" w:sz="1"/>
              <w:left w:val="single" w:color="CCCCCC" w:sz="1"/>
              <w:bottom w:val="single" w:color="CCCCCC" w:sz="1"/>
              <w:right w:val="single" w:color="CCCCCC" w:sz="1"/>
            </w:tcBorders>
          </w:tcPr>
          <w:p>
            <w:pPr>
              <w:jc w:val="left"/>
            </w:pPr>
            <w:r>
              <w:t xml:space="preserve">Ωₐ + Ωᵦ − Ω_gcd</w:t>
            </w:r>
          </w:p>
        </w:tc>
        <w:tc>
          <w:tcPr>
            <w:tcW w:type="dxa" w:w="2808"/>
            <w:tcBorders>
              <w:top w:val="single" w:color="CCCCCC" w:sz="1"/>
              <w:left w:val="single" w:color="CCCCCC" w:sz="1"/>
              <w:bottom w:val="single" w:color="CCCCCC" w:sz="1"/>
              <w:right w:val="single" w:color="CCCCCC" w:sz="1"/>
            </w:tcBorders>
          </w:tcPr>
          <w:p>
            <w:pPr>
              <w:jc w:val="left"/>
            </w:pPr>
            <w:r>
              <w:t xml:space="preserve">Superposition</w:t>
            </w:r>
          </w:p>
        </w:tc>
      </w:tr>
      <w:tr>
        <w:tc>
          <w:tcPr>
            <w:tcW w:type="dxa" w:w="1872"/>
            <w:tcBorders>
              <w:top w:val="single" w:color="CCCCCC" w:sz="1"/>
              <w:left w:val="single" w:color="CCCCCC" w:sz="1"/>
              <w:bottom w:val="single" w:color="CCCCCC" w:sz="1"/>
              <w:right w:val="single" w:color="CCCCCC" w:sz="1"/>
            </w:tcBorders>
          </w:tcPr>
          <w:p>
            <w:pPr>
              <w:jc w:val="left"/>
            </w:pPr>
            <w:r>
              <w:t xml:space="preserve">Filter</w:t>
            </w:r>
          </w:p>
        </w:tc>
        <w:tc>
          <w:tcPr>
            <w:tcW w:type="dxa" w:w="2340"/>
            <w:tcBorders>
              <w:top w:val="single" w:color="CCCCCC" w:sz="1"/>
              <w:left w:val="single" w:color="CCCCCC" w:sz="1"/>
              <w:bottom w:val="single" w:color="CCCCCC" w:sz="1"/>
              <w:right w:val="single" w:color="CCCCCC" w:sz="1"/>
            </w:tcBorders>
          </w:tcPr>
          <w:p>
            <w:pPr>
              <w:jc w:val="left"/>
            </w:pPr>
            <w:r>
              <w:t xml:space="preserve">Möbius μ(n)</w:t>
            </w:r>
          </w:p>
        </w:tc>
        <w:tc>
          <w:tcPr>
            <w:tcW w:type="dxa" w:w="2340"/>
            <w:tcBorders>
              <w:top w:val="single" w:color="CCCCCC" w:sz="1"/>
              <w:left w:val="single" w:color="CCCCCC" w:sz="1"/>
              <w:bottom w:val="single" w:color="CCCCCC" w:sz="1"/>
              <w:right w:val="single" w:color="CCCCCC" w:sz="1"/>
            </w:tcBorders>
          </w:tcPr>
          <w:p>
            <w:pPr>
              <w:jc w:val="left"/>
            </w:pPr>
            <w:r>
              <w:t xml:space="preserve">Phase ±1 or block</w:t>
            </w:r>
          </w:p>
        </w:tc>
        <w:tc>
          <w:tcPr>
            <w:tcW w:type="dxa" w:w="2808"/>
            <w:tcBorders>
              <w:top w:val="single" w:color="CCCCCC" w:sz="1"/>
              <w:left w:val="single" w:color="CCCCCC" w:sz="1"/>
              <w:bottom w:val="single" w:color="CCCCCC" w:sz="1"/>
              <w:right w:val="single" w:color="CCCCCC" w:sz="1"/>
            </w:tcBorders>
          </w:tcPr>
          <w:p>
            <w:pPr>
              <w:jc w:val="left"/>
            </w:pPr>
            <w:r>
              <w:t xml:space="preserve">Harmonic trap</w:t>
            </w:r>
          </w:p>
        </w:tc>
      </w:tr>
      <w:tr>
        <w:tc>
          <w:tcPr>
            <w:tcW w:type="dxa" w:w="1872"/>
            <w:tcBorders>
              <w:top w:val="single" w:color="CCCCCC" w:sz="1"/>
              <w:left w:val="single" w:color="CCCCCC" w:sz="1"/>
              <w:bottom w:val="single" w:color="CCCCCC" w:sz="1"/>
              <w:right w:val="single" w:color="CCCCCC" w:sz="1"/>
            </w:tcBorders>
          </w:tcPr>
          <w:p>
            <w:pPr>
              <w:jc w:val="left"/>
            </w:pPr>
            <w:r>
              <w:t xml:space="preserve">Energy bound</w:t>
            </w:r>
          </w:p>
        </w:tc>
        <w:tc>
          <w:tcPr>
            <w:tcW w:type="dxa" w:w="2340"/>
            <w:tcBorders>
              <w:top w:val="single" w:color="CCCCCC" w:sz="1"/>
              <w:left w:val="single" w:color="CCCCCC" w:sz="1"/>
              <w:bottom w:val="single" w:color="CCCCCC" w:sz="1"/>
              <w:right w:val="single" w:color="CCCCCC" w:sz="1"/>
            </w:tcBorders>
          </w:tcPr>
          <w:p>
            <w:pPr>
              <w:jc w:val="left"/>
            </w:pPr>
            <w:r>
              <w:t xml:space="preserve">ζ(2) = π²/6</w:t>
            </w:r>
          </w:p>
        </w:tc>
        <w:tc>
          <w:tcPr>
            <w:tcW w:type="dxa" w:w="2340"/>
            <w:tcBorders>
              <w:top w:val="single" w:color="CCCCCC" w:sz="1"/>
              <w:left w:val="single" w:color="CCCCCC" w:sz="1"/>
              <w:bottom w:val="single" w:color="CCCCCC" w:sz="1"/>
              <w:right w:val="single" w:color="CCCCCC" w:sz="1"/>
            </w:tcBorders>
          </w:tcPr>
          <w:p>
            <w:pPr>
              <w:jc w:val="left"/>
            </w:pPr>
            <w:r>
              <w:t xml:space="preserve">Max coherence</w:t>
            </w:r>
          </w:p>
        </w:tc>
        <w:tc>
          <w:tcPr>
            <w:tcW w:type="dxa" w:w="2808"/>
            <w:tcBorders>
              <w:top w:val="single" w:color="CCCCCC" w:sz="1"/>
              <w:left w:val="single" w:color="CCCCCC" w:sz="1"/>
              <w:bottom w:val="single" w:color="CCCCCC" w:sz="1"/>
              <w:right w:val="single" w:color="CCCCCC" w:sz="1"/>
            </w:tcBorders>
          </w:tcPr>
          <w:p>
            <w:pPr>
              <w:jc w:val="left"/>
            </w:pPr>
            <w:r>
              <w:t xml:space="preserve">Ground state</w:t>
            </w:r>
          </w:p>
        </w:tc>
      </w:tr>
      <w:tr>
        <w:tc>
          <w:tcPr>
            <w:tcW w:type="dxa" w:w="1872"/>
            <w:tcBorders>
              <w:top w:val="single" w:color="CCCCCC" w:sz="1"/>
              <w:left w:val="single" w:color="CCCCCC" w:sz="1"/>
              <w:bottom w:val="single" w:color="CCCCCC" w:sz="1"/>
              <w:right w:val="single" w:color="CCCCCC" w:sz="1"/>
            </w:tcBorders>
          </w:tcPr>
          <w:p>
            <w:pPr>
              <w:jc w:val="left"/>
            </w:pPr>
            <w:r>
              <w:t xml:space="preserve">Chaos bound</w:t>
            </w:r>
          </w:p>
        </w:tc>
        <w:tc>
          <w:tcPr>
            <w:tcW w:type="dxa" w:w="2340"/>
            <w:tcBorders>
              <w:top w:val="single" w:color="CCCCCC" w:sz="1"/>
              <w:left w:val="single" w:color="CCCCCC" w:sz="1"/>
              <w:bottom w:val="single" w:color="CCCCCC" w:sz="1"/>
              <w:right w:val="single" w:color="CCCCCC" w:sz="1"/>
            </w:tcBorders>
          </w:tcPr>
          <w:p>
            <w:pPr>
              <w:jc w:val="left"/>
            </w:pPr>
            <w:r>
              <w:t xml:space="preserve">φ = (1+√5)/2</w:t>
            </w:r>
          </w:p>
        </w:tc>
        <w:tc>
          <w:tcPr>
            <w:tcW w:type="dxa" w:w="2340"/>
            <w:tcBorders>
              <w:top w:val="single" w:color="CCCCCC" w:sz="1"/>
              <w:left w:val="single" w:color="CCCCCC" w:sz="1"/>
              <w:bottom w:val="single" w:color="CCCCCC" w:sz="1"/>
              <w:right w:val="single" w:color="CCCCCC" w:sz="1"/>
            </w:tcBorders>
          </w:tcPr>
          <w:p>
            <w:pPr>
              <w:jc w:val="left"/>
            </w:pPr>
            <w:r>
              <w:t xml:space="preserve">Max irrationality</w:t>
            </w:r>
          </w:p>
        </w:tc>
        <w:tc>
          <w:tcPr>
            <w:tcW w:type="dxa" w:w="2808"/>
            <w:tcBorders>
              <w:top w:val="single" w:color="CCCCCC" w:sz="1"/>
              <w:left w:val="single" w:color="CCCCCC" w:sz="1"/>
              <w:bottom w:val="single" w:color="CCCCCC" w:sz="1"/>
              <w:right w:val="single" w:color="CCCCCC" w:sz="1"/>
            </w:tcBorders>
          </w:tcPr>
          <w:p>
            <w:pPr>
              <w:jc w:val="left"/>
            </w:pPr>
            <w:r>
              <w:t xml:space="preserve">Noise floor</w:t>
            </w:r>
          </w:p>
        </w:tc>
      </w:tr>
      <w:tr>
        <w:tc>
          <w:tcPr>
            <w:tcW w:type="dxa" w:w="1872"/>
            <w:tcBorders>
              <w:top w:val="single" w:color="CCCCCC" w:sz="1"/>
              <w:left w:val="single" w:color="CCCCCC" w:sz="1"/>
              <w:bottom w:val="single" w:color="CCCCCC" w:sz="1"/>
              <w:right w:val="single" w:color="CCCCCC" w:sz="1"/>
            </w:tcBorders>
          </w:tcPr>
          <w:p>
            <w:pPr>
              <w:jc w:val="left"/>
            </w:pPr>
            <w:r>
              <w:t xml:space="preserve">Resolution</w:t>
            </w:r>
          </w:p>
        </w:tc>
        <w:tc>
          <w:tcPr>
            <w:tcW w:type="dxa" w:w="2340"/>
            <w:tcBorders>
              <w:top w:val="single" w:color="CCCCCC" w:sz="1"/>
              <w:left w:val="single" w:color="CCCCCC" w:sz="1"/>
              <w:bottom w:val="single" w:color="CCCCCC" w:sz="1"/>
              <w:right w:val="single" w:color="CCCCCC" w:sz="1"/>
            </w:tcBorders>
          </w:tcPr>
          <w:p>
            <w:pPr>
              <w:jc w:val="left"/>
            </w:pPr>
            <w:r>
              <w:t xml:space="preserve">Δ = ζ(2) − φ</w:t>
            </w:r>
          </w:p>
        </w:tc>
        <w:tc>
          <w:tcPr>
            <w:tcW w:type="dxa" w:w="2340"/>
            <w:tcBorders>
              <w:top w:val="single" w:color="CCCCCC" w:sz="1"/>
              <w:left w:val="single" w:color="CCCCCC" w:sz="1"/>
              <w:bottom w:val="single" w:color="CCCCCC" w:sz="1"/>
              <w:right w:val="single" w:color="CCCCCC" w:sz="1"/>
            </w:tcBorders>
          </w:tcPr>
          <w:p>
            <w:pPr>
              <w:jc w:val="left"/>
            </w:pPr>
            <w:r>
              <w:t xml:space="preserve">Shadow band</w:t>
            </w:r>
          </w:p>
        </w:tc>
        <w:tc>
          <w:tcPr>
            <w:tcW w:type="dxa" w:w="2808"/>
            <w:tcBorders>
              <w:top w:val="single" w:color="CCCCCC" w:sz="1"/>
              <w:left w:val="single" w:color="CCCCCC" w:sz="1"/>
              <w:bottom w:val="single" w:color="CCCCCC" w:sz="1"/>
              <w:right w:val="single" w:color="CCCCCC" w:sz="1"/>
            </w:tcBorders>
          </w:tcPr>
          <w:p>
            <w:pPr>
              <w:jc w:val="left"/>
            </w:pPr>
            <w:r>
              <w:t xml:space="preserve">Minimum spacing</w:t>
            </w:r>
          </w:p>
        </w:tc>
      </w:tr>
    </w:tbl>
    <w:p>
      <w:pPr>
        <w:spacing w:before="120" w:after="240"/>
        <w:jc w:val="center"/>
      </w:pPr>
      <w:r>
        <w:rPr>
          <w:i/>
          <w:iCs/>
          <w:sz w:val="22"/>
          <w:szCs w:val="22"/>
        </w:rPr>
        <w:t xml:space="preserve">Table A1: Complete four-layer correspondence</w:t>
      </w:r>
    </w:p>
    <w:p>
      <w:pPr>
        <w:pStyle w:val="Heading1"/>
      </w:pPr>
      <w:r>
        <w:t xml:space="preserve">Appendix B: Python Verification Code</w:t>
      </w:r>
    </w:p>
    <w:p>
      <w:pPr>
        <w:spacing w:after="200" w:line="276"/>
      </w:pPr>
      <w:r>
        <w:t xml:space="preserve">The following Python code reproduces all numerical results in this paper:</w:t>
      </w:r>
    </w:p>
    <w:p>
      <w:pPr>
        <w:spacing w:after="200" w:line="276"/>
      </w:pPr>
      <w:r>
        <w:t xml:space="preserve">```python</w:t>
      </w:r>
    </w:p>
    <w:p>
      <w:pPr>
        <w:spacing w:after="200" w:line="276"/>
      </w:pPr>
      <w:r>
        <w:t xml:space="preserve">import numpy as np</w:t>
      </w:r>
    </w:p>
    <w:p>
      <w:pPr>
        <w:spacing w:after="200" w:line="276"/>
      </w:pPr>
      <w:r>
        <w:t xml:space="preserve"/>
      </w:r>
    </w:p>
    <w:p>
      <w:pPr>
        <w:spacing w:after="200" w:line="276"/>
      </w:pPr>
      <w:r>
        <w:t xml:space="preserve"># Fundamental constants</w:t>
      </w:r>
    </w:p>
    <w:p>
      <w:pPr>
        <w:spacing w:after="200" w:line="276"/>
      </w:pPr>
      <w:r>
        <w:t xml:space="preserve">ZETA_2 = np.pi**2 / 6  # 1.6449340668...</w:t>
      </w:r>
    </w:p>
    <w:p>
      <w:pPr>
        <w:spacing w:after="200" w:line="276"/>
      </w:pPr>
      <w:r>
        <w:t xml:space="preserve">PHI = (1 + np.sqrt(5)) / 2  # 1.6180339887...</w:t>
      </w:r>
    </w:p>
    <w:p>
      <w:pPr>
        <w:spacing w:after="200" w:line="276"/>
      </w:pPr>
      <w:r>
        <w:t xml:space="preserve">DELTA = ZETA_2 - PHI  # 0.0269000781...</w:t>
      </w:r>
    </w:p>
    <w:p>
      <w:pPr>
        <w:spacing w:after="200" w:line="276"/>
      </w:pPr>
      <w:r>
        <w:t xml:space="preserve"/>
      </w:r>
    </w:p>
    <w:p>
      <w:pPr>
        <w:spacing w:after="200" w:line="276"/>
      </w:pPr>
      <w:r>
        <w:t xml:space="preserve">def N_zeros(T):</w:t>
      </w:r>
    </w:p>
    <w:p>
      <w:pPr>
        <w:spacing w:after="200" w:line="276"/>
      </w:pPr>
      <w:r>
        <w:t xml:space="preserve">    '''Riemann-von Mangoldt formula'''</w:t>
      </w:r>
    </w:p>
    <w:p>
      <w:pPr>
        <w:spacing w:after="200" w:line="276"/>
      </w:pPr>
      <w:r>
        <w:t xml:space="preserve">    if T &lt;= 2*np.pi: return 0</w:t>
      </w:r>
    </w:p>
    <w:p>
      <w:pPr>
        <w:spacing w:after="200" w:line="276"/>
      </w:pPr>
      <w:r>
        <w:t xml:space="preserve">    return (T/(2*np.pi)) * np.log(T/(2*np.pi)) \</w:t>
      </w:r>
    </w:p>
    <w:p>
      <w:pPr>
        <w:spacing w:after="200" w:line="276"/>
      </w:pPr>
      <w:r>
        <w:t xml:space="preserve">           - T/(2*np.pi) + 7/8</w:t>
      </w:r>
    </w:p>
    <w:p>
      <w:pPr>
        <w:spacing w:after="200" w:line="276"/>
      </w:pPr>
      <w:r>
        <w:t xml:space="preserve"/>
      </w:r>
    </w:p>
    <w:p>
      <w:pPr>
        <w:spacing w:after="200" w:line="276"/>
      </w:pPr>
      <w:r>
        <w:t xml:space="preserve">def Q(t):</w:t>
      </w:r>
    </w:p>
    <w:p>
      <w:pPr>
        <w:spacing w:after="200" w:line="276"/>
      </w:pPr>
      <w:r>
        <w:t xml:space="preserve">    '''Zero density'''</w:t>
      </w:r>
    </w:p>
    <w:p>
      <w:pPr>
        <w:spacing w:after="200" w:line="276"/>
      </w:pPr>
      <w:r>
        <w:t xml:space="preserve">    return np.log(t) / (2*np.pi)</w:t>
      </w:r>
    </w:p>
    <w:p>
      <w:pPr>
        <w:spacing w:after="200" w:line="276"/>
      </w:pPr>
      <w:r>
        <w:t xml:space="preserve"/>
      </w:r>
    </w:p>
    <w:p>
      <w:pPr>
        <w:spacing w:after="200" w:line="276"/>
      </w:pPr>
      <w:r>
        <w:t xml:space="preserve">def P(t):</w:t>
      </w:r>
    </w:p>
    <w:p>
      <w:pPr>
        <w:spacing w:after="200" w:line="276"/>
      </w:pPr>
      <w:r>
        <w:t xml:space="preserve">    '''Mean spacing'''</w:t>
      </w:r>
    </w:p>
    <w:p>
      <w:pPr>
        <w:spacing w:after="200" w:line="276"/>
      </w:pPr>
      <w:r>
        <w:t xml:space="preserve">    return 2*np.pi / np.log(t)</w:t>
      </w:r>
    </w:p>
    <w:p>
      <w:pPr>
        <w:spacing w:after="200" w:line="276"/>
      </w:pPr>
      <w:r>
        <w:t xml:space="preserve"/>
      </w:r>
    </w:p>
    <w:p>
      <w:pPr>
        <w:spacing w:after="200" w:line="276"/>
      </w:pPr>
      <w:r>
        <w:t xml:space="preserve">def P_GUE(s):</w:t>
      </w:r>
    </w:p>
    <w:p>
      <w:pPr>
        <w:spacing w:after="200" w:line="276"/>
      </w:pPr>
      <w:r>
        <w:t xml:space="preserve">    '''GUE spacing distribution'''</w:t>
      </w:r>
    </w:p>
    <w:p>
      <w:pPr>
        <w:spacing w:after="200" w:line="276"/>
      </w:pPr>
      <w:r>
        <w:t xml:space="preserve">    return (32/np.pi**2) * s**2 * np.exp(-4*s**2/np.pi)</w:t>
      </w:r>
    </w:p>
    <w:p>
      <w:pPr>
        <w:spacing w:after="200" w:line="276"/>
      </w:pPr>
      <w:r>
        <w:t xml:space="preserve"/>
      </w:r>
    </w:p>
    <w:p>
      <w:pPr>
        <w:spacing w:after="200" w:line="276"/>
      </w:pPr>
      <w:r>
        <w:t xml:space="preserve"># Verify Information Uncertainty Principle</w:t>
      </w:r>
    </w:p>
    <w:p>
      <w:pPr>
        <w:spacing w:after="200" w:line="276"/>
      </w:pPr>
      <w:r>
        <w:t xml:space="preserve">for t in [100, 1000, 10000, 100000]:</w:t>
      </w:r>
    </w:p>
    <w:p>
      <w:pPr>
        <w:spacing w:after="200" w:line="276"/>
      </w:pPr>
      <w:r>
        <w:t xml:space="preserve">    print(f't={t}: Q×P = {Q(t)*P(t):.10f}')</w:t>
      </w:r>
    </w:p>
    <w:p>
      <w:pPr>
        <w:spacing w:after="200" w:line="276"/>
      </w:pPr>
      <w:r>
        <w:t xml:space="preserve"/>
      </w:r>
    </w:p>
    <w:p>
      <w:pPr>
        <w:spacing w:after="200" w:line="276"/>
      </w:pPr>
      <w:r>
        <w:t xml:space="preserve"># Verify holographic form N/r² → ln(r)/π</w:t>
      </w:r>
    </w:p>
    <w:p>
      <w:pPr>
        <w:spacing w:after="200" w:line="276"/>
      </w:pPr>
      <w:r>
        <w:t xml:space="preserve">for r in [10, 100, 1000, 10000]:</w:t>
      </w:r>
    </w:p>
    <w:p>
      <w:pPr>
        <w:spacing w:after="200" w:line="276"/>
      </w:pPr>
      <w:r>
        <w:t xml:space="preserve">    t = r**2</w:t>
      </w:r>
    </w:p>
    <w:p>
      <w:pPr>
        <w:spacing w:after="200" w:line="276"/>
      </w:pPr>
      <w:r>
        <w:t xml:space="preserve">    N = N_zeros(t)</w:t>
      </w:r>
    </w:p>
    <w:p>
      <w:pPr>
        <w:spacing w:after="200" w:line="276"/>
      </w:pPr>
      <w:r>
        <w:t xml:space="preserve">    ratio = N / r**2</w:t>
      </w:r>
    </w:p>
    <w:p>
      <w:pPr>
        <w:spacing w:after="200" w:line="276"/>
      </w:pPr>
      <w:r>
        <w:t xml:space="preserve">    theory = np.log(r) / np.pi</w:t>
      </w:r>
    </w:p>
    <w:p>
      <w:pPr>
        <w:spacing w:after="200" w:line="276"/>
      </w:pPr>
      <w:r>
        <w:t xml:space="preserve">    print(f'r={r}: N/r²={ratio:.4f}, ln(r)/π={theory:.4f}')</w:t>
      </w:r>
    </w:p>
    <w:p>
      <w:pPr>
        <w:spacing w:after="200" w:line="276"/>
      </w:pPr>
      <w:r>
        <w:t xml:space="preserv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Holographic Entropy from the Critical 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Times New Roman" w:cs="Times New Roman" w:eastAsia="Times New Roman" w:hAnsi="Times New Roman"/>
      <w:b/>
      <w:bCs/>
      <w:color w:val="000000"/>
      <w:sz w:val="48"/>
      <w:szCs w:val="48"/>
    </w:rPr>
  </w:style>
  <w:style w:type="paragraph" w:styleId="Heading1">
    <w:name w:val="Heading 1"/>
    <w:basedOn w:val="Normal"/>
    <w:next w:val="Normal"/>
    <w:qFormat/>
    <w:pPr>
      <w:spacing w:before="360" w:after="12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i/>
      <w:iCs/>
      <w:color w:val="000000"/>
      <w:sz w:val="24"/>
      <w:szCs w:val="24"/>
    </w:rPr>
  </w:style>
  <w:style w:type="paragraph" w:styleId="Abstract">
    <w:name w:val="Abstract"/>
    <w:basedOn w:val="Normal"/>
    <w:pPr>
      <w:spacing w:before="120" w:after="120"/>
      <w:ind w:left="720" w:right="720"/>
    </w:pPr>
    <w:rPr>
      <w:rFonts w:ascii="Times New Roman" w:cs="Times New Roman" w:eastAsia="Times New Roman" w:hAnsi="Times New Roman"/>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2025-12-19T09:04:15.541Z</dcterms:created>
  <dcterms:modified xsi:type="dcterms:W3CDTF">2025-12-19T09:04:15.541Z</dcterms:modified>
</cp:coreProperties>
</file>

<file path=docProps/custom.xml><?xml version="1.0" encoding="utf-8"?>
<Properties xmlns="http://schemas.openxmlformats.org/officeDocument/2006/custom-properties" xmlns:vt="http://schemas.openxmlformats.org/officeDocument/2006/docPropsVTypes"/>
</file>