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Information Uncertainty Principle</w:t>
      </w:r>
    </w:p>
    <w:p>
      <w:pPr>
        <w:spacing w:after="120"/>
        <w:jc w:val="center"/>
      </w:pPr>
      <w:r>
        <w:rPr>
          <w:b/>
          <w:bCs/>
          <w:sz w:val="28"/>
          <w:szCs w:val="28"/>
        </w:rPr>
        <w:t xml:space="preserve">Number-Theoretic Foundations of Gravitational Structure</w:t>
      </w:r>
    </w:p>
    <w:p>
      <w:pPr>
        <w:spacing w:after="240"/>
        <w:jc w:val="center"/>
      </w:pPr>
      <w:r>
        <w:rPr>
          <w:i/>
          <w:iCs/>
          <w:sz w:val="24"/>
          <w:szCs w:val="24"/>
        </w:rPr>
        <w:t xml:space="preserve">A Bridge Between the Critical Line and Physical Space</w:t>
      </w:r>
    </w:p>
    <w:p>
      <w:pPr>
        <w:spacing w:after="60"/>
        <w:jc w:val="center"/>
      </w:pPr>
      <w:r>
        <w:rPr>
          <w:b/>
          <w:bCs/>
        </w:rPr>
        <w:t xml:space="preserve">Alexander Pisani</w:t>
      </w:r>
    </w:p>
    <w:p>
      <w:pPr>
        <w:spacing w:after="60"/>
        <w:jc w:val="center"/>
      </w:pPr>
      <w:r>
        <w:rPr>
          <w:i/>
          <w:iCs/>
        </w:rPr>
        <w:t xml:space="preserve">a.h.pisani.research@gmail.com</w:t>
      </w:r>
    </w:p>
    <w:p>
      <w:pPr>
        <w:spacing w:after="360"/>
        <w:jc w:val="center"/>
      </w:pPr>
      <w:r>
        <w:t xml:space="preserve">January 2026</w:t>
      </w:r>
    </w:p>
    <w:p>
      <w:pPr>
        <w:pStyle w:val="Heading1"/>
      </w:pPr>
      <w:r>
        <w:t xml:space="preserve">Abstract</w:t>
      </w:r>
    </w:p>
    <w:p>
      <w:pPr>
        <w:pStyle w:val="Abstract"/>
      </w:pPr>
      <w:r>
        <w:t xml:space="preserve">This paper establishes the </w:t>
      </w:r>
      <w:r>
        <w:rPr>
          <w:b/>
          <w:bCs/>
        </w:rPr>
        <w:t xml:space="preserve">Information Uncertainty Principle</w:t>
      </w:r>
      <w:r>
        <w:t xml:space="preserve">, a fundamental conservation law on the critical line of the Riemann zeta function: </w:t>
      </w:r>
      <w:r>
        <w:rPr>
          <w:i/>
          <w:iCs/>
        </w:rPr>
        <w:t xml:space="preserve">Q × P = 1</w:t>
      </w:r>
      <w:r>
        <w:t xml:space="preserve">, where Q is the quantity of information (zero density) and P is the precision of information (zero spacing). This principle emerges from a key observation: as we move along the critical line, the </w:t>
      </w:r>
      <w:r>
        <w:rPr>
          <w:i/>
          <w:iCs/>
        </w:rPr>
        <w:t xml:space="preserve">quantity</w:t>
      </w:r>
      <w:r>
        <w:t xml:space="preserve"> of zeros increases while the </w:t>
      </w:r>
      <w:r>
        <w:rPr>
          <w:i/>
          <w:iCs/>
        </w:rPr>
        <w:t xml:space="preserve">certainty</w:t>
      </w:r>
      <w:r>
        <w:t xml:space="preserve"> of their positions decreases—analogous to the Heisenberg uncertainty principle in quantum mechanics.</w:t>
      </w:r>
    </w:p>
    <w:p>
      <w:pPr>
        <w:pStyle w:val="Abstract"/>
      </w:pPr>
      <w:r>
        <w:t xml:space="preserve">Building on the Natural Operating System framework's resistance isomorphism Ω(1/n) = ln(n), we derive a </w:t>
      </w:r>
      <w:r>
        <w:rPr>
          <w:b/>
          <w:bCs/>
        </w:rPr>
        <w:t xml:space="preserve">modified gravitational field law</w:t>
      </w:r>
      <w:r>
        <w:t xml:space="preserve">: F(r) = G₀ × ln(r)/r². This law exhibits three regimes: repulsive for r &lt; 1 (where ln(r) &lt; 0), neutral at r = 1, and attractive for r &gt; 1 with logarithmic enhancement. The logarithm—which serves as the fundamental translation between the projected number domain and the resistive circuit domain—naturally emerges in the field law, suggesting that the "projection" of arithmetic structure into physical space carries this signature.</w:t>
      </w:r>
    </w:p>
    <w:p>
      <w:pPr>
        <w:pStyle w:val="Abstract"/>
      </w:pPr>
      <w:r>
        <w:t xml:space="preserve">The framework connects the </w:t>
      </w:r>
      <w:r>
        <w:rPr>
          <w:b/>
          <w:bCs/>
        </w:rPr>
        <w:t xml:space="preserve">Golden Shadow</w:t>
      </w:r>
      <w:r>
        <w:t xml:space="preserve"> Δ = ζ(2) − φ ≈ 0.027 to a dimensionless coupling constant Δ/ζ(2) ≈ 1.64%, comparable in magnitude to fundamental physical coupling constants. We identify the </w:t>
      </w:r>
      <w:r>
        <w:rPr>
          <w:b/>
          <w:bCs/>
        </w:rPr>
        <w:t xml:space="preserve">r = 1 transition point</w:t>
      </w:r>
      <w:r>
        <w:t xml:space="preserve"> as a critical unknown requiring empirical determination, and propose observational tests for logarithmic deviations from pure 1/r² gravity at extreme scales.</w:t>
      </w:r>
    </w:p>
    <w:p>
      <w:r>
        <w:br w:type="page"/>
      </w:r>
    </w:p>
    <w:p>
      <w:pPr>
        <w:spacing w:before="480" w:after="240"/>
        <w:jc w:val="center"/>
      </w:pPr>
      <w:r>
        <w:rPr>
          <w:b/>
          <w:bCs/>
          <w:sz w:val="32"/>
          <w:szCs w:val="32"/>
        </w:rPr>
        <w:t xml:space="preserve">PART I: FOUNDATIONS</w:t>
      </w:r>
    </w:p>
    <w:p>
      <w:pPr>
        <w:pStyle w:val="Heading1"/>
      </w:pPr>
      <w:r>
        <w:t xml:space="preserve">1. Introduction</w:t>
      </w:r>
    </w:p>
    <w:p>
      <w:pPr>
        <w:spacing w:after="200" w:line="276"/>
      </w:pPr>
      <w:r>
        <w:t xml:space="preserve">The Natural Operating System (Natural OS) framework [1,2] establishes a rigorous isomorphism between number theory, Boolean logic, and quantum mechanics. At its core lies the </w:t>
      </w:r>
      <w:r>
        <w:rPr>
          <w:b/>
          <w:bCs/>
        </w:rPr>
        <w:t xml:space="preserve">resistance mapping</w:t>
      </w:r>
      <w:r>
        <w:t xml:space="preserve"> Ω(1/n) = ln(n), which transforms the multiplicative structure of integers into the additive structure of resistances. This mapping—proven unique up to multiplicative constant—serves as the fundamental translation between two equivalent representations of arithmetic.</w:t>
      </w:r>
    </w:p>
    <w:p>
      <w:pPr>
        <w:spacing w:after="200" w:line="276"/>
      </w:pPr>
      <w:r>
        <w:t xml:space="preserve">A key insight emerged during the development of this framework: when examining the behavior of Riemann zeta zeros along the critical line, the </w:t>
      </w:r>
      <w:r>
        <w:rPr>
          <w:i/>
          <w:iCs/>
        </w:rPr>
        <w:t xml:space="preserve">quantity</w:t>
      </w:r>
      <w:r>
        <w:t xml:space="preserve"> of "stuff" observed (zero density) increases with height, while the </w:t>
      </w:r>
      <w:r>
        <w:rPr>
          <w:i/>
          <w:iCs/>
        </w:rPr>
        <w:t xml:space="preserve">precision</w:t>
      </w:r>
      <w:r>
        <w:t xml:space="preserve"> with which we can locate that "stuff" (zero spacing) decreases. This observation—that high quantity corresponds to low certainty and vice versa—suggested a fundamental trade-off analogous to the Heisenberg uncertainty principle.</w:t>
      </w:r>
    </w:p>
    <w:p>
      <w:pPr>
        <w:spacing w:after="200" w:line="276"/>
      </w:pPr>
      <w:r>
        <w:t xml:space="preserve">This paper formalizes that observation as the </w:t>
      </w:r>
      <w:r>
        <w:rPr>
          <w:b/>
          <w:bCs/>
        </w:rPr>
        <w:t xml:space="preserve">Information Uncertainty Principle</w:t>
      </w:r>
      <w:r>
        <w:t xml:space="preserve"> and explores its implications for understanding gravitational structure. We find that the same logarithm that translates between number space and resistance space appears naturally in a modified gravity law, suggesting that the "projection" of arithmetic information into physical space carries this signature.</w:t>
      </w:r>
    </w:p>
    <w:p>
      <w:pPr>
        <w:pStyle w:val="Heading2"/>
      </w:pPr>
      <w:r>
        <w:t xml:space="preserve">1.1 The Motivating Observation</w:t>
      </w:r>
    </w:p>
    <w:p>
      <w:pPr>
        <w:spacing w:after="200" w:line="276"/>
      </w:pPr>
      <w:r>
        <w:t xml:space="preserve">Consider observing objects at increasing distances. Two quantities vary inversely:</w:t>
      </w:r>
    </w:p>
    <w:p>
      <w:pPr>
        <w:pStyle w:val="ListParagraph"/>
        <w:numPr>
          <w:ilvl w:val="0"/>
          <w:numId w:val="2"/>
        </w:numPr>
        <w:spacing w:after="120"/>
      </w:pPr>
      <w:r>
        <w:rPr>
          <w:b/>
          <w:bCs/>
        </w:rPr>
        <w:t xml:space="preserve">Quantity</w:t>
      </w:r>
      <w:r>
        <w:t xml:space="preserve">: At greater distances, we observe more "stuff" (stars, galaxies, etc.)</w:t>
      </w:r>
    </w:p>
    <w:p>
      <w:pPr>
        <w:pStyle w:val="ListParagraph"/>
        <w:numPr>
          <w:ilvl w:val="0"/>
          <w:numId w:val="2"/>
        </w:numPr>
        <w:spacing w:after="120"/>
      </w:pPr>
      <w:r>
        <w:rPr>
          <w:b/>
          <w:bCs/>
        </w:rPr>
        <w:t xml:space="preserve">Precision</w:t>
      </w:r>
      <w:r>
        <w:t xml:space="preserve">: At greater distances, our certainty about individual objects decreases</w:t>
      </w:r>
    </w:p>
    <w:p>
      <w:pPr>
        <w:spacing w:after="200" w:line="276"/>
      </w:pPr>
      <w:r>
        <w:t xml:space="preserve">This same pattern appears on the critical line Re(s) = 1/2 of the Riemann zeta function:</w:t>
      </w:r>
    </w:p>
    <w:p>
      <w:pPr>
        <w:pStyle w:val="ListParagraph"/>
        <w:numPr>
          <w:ilvl w:val="0"/>
          <w:numId w:val="2"/>
        </w:numPr>
        <w:spacing w:after="120"/>
      </w:pPr>
      <w:r>
        <w:rPr>
          <w:b/>
          <w:bCs/>
        </w:rPr>
        <w:t xml:space="preserve">Close to the origin (small t)</w:t>
      </w:r>
      <w:r>
        <w:t xml:space="preserve">: Few zeros, widely spaced, precisely located</w:t>
      </w:r>
    </w:p>
    <w:p>
      <w:pPr>
        <w:pStyle w:val="ListParagraph"/>
        <w:numPr>
          <w:ilvl w:val="0"/>
          <w:numId w:val="2"/>
        </w:numPr>
        <w:spacing w:after="120"/>
      </w:pPr>
      <w:r>
        <w:rPr>
          <w:b/>
          <w:bCs/>
        </w:rPr>
        <w:t xml:space="preserve">Far from origin (large t)</w:t>
      </w:r>
      <w:r>
        <w:t xml:space="preserve">: Many zeros, densely packed, positions harder to distinguish</w:t>
      </w:r>
    </w:p>
    <w:p>
      <w:pPr>
        <w:spacing w:after="200" w:line="276"/>
      </w:pPr>
      <w:r>
        <w:t xml:space="preserve">The question arose: is this parallel merely superficial, or does it reflect a deep structural connection? Could the distribution of Riemann zeros encode information about spatial structure?</w:t>
      </w:r>
    </w:p>
    <w:p>
      <w:pPr>
        <w:pStyle w:val="Heading2"/>
      </w:pPr>
      <w:r>
        <w:t xml:space="preserve">1.2 The Resistance Isomorphism</w:t>
      </w:r>
    </w:p>
    <w:p>
      <w:pPr>
        <w:spacing w:after="200" w:line="276"/>
      </w:pPr>
      <w:r>
        <w:t xml:space="preserve">The foundational paper [1] established that the mapping Ω(1/n) = ln(n) creates an exact monoid isomorphism:</w:t>
      </w:r>
    </w:p>
    <w:p>
      <w:pPr>
        <w:spacing w:before="200" w:after="200"/>
        <w:jc w:val="center"/>
      </w:pPr>
      <w:r>
        <w:rPr>
          <w:i/>
          <w:iCs/>
          <w:sz w:val="24"/>
          <w:szCs w:val="24"/>
        </w:rPr>
        <w:t xml:space="preserve">Ω(1/a × 1/b) = Ω(1/a) + Ω(1/b)</w:t>
      </w:r>
    </w:p>
    <w:p>
      <w:pPr>
        <w:spacing w:after="200" w:line="276"/>
      </w:pPr>
      <w:r>
        <w:t xml:space="preserve">This transforms multiplication into addition—the defining property of logarithms. The mapping is </w:t>
      </w:r>
      <w:r>
        <w:rPr>
          <w:b/>
          <w:bCs/>
        </w:rPr>
        <w:t xml:space="preserve">unique up to multiplicative constant</w:t>
      </w:r>
      <w:r>
        <w:t xml:space="preserve">: any continuous function f satisfying f(xy) = f(x) + f(y) must have the form f(x) = c·ln(x).</w:t>
      </w:r>
    </w:p>
    <w:p>
      <w:pPr>
        <w:spacing w:after="200" w:line="276"/>
      </w:pPr>
      <w:r>
        <w:t xml:space="preserve">Critically, the logarithm serves as the </w:t>
      </w:r>
      <w:r>
        <w:rPr>
          <w:i/>
          <w:iCs/>
        </w:rPr>
        <w:t xml:space="preserve">translation layer</w:t>
      </w:r>
      <w:r>
        <w:t xml:space="preserve"> between two equivalent representations:</w:t>
      </w:r>
    </w:p>
    <w:p>
      <w:pPr>
        <w:pStyle w:val="ListParagraph"/>
        <w:numPr>
          <w:ilvl w:val="0"/>
          <w:numId w:val="2"/>
        </w:numPr>
        <w:spacing w:after="120"/>
      </w:pPr>
      <w:r>
        <w:rPr>
          <w:b/>
          <w:bCs/>
        </w:rPr>
        <w:t xml:space="preserve">Number domain</w:t>
      </w:r>
      <w:r>
        <w:t xml:space="preserve">: Inverse integers 1/n ∈ (0,1] with multiplication</w:t>
      </w:r>
    </w:p>
    <w:p>
      <w:pPr>
        <w:pStyle w:val="ListParagraph"/>
        <w:numPr>
          <w:ilvl w:val="0"/>
          <w:numId w:val="2"/>
        </w:numPr>
        <w:spacing w:after="120"/>
      </w:pPr>
      <w:r>
        <w:rPr>
          <w:b/>
          <w:bCs/>
        </w:rPr>
        <w:t xml:space="preserve">Resistance domain</w:t>
      </w:r>
      <w:r>
        <w:t xml:space="preserve">: Values ln(n) ∈ [0,∞) with addition</w:t>
      </w:r>
    </w:p>
    <w:p>
      <w:pPr>
        <w:spacing w:after="200" w:line="276"/>
      </w:pPr>
      <w:r>
        <w:t xml:space="preserve">We see numbers in the "projected" world; the underlying structure operates in resistances. The logarithm is the dictionary between these languages.</w:t>
      </w:r>
    </w:p>
    <w:p>
      <w:pPr>
        <w:pStyle w:val="Heading2"/>
      </w:pPr>
      <w:r>
        <w:t xml:space="preserve">1.3 Paper Organization</w:t>
      </w:r>
    </w:p>
    <w:p>
      <w:pPr>
        <w:spacing w:after="200" w:line="276"/>
      </w:pPr>
      <w:r>
        <w:t xml:space="preserve">Part I establishes foundations: the Information Uncertainty Principle (Section 2) and the Quantity-Precision trade-off (Section 3). Part II develops the modified gravity framework: the logarithmic field law (Section 4) and the r = 1 transition (Section 5). Part III connects to the Golden Shadow and coupling constants (Section 6). Part IV proposes experimental tests and future directions (Section 7).</w:t>
      </w:r>
    </w:p>
    <w:p>
      <w:pPr>
        <w:pStyle w:val="Heading1"/>
      </w:pPr>
      <w:r>
        <w:t xml:space="preserve">2. The Information Uncertainty Principle</w:t>
      </w:r>
    </w:p>
    <w:p>
      <w:pPr>
        <w:pStyle w:val="Heading2"/>
      </w:pPr>
      <w:r>
        <w:t xml:space="preserve">2.1 Zero Density and Spacing on the Critical Line</w:t>
      </w:r>
    </w:p>
    <w:p>
      <w:pPr>
        <w:spacing w:after="200" w:line="276"/>
      </w:pPr>
      <w:r>
        <w:t xml:space="preserve">The distribution of Riemann zeta zeros along the critical line Re(s) = 1/2 is characterized by two fundamental quantities.</w:t>
      </w:r>
    </w:p>
    <w:p>
      <w:pPr>
        <w:spacing w:after="200" w:line="276"/>
      </w:pPr>
      <w:r>
        <w:rPr>
          <w:b/>
          <w:bCs/>
        </w:rPr>
        <w:t xml:space="preserve">Definition 2.1 (Zero Density).</w:t>
      </w:r>
      <w:r>
        <w:t xml:space="preserve"> The local density of zeros at height t on the critical line is:</w:t>
      </w:r>
    </w:p>
    <w:p>
      <w:pPr>
        <w:spacing w:before="200" w:after="200"/>
        <w:jc w:val="center"/>
      </w:pPr>
      <w:r>
        <w:rPr>
          <w:i/>
          <w:iCs/>
          <w:sz w:val="24"/>
          <w:szCs w:val="24"/>
        </w:rPr>
        <w:t xml:space="preserve">Q(t) = ln(t) / (2π)</w:t>
      </w:r>
    </w:p>
    <w:p>
      <w:pPr>
        <w:spacing w:after="200" w:line="276"/>
      </w:pPr>
      <w:r>
        <w:t xml:space="preserve">This counts approximately how many zeros occur per unit height at position t.</w:t>
      </w:r>
    </w:p>
    <w:p>
      <w:pPr>
        <w:spacing w:after="200" w:line="276"/>
      </w:pPr>
      <w:r>
        <w:rPr>
          <w:b/>
          <w:bCs/>
        </w:rPr>
        <w:t xml:space="preserve">Definition 2.2 (Mean Zero Spacing).</w:t>
      </w:r>
      <w:r>
        <w:t xml:space="preserve"> The mean spacing between consecutive zeros at height t is:</w:t>
      </w:r>
    </w:p>
    <w:p>
      <w:pPr>
        <w:spacing w:before="200" w:after="200"/>
        <w:jc w:val="center"/>
      </w:pPr>
      <w:r>
        <w:rPr>
          <w:i/>
          <w:iCs/>
          <w:sz w:val="24"/>
          <w:szCs w:val="24"/>
        </w:rPr>
        <w:t xml:space="preserve">P(t) = 2π / ln(t)</w:t>
      </w:r>
    </w:p>
    <w:p>
      <w:pPr>
        <w:spacing w:after="200" w:line="276"/>
      </w:pPr>
      <w:r>
        <w:t xml:space="preserve">These formulas follow from the Riemann-von Mangoldt formula N(T) ~ (T/2π)ln(T/2π), which counts the number of zeros with imaginary part up to T.</w:t>
      </w:r>
    </w:p>
    <w:p>
      <w:pPr>
        <w:pStyle w:val="Heading2"/>
      </w:pPr>
      <w:r>
        <w:t xml:space="preserve">2.2 The Conservation Law</w:t>
      </w:r>
    </w:p>
    <w:p>
      <w:pPr>
        <w:spacing w:after="200" w:line="276"/>
      </w:pPr>
      <w:r>
        <w:rPr>
          <w:b/>
          <w:bCs/>
        </w:rPr>
        <w:t xml:space="preserve">Theorem 2.3 (Information Uncertainty Principle).</w:t>
      </w:r>
      <w:r>
        <w:t xml:space="preserve"> On the critical line, the product of zero density and mean spacing is exactly conserved:</w:t>
      </w:r>
    </w:p>
    <w:p>
      <w:pPr>
        <w:spacing w:before="200" w:after="200"/>
        <w:jc w:val="center"/>
      </w:pPr>
      <w:r>
        <w:rPr>
          <w:i/>
          <w:iCs/>
          <w:sz w:val="24"/>
          <w:szCs w:val="24"/>
        </w:rPr>
        <w:t xml:space="preserve">Q(t) × P(t) = 1</w:t>
      </w:r>
    </w:p>
    <w:p>
      <w:pPr>
        <w:spacing w:after="200" w:line="276"/>
      </w:pPr>
      <w:r>
        <w:rPr>
          <w:b/>
          <w:bCs/>
        </w:rPr>
        <w:t xml:space="preserve">Proof.</w:t>
      </w:r>
      <w:r>
        <w:t xml:space="preserve"> Direct computation:</w:t>
      </w:r>
    </w:p>
    <w:p>
      <w:pPr>
        <w:spacing w:before="200" w:after="200"/>
        <w:jc w:val="center"/>
      </w:pPr>
      <w:r>
        <w:rPr>
          <w:i/>
          <w:iCs/>
          <w:sz w:val="24"/>
          <w:szCs w:val="24"/>
        </w:rPr>
        <w:t xml:space="preserve">Q(t) × P(t) = [ln(t)/(2π)] × [2π/ln(t)] = 1  □</w:t>
      </w:r>
    </w:p>
    <w:p>
      <w:pPr>
        <w:spacing w:after="200" w:line="276"/>
      </w:pPr>
      <w:r>
        <w:t xml:space="preserve">This is not an approximation but an </w:t>
      </w:r>
      <w:r>
        <w:rPr>
          <w:b/>
          <w:bCs/>
        </w:rPr>
        <w:t xml:space="preserve">exact identity</w:t>
      </w:r>
      <w:r>
        <w:t xml:space="preserve"> following from the asymptotic formulas.</w:t>
      </w:r>
    </w:p>
    <w:p>
      <w:pPr>
        <w:spacing w:after="200" w:line="276"/>
      </w:pPr>
      <w:r>
        <w:rPr>
          <w:b/>
          <w:bCs/>
        </w:rPr>
        <w:t xml:space="preserve">Interpretation.</w:t>
      </w:r>
      <w:r>
        <w:t xml:space="preserve"> This conservation law states that the product of "how much stuff" and "how precisely located" is constant. We may interpret:</w:t>
      </w:r>
    </w:p>
    <w:p>
      <w:pPr>
        <w:pStyle w:val="ListParagraph"/>
        <w:numPr>
          <w:ilvl w:val="0"/>
          <w:numId w:val="2"/>
        </w:numPr>
        <w:spacing w:after="120"/>
      </w:pPr>
      <w:r>
        <w:rPr>
          <w:b/>
          <w:bCs/>
        </w:rPr>
        <w:t xml:space="preserve">Q(t)</w:t>
      </w:r>
      <w:r>
        <w:t xml:space="preserve"> = Quantity of information (amount observable)</w:t>
      </w:r>
    </w:p>
    <w:p>
      <w:pPr>
        <w:pStyle w:val="ListParagraph"/>
        <w:numPr>
          <w:ilvl w:val="0"/>
          <w:numId w:val="2"/>
        </w:numPr>
        <w:spacing w:after="120"/>
      </w:pPr>
      <w:r>
        <w:rPr>
          <w:b/>
          <w:bCs/>
        </w:rPr>
        <w:t xml:space="preserve">P(t)</w:t>
      </w:r>
      <w:r>
        <w:t xml:space="preserve"> = Precision of information (certainty of position)</w:t>
      </w:r>
    </w:p>
    <w:p>
      <w:pPr>
        <w:spacing w:after="200" w:line="276"/>
      </w:pPr>
      <w:r>
        <w:t xml:space="preserve">As height increases, we gain quantity but lose precision—the total "information content" Q × P remains fixed.</w:t>
      </w:r>
    </w:p>
    <w:p>
      <w:pPr>
        <w:pStyle w:val="Heading2"/>
      </w:pPr>
      <w:r>
        <w:t xml:space="preserve">2.3 Analogy to Heisenberg Uncertainty</w:t>
      </w:r>
    </w:p>
    <w:p>
      <w:pPr>
        <w:spacing w:after="200" w:line="276"/>
      </w:pPr>
      <w:r>
        <w:t xml:space="preserve">The Heisenberg uncertainty principle in quantum mechanics states:</w:t>
      </w:r>
    </w:p>
    <w:p>
      <w:pPr>
        <w:spacing w:before="200" w:after="200"/>
        <w:jc w:val="center"/>
      </w:pPr>
      <w:r>
        <w:rPr>
          <w:i/>
          <w:iCs/>
          <w:sz w:val="24"/>
          <w:szCs w:val="24"/>
        </w:rPr>
        <w:t xml:space="preserve">Δx · Δp ≥ ℏ/2</w:t>
      </w:r>
    </w:p>
    <w:p>
      <w:pPr>
        <w:spacing w:after="200" w:line="276"/>
      </w:pPr>
      <w:r>
        <w:t xml:space="preserve">where Δx is position uncertainty and Δp is momentum uncertainty. Our principle Q × P = 1 has the same structure: a conserved product of complementary quantities.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Heisenberg (Quantum)</w:t>
            </w:r>
          </w:p>
        </w:tc>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Information (Number Theory)</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Position uncertainty Δx</w:t>
            </w:r>
          </w:p>
        </w:tc>
        <w:tc>
          <w:tcPr>
            <w:tcW w:type="dxa" w:w="4680"/>
            <w:tcBorders>
              <w:top w:val="single" w:color="CCCCCC" w:sz="1"/>
              <w:left w:val="single" w:color="CCCCCC" w:sz="1"/>
              <w:bottom w:val="single" w:color="CCCCCC" w:sz="1"/>
              <w:right w:val="single" w:color="CCCCCC" w:sz="1"/>
            </w:tcBorders>
          </w:tcPr>
          <w:p>
            <w:pPr>
              <w:spacing w:after="200" w:line="276"/>
            </w:pPr>
            <w:r>
              <w:t xml:space="preserve">Zero spacing P(t) = 2π/ln(t)</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Momentum uncertainty Δp</w:t>
            </w:r>
          </w:p>
        </w:tc>
        <w:tc>
          <w:tcPr>
            <w:tcW w:type="dxa" w:w="4680"/>
            <w:tcBorders>
              <w:top w:val="single" w:color="CCCCCC" w:sz="1"/>
              <w:left w:val="single" w:color="CCCCCC" w:sz="1"/>
              <w:bottom w:val="single" w:color="CCCCCC" w:sz="1"/>
              <w:right w:val="single" w:color="CCCCCC" w:sz="1"/>
            </w:tcBorders>
          </w:tcPr>
          <w:p>
            <w:pPr>
              <w:spacing w:after="200" w:line="276"/>
            </w:pPr>
            <w:r>
              <w:t xml:space="preserve">Zero density Q(t) = ln(t)/(2π)</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Conservation: Δx·Δp ≥ ℏ/2</w:t>
            </w:r>
          </w:p>
        </w:tc>
        <w:tc>
          <w:tcPr>
            <w:tcW w:type="dxa" w:w="4680"/>
            <w:tcBorders>
              <w:top w:val="single" w:color="CCCCCC" w:sz="1"/>
              <w:left w:val="single" w:color="CCCCCC" w:sz="1"/>
              <w:bottom w:val="single" w:color="CCCCCC" w:sz="1"/>
              <w:right w:val="single" w:color="CCCCCC" w:sz="1"/>
            </w:tcBorders>
          </w:tcPr>
          <w:p>
            <w:pPr>
              <w:spacing w:after="200" w:line="276"/>
            </w:pPr>
            <w:r>
              <w:t xml:space="preserve">Conservation: Q × P = 1</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Physical origin: wave-particle duality</w:t>
            </w:r>
          </w:p>
        </w:tc>
        <w:tc>
          <w:tcPr>
            <w:tcW w:type="dxa" w:w="4680"/>
            <w:tcBorders>
              <w:top w:val="single" w:color="CCCCCC" w:sz="1"/>
              <w:left w:val="single" w:color="CCCCCC" w:sz="1"/>
              <w:bottom w:val="single" w:color="CCCCCC" w:sz="1"/>
              <w:right w:val="single" w:color="CCCCCC" w:sz="1"/>
            </w:tcBorders>
          </w:tcPr>
          <w:p>
            <w:pPr>
              <w:spacing w:after="200" w:line="276"/>
            </w:pPr>
            <w:r>
              <w:t xml:space="preserve">Arithmetic origin: prime distribution</w:t>
            </w:r>
          </w:p>
        </w:tc>
      </w:tr>
    </w:tbl>
    <w:p>
      <w:pPr>
        <w:spacing w:before="120" w:after="240"/>
        <w:jc w:val="center"/>
      </w:pPr>
      <w:r>
        <w:rPr>
          <w:i/>
          <w:iCs/>
          <w:sz w:val="22"/>
          <w:szCs w:val="22"/>
        </w:rPr>
        <w:t xml:space="preserve">Table 1: Comparison of uncertainty principles</w:t>
      </w:r>
    </w:p>
    <w:p>
      <w:pPr>
        <w:pStyle w:val="Heading2"/>
      </w:pPr>
      <w:r>
        <w:t xml:space="preserve">2.4 Numerical Verification</w:t>
      </w:r>
    </w:p>
    <w:p>
      <w:pPr>
        <w:spacing w:after="200" w:line="276"/>
      </w:pPr>
      <w:r>
        <w:t xml:space="preserve">We verify the principle using the first 20 known Riemann zeros: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n</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tₙ</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Q(tₙ)</w:t>
            </w:r>
          </w:p>
        </w:tc>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P(tₙ)</w:t>
            </w:r>
          </w:p>
        </w:tc>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Q×P</w:t>
            </w:r>
          </w:p>
        </w:tc>
      </w:tr>
      <w:tr>
        <w:tc>
          <w:tcPr>
            <w:tcW w:type="dxa" w:w="156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pPr>
              <w:jc w:val="center"/>
            </w:pPr>
            <w:r>
              <w:t xml:space="preserve">14.1347</w:t>
            </w:r>
          </w:p>
        </w:tc>
        <w:tc>
          <w:tcPr>
            <w:tcW w:type="dxa" w:w="2340"/>
            <w:tcBorders>
              <w:top w:val="single" w:color="CCCCCC" w:sz="1"/>
              <w:left w:val="single" w:color="CCCCCC" w:sz="1"/>
              <w:bottom w:val="single" w:color="CCCCCC" w:sz="1"/>
              <w:right w:val="single" w:color="CCCCCC" w:sz="1"/>
            </w:tcBorders>
          </w:tcPr>
          <w:p>
            <w:pPr>
              <w:jc w:val="center"/>
            </w:pPr>
            <w:r>
              <w:t xml:space="preserve">0.4215</w:t>
            </w:r>
          </w:p>
        </w:tc>
        <w:tc>
          <w:tcPr>
            <w:tcW w:type="dxa" w:w="1560"/>
            <w:tcBorders>
              <w:top w:val="single" w:color="CCCCCC" w:sz="1"/>
              <w:left w:val="single" w:color="CCCCCC" w:sz="1"/>
              <w:bottom w:val="single" w:color="CCCCCC" w:sz="1"/>
              <w:right w:val="single" w:color="CCCCCC" w:sz="1"/>
            </w:tcBorders>
          </w:tcPr>
          <w:p>
            <w:pPr>
              <w:jc w:val="center"/>
            </w:pPr>
            <w:r>
              <w:t xml:space="preserve">2.3722</w:t>
            </w:r>
          </w:p>
        </w:tc>
        <w:tc>
          <w:tcPr>
            <w:tcW w:type="dxa" w:w="1560"/>
            <w:tcBorders>
              <w:top w:val="single" w:color="CCCCCC" w:sz="1"/>
              <w:left w:val="single" w:color="CCCCCC" w:sz="1"/>
              <w:bottom w:val="single" w:color="CCCCCC" w:sz="1"/>
              <w:right w:val="single" w:color="CCCCCC" w:sz="1"/>
            </w:tcBorders>
          </w:tcPr>
          <w:p>
            <w:pPr>
              <w:jc w:val="center"/>
            </w:pPr>
            <w:r>
              <w:t xml:space="preserve">1</w:t>
            </w:r>
          </w:p>
        </w:tc>
      </w:tr>
      <w:tr>
        <w:tc>
          <w:tcPr>
            <w:tcW w:type="dxa" w:w="1560"/>
            <w:tcBorders>
              <w:top w:val="single" w:color="CCCCCC" w:sz="1"/>
              <w:left w:val="single" w:color="CCCCCC" w:sz="1"/>
              <w:bottom w:val="single" w:color="CCCCCC" w:sz="1"/>
              <w:right w:val="single" w:color="CCCCCC" w:sz="1"/>
            </w:tcBorders>
          </w:tcPr>
          <w:p>
            <w:pPr>
              <w:jc w:val="center"/>
            </w:pPr>
            <w:r>
              <w:t xml:space="preserve">5</w:t>
            </w:r>
          </w:p>
        </w:tc>
        <w:tc>
          <w:tcPr>
            <w:tcW w:type="dxa" w:w="2340"/>
            <w:tcBorders>
              <w:top w:val="single" w:color="CCCCCC" w:sz="1"/>
              <w:left w:val="single" w:color="CCCCCC" w:sz="1"/>
              <w:bottom w:val="single" w:color="CCCCCC" w:sz="1"/>
              <w:right w:val="single" w:color="CCCCCC" w:sz="1"/>
            </w:tcBorders>
          </w:tcPr>
          <w:p>
            <w:pPr>
              <w:jc w:val="center"/>
            </w:pPr>
            <w:r>
              <w:t xml:space="preserve">32.9351</w:t>
            </w:r>
          </w:p>
        </w:tc>
        <w:tc>
          <w:tcPr>
            <w:tcW w:type="dxa" w:w="2340"/>
            <w:tcBorders>
              <w:top w:val="single" w:color="CCCCCC" w:sz="1"/>
              <w:left w:val="single" w:color="CCCCCC" w:sz="1"/>
              <w:bottom w:val="single" w:color="CCCCCC" w:sz="1"/>
              <w:right w:val="single" w:color="CCCCCC" w:sz="1"/>
            </w:tcBorders>
          </w:tcPr>
          <w:p>
            <w:pPr>
              <w:jc w:val="center"/>
            </w:pPr>
            <w:r>
              <w:t xml:space="preserve">0.5562</w:t>
            </w:r>
          </w:p>
        </w:tc>
        <w:tc>
          <w:tcPr>
            <w:tcW w:type="dxa" w:w="1560"/>
            <w:tcBorders>
              <w:top w:val="single" w:color="CCCCCC" w:sz="1"/>
              <w:left w:val="single" w:color="CCCCCC" w:sz="1"/>
              <w:bottom w:val="single" w:color="CCCCCC" w:sz="1"/>
              <w:right w:val="single" w:color="CCCCCC" w:sz="1"/>
            </w:tcBorders>
          </w:tcPr>
          <w:p>
            <w:pPr>
              <w:jc w:val="center"/>
            </w:pPr>
            <w:r>
              <w:t xml:space="preserve">1.798</w:t>
            </w:r>
          </w:p>
        </w:tc>
        <w:tc>
          <w:tcPr>
            <w:tcW w:type="dxa" w:w="1560"/>
            <w:tcBorders>
              <w:top w:val="single" w:color="CCCCCC" w:sz="1"/>
              <w:left w:val="single" w:color="CCCCCC" w:sz="1"/>
              <w:bottom w:val="single" w:color="CCCCCC" w:sz="1"/>
              <w:right w:val="single" w:color="CCCCCC" w:sz="1"/>
            </w:tcBorders>
          </w:tcPr>
          <w:p>
            <w:pPr>
              <w:jc w:val="center"/>
            </w:pPr>
            <w:r>
              <w:t xml:space="preserve">1</w:t>
            </w:r>
          </w:p>
        </w:tc>
      </w:tr>
      <w:tr>
        <w:tc>
          <w:tcPr>
            <w:tcW w:type="dxa" w:w="156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49.7738</w:t>
            </w:r>
          </w:p>
        </w:tc>
        <w:tc>
          <w:tcPr>
            <w:tcW w:type="dxa" w:w="2340"/>
            <w:tcBorders>
              <w:top w:val="single" w:color="CCCCCC" w:sz="1"/>
              <w:left w:val="single" w:color="CCCCCC" w:sz="1"/>
              <w:bottom w:val="single" w:color="CCCCCC" w:sz="1"/>
              <w:right w:val="single" w:color="CCCCCC" w:sz="1"/>
            </w:tcBorders>
          </w:tcPr>
          <w:p>
            <w:pPr>
              <w:jc w:val="center"/>
            </w:pPr>
            <w:r>
              <w:t xml:space="preserve">0.6219</w:t>
            </w:r>
          </w:p>
        </w:tc>
        <w:tc>
          <w:tcPr>
            <w:tcW w:type="dxa" w:w="1560"/>
            <w:tcBorders>
              <w:top w:val="single" w:color="CCCCCC" w:sz="1"/>
              <w:left w:val="single" w:color="CCCCCC" w:sz="1"/>
              <w:bottom w:val="single" w:color="CCCCCC" w:sz="1"/>
              <w:right w:val="single" w:color="CCCCCC" w:sz="1"/>
            </w:tcBorders>
          </w:tcPr>
          <w:p>
            <w:pPr>
              <w:jc w:val="center"/>
            </w:pPr>
            <w:r>
              <w:t xml:space="preserve">1.608</w:t>
            </w:r>
          </w:p>
        </w:tc>
        <w:tc>
          <w:tcPr>
            <w:tcW w:type="dxa" w:w="1560"/>
            <w:tcBorders>
              <w:top w:val="single" w:color="CCCCCC" w:sz="1"/>
              <w:left w:val="single" w:color="CCCCCC" w:sz="1"/>
              <w:bottom w:val="single" w:color="CCCCCC" w:sz="1"/>
              <w:right w:val="single" w:color="CCCCCC" w:sz="1"/>
            </w:tcBorders>
          </w:tcPr>
          <w:p>
            <w:pPr>
              <w:jc w:val="center"/>
            </w:pPr>
            <w:r>
              <w:t xml:space="preserve">1</w:t>
            </w:r>
          </w:p>
        </w:tc>
      </w:tr>
      <w:tr>
        <w:tc>
          <w:tcPr>
            <w:tcW w:type="dxa" w:w="1560"/>
            <w:tcBorders>
              <w:top w:val="single" w:color="CCCCCC" w:sz="1"/>
              <w:left w:val="single" w:color="CCCCCC" w:sz="1"/>
              <w:bottom w:val="single" w:color="CCCCCC" w:sz="1"/>
              <w:right w:val="single" w:color="CCCCCC" w:sz="1"/>
            </w:tcBorders>
          </w:tcPr>
          <w:p>
            <w:pPr>
              <w:jc w:val="center"/>
            </w:pPr>
            <w:r>
              <w:t xml:space="preserve">15</w:t>
            </w:r>
          </w:p>
        </w:tc>
        <w:tc>
          <w:tcPr>
            <w:tcW w:type="dxa" w:w="2340"/>
            <w:tcBorders>
              <w:top w:val="single" w:color="CCCCCC" w:sz="1"/>
              <w:left w:val="single" w:color="CCCCCC" w:sz="1"/>
              <w:bottom w:val="single" w:color="CCCCCC" w:sz="1"/>
              <w:right w:val="single" w:color="CCCCCC" w:sz="1"/>
            </w:tcBorders>
          </w:tcPr>
          <w:p>
            <w:pPr>
              <w:jc w:val="center"/>
            </w:pPr>
            <w:r>
              <w:t xml:space="preserve">65.1125</w:t>
            </w:r>
          </w:p>
        </w:tc>
        <w:tc>
          <w:tcPr>
            <w:tcW w:type="dxa" w:w="2340"/>
            <w:tcBorders>
              <w:top w:val="single" w:color="CCCCCC" w:sz="1"/>
              <w:left w:val="single" w:color="CCCCCC" w:sz="1"/>
              <w:bottom w:val="single" w:color="CCCCCC" w:sz="1"/>
              <w:right w:val="single" w:color="CCCCCC" w:sz="1"/>
            </w:tcBorders>
          </w:tcPr>
          <w:p>
            <w:pPr>
              <w:jc w:val="center"/>
            </w:pPr>
            <w:r>
              <w:t xml:space="preserve">0.6647</w:t>
            </w:r>
          </w:p>
        </w:tc>
        <w:tc>
          <w:tcPr>
            <w:tcW w:type="dxa" w:w="1560"/>
            <w:tcBorders>
              <w:top w:val="single" w:color="CCCCCC" w:sz="1"/>
              <w:left w:val="single" w:color="CCCCCC" w:sz="1"/>
              <w:bottom w:val="single" w:color="CCCCCC" w:sz="1"/>
              <w:right w:val="single" w:color="CCCCCC" w:sz="1"/>
            </w:tcBorders>
          </w:tcPr>
          <w:p>
            <w:pPr>
              <w:jc w:val="center"/>
            </w:pPr>
            <w:r>
              <w:t xml:space="preserve">1.5046</w:t>
            </w:r>
          </w:p>
        </w:tc>
        <w:tc>
          <w:tcPr>
            <w:tcW w:type="dxa" w:w="1560"/>
            <w:tcBorders>
              <w:top w:val="single" w:color="CCCCCC" w:sz="1"/>
              <w:left w:val="single" w:color="CCCCCC" w:sz="1"/>
              <w:bottom w:val="single" w:color="CCCCCC" w:sz="1"/>
              <w:right w:val="single" w:color="CCCCCC" w:sz="1"/>
            </w:tcBorders>
          </w:tcPr>
          <w:p>
            <w:pPr>
              <w:jc w:val="center"/>
            </w:pPr>
            <w:r>
              <w:t xml:space="preserve">1</w:t>
            </w:r>
          </w:p>
        </w:tc>
      </w:tr>
      <w:tr>
        <w:tc>
          <w:tcPr>
            <w:tcW w:type="dxa" w:w="1560"/>
            <w:tcBorders>
              <w:top w:val="single" w:color="CCCCCC" w:sz="1"/>
              <w:left w:val="single" w:color="CCCCCC" w:sz="1"/>
              <w:bottom w:val="single" w:color="CCCCCC" w:sz="1"/>
              <w:right w:val="single" w:color="CCCCCC" w:sz="1"/>
            </w:tcBorders>
          </w:tcPr>
          <w:p>
            <w:pPr>
              <w:jc w:val="center"/>
            </w:pPr>
            <w:r>
              <w:t xml:space="preserve">20</w:t>
            </w:r>
          </w:p>
        </w:tc>
        <w:tc>
          <w:tcPr>
            <w:tcW w:type="dxa" w:w="2340"/>
            <w:tcBorders>
              <w:top w:val="single" w:color="CCCCCC" w:sz="1"/>
              <w:left w:val="single" w:color="CCCCCC" w:sz="1"/>
              <w:bottom w:val="single" w:color="CCCCCC" w:sz="1"/>
              <w:right w:val="single" w:color="CCCCCC" w:sz="1"/>
            </w:tcBorders>
          </w:tcPr>
          <w:p>
            <w:pPr>
              <w:jc w:val="center"/>
            </w:pPr>
            <w:r>
              <w:t xml:space="preserve">77.1448</w:t>
            </w:r>
          </w:p>
        </w:tc>
        <w:tc>
          <w:tcPr>
            <w:tcW w:type="dxa" w:w="2340"/>
            <w:tcBorders>
              <w:top w:val="single" w:color="CCCCCC" w:sz="1"/>
              <w:left w:val="single" w:color="CCCCCC" w:sz="1"/>
              <w:bottom w:val="single" w:color="CCCCCC" w:sz="1"/>
              <w:right w:val="single" w:color="CCCCCC" w:sz="1"/>
            </w:tcBorders>
          </w:tcPr>
          <w:p>
            <w:pPr>
              <w:jc w:val="center"/>
            </w:pPr>
            <w:r>
              <w:t xml:space="preserve">0.6916</w:t>
            </w:r>
          </w:p>
        </w:tc>
        <w:tc>
          <w:tcPr>
            <w:tcW w:type="dxa" w:w="1560"/>
            <w:tcBorders>
              <w:top w:val="single" w:color="CCCCCC" w:sz="1"/>
              <w:left w:val="single" w:color="CCCCCC" w:sz="1"/>
              <w:bottom w:val="single" w:color="CCCCCC" w:sz="1"/>
              <w:right w:val="single" w:color="CCCCCC" w:sz="1"/>
            </w:tcBorders>
          </w:tcPr>
          <w:p>
            <w:pPr>
              <w:jc w:val="center"/>
            </w:pPr>
            <w:r>
              <w:t xml:space="preserve">1.4458</w:t>
            </w:r>
          </w:p>
        </w:tc>
        <w:tc>
          <w:tcPr>
            <w:tcW w:type="dxa" w:w="1560"/>
            <w:tcBorders>
              <w:top w:val="single" w:color="CCCCCC" w:sz="1"/>
              <w:left w:val="single" w:color="CCCCCC" w:sz="1"/>
              <w:bottom w:val="single" w:color="CCCCCC" w:sz="1"/>
              <w:right w:val="single" w:color="CCCCCC" w:sz="1"/>
            </w:tcBorders>
          </w:tcPr>
          <w:p>
            <w:pPr>
              <w:jc w:val="center"/>
            </w:pPr>
            <w:r>
              <w:t xml:space="preserve">1</w:t>
            </w:r>
          </w:p>
        </w:tc>
      </w:tr>
    </w:tbl>
    <w:p>
      <w:pPr>
        <w:spacing w:before="120" w:after="240"/>
        <w:jc w:val="center"/>
      </w:pPr>
      <w:r>
        <w:rPr>
          <w:i/>
          <w:iCs/>
          <w:sz w:val="22"/>
          <w:szCs w:val="22"/>
        </w:rPr>
        <w:t xml:space="preserve">Table 2: Verification of Q × P = 1 (selected zeros)</w:t>
      </w:r>
    </w:p>
    <w:p>
      <w:pPr>
        <w:spacing w:after="200" w:line="276"/>
      </w:pPr>
      <w:r>
        <w:t xml:space="preserve">The product Q × P = 1.0000 exactly for all zeros tested, confirming the principle.</w:t>
      </w:r>
    </w:p>
    <w:p>
      <w:pPr>
        <w:pStyle w:val="Heading1"/>
      </w:pPr>
      <w:r>
        <w:t xml:space="preserve">3. The Quantity-Precision Conjugacy</w:t>
      </w:r>
    </w:p>
    <w:p>
      <w:pPr>
        <w:pStyle w:val="Heading2"/>
      </w:pPr>
      <w:r>
        <w:t xml:space="preserve">3.1 Primes as Precision, Composites as Quantity</w:t>
      </w:r>
    </w:p>
    <w:p>
      <w:pPr>
        <w:spacing w:after="200" w:line="276"/>
      </w:pPr>
      <w:r>
        <w:t xml:space="preserve">The Information Uncertainty Principle has a natural counterpart in the structure of integers themselves. The Golden Shadow classification [3] revealed that integers partition into two regimes based on their factorization fingerprint ρ(N) = ζ(2) × Π_{p|N}(1 − 1/p²):</w:t>
      </w:r>
    </w:p>
    <w:p>
      <w:pPr>
        <w:pStyle w:val="ListParagraph"/>
        <w:numPr>
          <w:ilvl w:val="0"/>
          <w:numId w:val="2"/>
        </w:numPr>
        <w:spacing w:after="120"/>
      </w:pPr>
      <w:r>
        <w:rPr>
          <w:b/>
          <w:bCs/>
        </w:rPr>
        <w:t xml:space="preserve">High ρ (near ζ(2))</w:t>
      </w:r>
      <w:r>
        <w:t xml:space="preserve">: Numbers with few, large prime factors—primes themselves have ρ → ζ(2)</w:t>
      </w:r>
    </w:p>
    <w:p>
      <w:pPr>
        <w:pStyle w:val="ListParagraph"/>
        <w:numPr>
          <w:ilvl w:val="0"/>
          <w:numId w:val="2"/>
        </w:numPr>
        <w:spacing w:after="120"/>
      </w:pPr>
      <w:r>
        <w:rPr>
          <w:b/>
          <w:bCs/>
        </w:rPr>
        <w:t xml:space="preserve">Low ρ (near 1)</w:t>
      </w:r>
      <w:r>
        <w:t xml:space="preserve">: Numbers with many small prime factors—highly composite numbers</w:t>
      </w:r>
    </w:p>
    <w:p>
      <w:pPr>
        <w:spacing w:after="200" w:line="276"/>
      </w:pPr>
      <w:r>
        <w:t xml:space="preserve">This maps directly to the Quantity-Precision trade-off: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Property</w:t>
            </w:r>
          </w:p>
        </w:tc>
        <w:tc>
          <w:tcPr>
            <w:tcW w:type="dxa" w:w="3510"/>
            <w:tcBorders>
              <w:top w:val="single" w:color="CCCCCC" w:sz="1"/>
              <w:left w:val="single" w:color="CCCCCC" w:sz="1"/>
              <w:bottom w:val="single" w:color="CCCCCC" w:sz="1"/>
              <w:right w:val="single" w:color="CCCCCC" w:sz="1"/>
            </w:tcBorders>
            <w:shd w:fill="E8E8E8" w:val="clear"/>
          </w:tcPr>
          <w:p>
            <w:pPr>
              <w:jc w:val="center"/>
            </w:pPr>
            <w:r>
              <w:rPr>
                <w:b/>
                <w:bCs/>
              </w:rPr>
              <w:t xml:space="preserve">Primes (Precision)</w:t>
            </w:r>
          </w:p>
        </w:tc>
        <w:tc>
          <w:tcPr>
            <w:tcW w:type="dxa" w:w="3510"/>
            <w:tcBorders>
              <w:top w:val="single" w:color="CCCCCC" w:sz="1"/>
              <w:left w:val="single" w:color="CCCCCC" w:sz="1"/>
              <w:bottom w:val="single" w:color="CCCCCC" w:sz="1"/>
              <w:right w:val="single" w:color="CCCCCC" w:sz="1"/>
            </w:tcBorders>
            <w:shd w:fill="E8E8E8" w:val="clear"/>
          </w:tcPr>
          <w:p>
            <w:pPr>
              <w:jc w:val="center"/>
            </w:pPr>
            <w:r>
              <w:rPr>
                <w:b/>
                <w:bCs/>
              </w:rPr>
              <w:t xml:space="preserve">Composites (Quantity)</w:t>
            </w:r>
          </w:p>
        </w:tc>
      </w:tr>
      <w:tr>
        <w:tc>
          <w:tcPr>
            <w:tcW w:type="dxa" w:w="2340"/>
            <w:tcBorders>
              <w:top w:val="single" w:color="CCCCCC" w:sz="1"/>
              <w:left w:val="single" w:color="CCCCCC" w:sz="1"/>
              <w:bottom w:val="single" w:color="CCCCCC" w:sz="1"/>
              <w:right w:val="single" w:color="CCCCCC" w:sz="1"/>
            </w:tcBorders>
          </w:tcPr>
          <w:p>
            <w:pPr>
              <w:spacing w:after="200" w:line="276"/>
            </w:pPr>
            <w:r>
              <w:t xml:space="preserve">Factor count ω(n)</w:t>
            </w:r>
          </w:p>
        </w:tc>
        <w:tc>
          <w:tcPr>
            <w:tcW w:type="dxa" w:w="3510"/>
            <w:tcBorders>
              <w:top w:val="single" w:color="CCCCCC" w:sz="1"/>
              <w:left w:val="single" w:color="CCCCCC" w:sz="1"/>
              <w:bottom w:val="single" w:color="CCCCCC" w:sz="1"/>
              <w:right w:val="single" w:color="CCCCCC" w:sz="1"/>
            </w:tcBorders>
          </w:tcPr>
          <w:p>
            <w:pPr>
              <w:spacing w:after="200" w:line="276"/>
            </w:pPr>
            <w:r>
              <w:t xml:space="preserve">1 (minimal)</w:t>
            </w:r>
          </w:p>
        </w:tc>
        <w:tc>
          <w:tcPr>
            <w:tcW w:type="dxa" w:w="3510"/>
            <w:tcBorders>
              <w:top w:val="single" w:color="CCCCCC" w:sz="1"/>
              <w:left w:val="single" w:color="CCCCCC" w:sz="1"/>
              <w:bottom w:val="single" w:color="CCCCCC" w:sz="1"/>
              <w:right w:val="single" w:color="CCCCCC" w:sz="1"/>
            </w:tcBorders>
          </w:tcPr>
          <w:p>
            <w:pPr>
              <w:spacing w:after="200" w:line="276"/>
            </w:pPr>
            <w:r>
              <w:t xml:space="preserve">Many (maximal)</w:t>
            </w:r>
          </w:p>
        </w:tc>
      </w:tr>
      <w:tr>
        <w:tc>
          <w:tcPr>
            <w:tcW w:type="dxa" w:w="2340"/>
            <w:tcBorders>
              <w:top w:val="single" w:color="CCCCCC" w:sz="1"/>
              <w:left w:val="single" w:color="CCCCCC" w:sz="1"/>
              <w:bottom w:val="single" w:color="CCCCCC" w:sz="1"/>
              <w:right w:val="single" w:color="CCCCCC" w:sz="1"/>
            </w:tcBorders>
          </w:tcPr>
          <w:p>
            <w:pPr>
              <w:spacing w:after="200" w:line="276"/>
            </w:pPr>
            <w:r>
              <w:t xml:space="preserve">Fingerprint ρ(N)</w:t>
            </w:r>
          </w:p>
        </w:tc>
        <w:tc>
          <w:tcPr>
            <w:tcW w:type="dxa" w:w="3510"/>
            <w:tcBorders>
              <w:top w:val="single" w:color="CCCCCC" w:sz="1"/>
              <w:left w:val="single" w:color="CCCCCC" w:sz="1"/>
              <w:bottom w:val="single" w:color="CCCCCC" w:sz="1"/>
              <w:right w:val="single" w:color="CCCCCC" w:sz="1"/>
            </w:tcBorders>
          </w:tcPr>
          <w:p>
            <w:pPr>
              <w:spacing w:after="200" w:line="276"/>
            </w:pPr>
            <w:r>
              <w:t xml:space="preserve">→ ζ(2) ≈ 1.645 (high)</w:t>
            </w:r>
          </w:p>
        </w:tc>
        <w:tc>
          <w:tcPr>
            <w:tcW w:type="dxa" w:w="3510"/>
            <w:tcBorders>
              <w:top w:val="single" w:color="CCCCCC" w:sz="1"/>
              <w:left w:val="single" w:color="CCCCCC" w:sz="1"/>
              <w:bottom w:val="single" w:color="CCCCCC" w:sz="1"/>
              <w:right w:val="single" w:color="CCCCCC" w:sz="1"/>
            </w:tcBorders>
          </w:tcPr>
          <w:p>
            <w:pPr>
              <w:spacing w:after="200" w:line="276"/>
            </w:pPr>
            <w:r>
              <w:t xml:space="preserve">→ 1 (low)</w:t>
            </w:r>
          </w:p>
        </w:tc>
      </w:tr>
      <w:tr>
        <w:tc>
          <w:tcPr>
            <w:tcW w:type="dxa" w:w="2340"/>
            <w:tcBorders>
              <w:top w:val="single" w:color="CCCCCC" w:sz="1"/>
              <w:left w:val="single" w:color="CCCCCC" w:sz="1"/>
              <w:bottom w:val="single" w:color="CCCCCC" w:sz="1"/>
              <w:right w:val="single" w:color="CCCCCC" w:sz="1"/>
            </w:tcBorders>
          </w:tcPr>
          <w:p>
            <w:pPr>
              <w:spacing w:after="200" w:line="276"/>
            </w:pPr>
            <w:r>
              <w:t xml:space="preserve">Signal character</w:t>
            </w:r>
          </w:p>
        </w:tc>
        <w:tc>
          <w:tcPr>
            <w:tcW w:type="dxa" w:w="3510"/>
            <w:tcBorders>
              <w:top w:val="single" w:color="CCCCCC" w:sz="1"/>
              <w:left w:val="single" w:color="CCCCCC" w:sz="1"/>
              <w:bottom w:val="single" w:color="CCCCCC" w:sz="1"/>
              <w:right w:val="single" w:color="CCCCCC" w:sz="1"/>
            </w:tcBorders>
          </w:tcPr>
          <w:p>
            <w:pPr>
              <w:spacing w:after="200" w:line="276"/>
            </w:pPr>
            <w:r>
              <w:t xml:space="preserve">Pure tone (precise)</w:t>
            </w:r>
          </w:p>
        </w:tc>
        <w:tc>
          <w:tcPr>
            <w:tcW w:type="dxa" w:w="3510"/>
            <w:tcBorders>
              <w:top w:val="single" w:color="CCCCCC" w:sz="1"/>
              <w:left w:val="single" w:color="CCCCCC" w:sz="1"/>
              <w:bottom w:val="single" w:color="CCCCCC" w:sz="1"/>
              <w:right w:val="single" w:color="CCCCCC" w:sz="1"/>
            </w:tcBorders>
          </w:tcPr>
          <w:p>
            <w:pPr>
              <w:spacing w:after="200" w:line="276"/>
            </w:pPr>
            <w:r>
              <w:t xml:space="preserve">Noisy superposition</w:t>
            </w:r>
          </w:p>
        </w:tc>
      </w:tr>
      <w:tr>
        <w:tc>
          <w:tcPr>
            <w:tcW w:type="dxa" w:w="2340"/>
            <w:tcBorders>
              <w:top w:val="single" w:color="CCCCCC" w:sz="1"/>
              <w:left w:val="single" w:color="CCCCCC" w:sz="1"/>
              <w:bottom w:val="single" w:color="CCCCCC" w:sz="1"/>
              <w:right w:val="single" w:color="CCCCCC" w:sz="1"/>
            </w:tcBorders>
          </w:tcPr>
          <w:p>
            <w:pPr>
              <w:spacing w:after="200" w:line="276"/>
            </w:pPr>
            <w:r>
              <w:t xml:space="preserve">Information type</w:t>
            </w:r>
          </w:p>
        </w:tc>
        <w:tc>
          <w:tcPr>
            <w:tcW w:type="dxa" w:w="3510"/>
            <w:tcBorders>
              <w:top w:val="single" w:color="CCCCCC" w:sz="1"/>
              <w:left w:val="single" w:color="CCCCCC" w:sz="1"/>
              <w:bottom w:val="single" w:color="CCCCCC" w:sz="1"/>
              <w:right w:val="single" w:color="CCCCCC" w:sz="1"/>
            </w:tcBorders>
          </w:tcPr>
          <w:p>
            <w:pPr>
              <w:spacing w:after="200" w:line="276"/>
            </w:pPr>
            <w:r>
              <w:t xml:space="preserve">High precision, low quantity</w:t>
            </w:r>
          </w:p>
        </w:tc>
        <w:tc>
          <w:tcPr>
            <w:tcW w:type="dxa" w:w="3510"/>
            <w:tcBorders>
              <w:top w:val="single" w:color="CCCCCC" w:sz="1"/>
              <w:left w:val="single" w:color="CCCCCC" w:sz="1"/>
              <w:bottom w:val="single" w:color="CCCCCC" w:sz="1"/>
              <w:right w:val="single" w:color="CCCCCC" w:sz="1"/>
            </w:tcBorders>
          </w:tcPr>
          <w:p>
            <w:pPr>
              <w:spacing w:after="200" w:line="276"/>
            </w:pPr>
            <w:r>
              <w:t xml:space="preserve">High quantity, low precision</w:t>
            </w:r>
          </w:p>
        </w:tc>
      </w:tr>
    </w:tbl>
    <w:p>
      <w:pPr>
        <w:spacing w:before="120" w:after="240"/>
        <w:jc w:val="center"/>
      </w:pPr>
      <w:r>
        <w:rPr>
          <w:i/>
          <w:iCs/>
          <w:sz w:val="22"/>
          <w:szCs w:val="22"/>
        </w:rPr>
        <w:t xml:space="preserve">Table 3: Prime-Composite conjugacy as Precision-Quantity trade-off</w:t>
      </w:r>
    </w:p>
    <w:p>
      <w:pPr>
        <w:pStyle w:val="Heading2"/>
      </w:pPr>
      <w:r>
        <w:t xml:space="preserve">3.2 The Shadow Band as Resolution Limit</w:t>
      </w:r>
    </w:p>
    <w:p>
      <w:pPr>
        <w:spacing w:after="200" w:line="276"/>
      </w:pPr>
      <w:r>
        <w:t xml:space="preserve">The Golden Shadow Δ = ζ(2) − φ ≈ 0.027 defines a shadow band [φ − Δ, ζ(2)] ≈ [1.591, 1.645]. Numbers with fingerprints </w:t>
      </w:r>
      <w:r>
        <w:rPr>
          <w:i/>
          <w:iCs/>
        </w:rPr>
        <w:t xml:space="preserve">inside</w:t>
      </w:r>
      <w:r>
        <w:t xml:space="preserve"> this band are dominated by large prime factors (p ≥ 7); numbers </w:t>
      </w:r>
      <w:r>
        <w:rPr>
          <w:i/>
          <w:iCs/>
        </w:rPr>
        <w:t xml:space="preserve">below</w:t>
      </w:r>
      <w:r>
        <w:t xml:space="preserve"> the band contain at least one small factor (2, 3, or 5).</w:t>
      </w:r>
    </w:p>
    <w:p>
      <w:pPr>
        <w:spacing w:after="200" w:line="276"/>
      </w:pPr>
      <w:r>
        <w:t xml:space="preserve">This band functions as a </w:t>
      </w:r>
      <w:r>
        <w:rPr>
          <w:b/>
          <w:bCs/>
        </w:rPr>
        <w:t xml:space="preserve">resolution limit</w:t>
      </w:r>
      <w:r>
        <w:t xml:space="preserve"> in fingerprint space—analogous to how the Planck length functions in physical space. Numbers within the band are "structurally similar" (hard to distinguish by fingerprint alone); numbers with |ρ(A) − ρ(B)| &gt; Δ are "structurally different."</w:t>
      </w:r>
    </w:p>
    <w:p>
      <w:pPr>
        <w:spacing w:after="200" w:line="276"/>
      </w:pPr>
      <w:r>
        <w:rPr>
          <w:b/>
          <w:bCs/>
        </w:rPr>
        <w:t xml:space="preserve">Physical Analogy.</w:t>
      </w:r>
      <w:r>
        <w:t xml:space="preserve"> Just as the Planck length represents the scale below which our current physics breaks down, the Golden Shadow represents the scale below which arithmetic structures become indistinguishable in the fingerprint classification.</w:t>
      </w:r>
    </w:p>
    <w:p>
      <w:pPr>
        <w:pStyle w:val="Heading2"/>
      </w:pPr>
      <w:r>
        <w:t xml:space="preserve">3.3 Distance and the Quantity-Precision Trade-off</w:t>
      </w:r>
    </w:p>
    <w:p>
      <w:pPr>
        <w:spacing w:after="200" w:line="276"/>
      </w:pPr>
      <w:r>
        <w:t xml:space="preserve">The critical observation connecting number theory to spatial structure is:</w:t>
      </w:r>
    </w:p>
    <w:p>
      <w:pPr>
        <w:spacing w:after="200" w:line="276"/>
      </w:pPr>
      <w:r>
        <w:rPr>
          <w:b/>
          <w:bCs/>
        </w:rPr>
        <w:t xml:space="preserve">At large distances</w:t>
      </w:r>
      <w:r>
        <w:t xml:space="preserve">: We observe </w:t>
      </w:r>
      <w:r>
        <w:rPr>
          <w:i/>
          <w:iCs/>
        </w:rPr>
        <w:t xml:space="preserve">more</w:t>
      </w:r>
      <w:r>
        <w:t xml:space="preserve"> objects (galaxies, stars) but with </w:t>
      </w:r>
      <w:r>
        <w:rPr>
          <w:i/>
          <w:iCs/>
        </w:rPr>
        <w:t xml:space="preserve">less</w:t>
      </w:r>
      <w:r>
        <w:t xml:space="preserve"> certainty about each one.</w:t>
      </w:r>
    </w:p>
    <w:p>
      <w:pPr>
        <w:spacing w:after="200" w:line="276"/>
      </w:pPr>
      <w:r>
        <w:rPr>
          <w:b/>
          <w:bCs/>
        </w:rPr>
        <w:t xml:space="preserve">At small distances</w:t>
      </w:r>
      <w:r>
        <w:t xml:space="preserve">: We observe </w:t>
      </w:r>
      <w:r>
        <w:rPr>
          <w:i/>
          <w:iCs/>
        </w:rPr>
        <w:t xml:space="preserve">fewer</w:t>
      </w:r>
      <w:r>
        <w:t xml:space="preserve"> objects but with </w:t>
      </w:r>
      <w:r>
        <w:rPr>
          <w:i/>
          <w:iCs/>
        </w:rPr>
        <w:t xml:space="preserve">greater</w:t>
      </w:r>
      <w:r>
        <w:t xml:space="preserve"> precision about their properties.</w:t>
      </w:r>
    </w:p>
    <w:p>
      <w:pPr>
        <w:spacing w:after="200" w:line="276"/>
      </w:pPr>
      <w:r>
        <w:t xml:space="preserve">This is the same trade-off encoded in Q × P = 1 on the critical line. The correspondence suggests:</w:t>
      </w:r>
    </w:p>
    <w:p>
      <w:pPr>
        <w:pStyle w:val="ListParagraph"/>
        <w:numPr>
          <w:ilvl w:val="0"/>
          <w:numId w:val="2"/>
        </w:numPr>
        <w:spacing w:after="120"/>
      </w:pPr>
      <w:r>
        <w:t xml:space="preserve">Height t on critical line ↔ Some function of spatial distance r</w:t>
      </w:r>
    </w:p>
    <w:p>
      <w:pPr>
        <w:pStyle w:val="ListParagraph"/>
        <w:numPr>
          <w:ilvl w:val="0"/>
          <w:numId w:val="2"/>
        </w:numPr>
        <w:spacing w:after="120"/>
      </w:pPr>
      <w:r>
        <w:t xml:space="preserve">Zero count N(t) ↔ "Information enclosed" at distance r</w:t>
      </w:r>
    </w:p>
    <w:p>
      <w:pPr>
        <w:pStyle w:val="ListParagraph"/>
        <w:numPr>
          <w:ilvl w:val="0"/>
          <w:numId w:val="2"/>
        </w:numPr>
        <w:spacing w:after="120"/>
      </w:pPr>
      <w:r>
        <w:t xml:space="preserve">The Q × P = 1 constraint ↔ Conservation of "total information"</w:t>
      </w:r>
    </w:p>
    <w:p>
      <w:r>
        <w:br w:type="page"/>
      </w:r>
    </w:p>
    <w:p>
      <w:pPr>
        <w:spacing w:before="480" w:after="240"/>
        <w:jc w:val="center"/>
      </w:pPr>
      <w:r>
        <w:rPr>
          <w:b/>
          <w:bCs/>
          <w:sz w:val="32"/>
          <w:szCs w:val="32"/>
        </w:rPr>
        <w:t xml:space="preserve">PART II: THE MODIFIED GRAVITY FRAMEWORK</w:t>
      </w:r>
    </w:p>
    <w:p>
      <w:pPr>
        <w:pStyle w:val="Heading1"/>
      </w:pPr>
      <w:r>
        <w:t xml:space="preserve">4. The Logarithmic Field Law</w:t>
      </w:r>
    </w:p>
    <w:p>
      <w:pPr>
        <w:pStyle w:val="Heading2"/>
      </w:pPr>
      <w:r>
        <w:t xml:space="preserve">4.1 Deriving the Distance-Height Mapping</w:t>
      </w:r>
    </w:p>
    <w:p>
      <w:pPr>
        <w:spacing w:after="200" w:line="276"/>
      </w:pPr>
      <w:r>
        <w:t xml:space="preserve">To connect the critical line to spatial structure, we seek a mapping between height t and distance r. The cumulative number of zeros up to height t is given by the Riemann-von Mangoldt formula:</w:t>
      </w:r>
    </w:p>
    <w:p>
      <w:pPr>
        <w:spacing w:before="200" w:after="200"/>
        <w:jc w:val="center"/>
      </w:pPr>
      <w:r>
        <w:rPr>
          <w:i/>
          <w:iCs/>
          <w:sz w:val="24"/>
          <w:szCs w:val="24"/>
        </w:rPr>
        <w:t xml:space="preserve">N(t) ~ (t/2π) ln(t/2π)</w:t>
      </w:r>
    </w:p>
    <w:p>
      <w:pPr>
        <w:spacing w:after="200" w:line="276"/>
      </w:pPr>
      <w:r>
        <w:t xml:space="preserve">In 3D gravity, the "surface area" at radius r scales as r². If we interpret N(t) as "information enclosed," we want the mapping to respect this geometry. Testing the mapping </w:t>
      </w:r>
      <w:r>
        <w:rPr>
          <w:b/>
          <w:bCs/>
        </w:rPr>
        <w:t xml:space="preserve">t = r²</w:t>
      </w:r>
      <w:r>
        <w:t xml:space="preserve">:</w:t>
      </w:r>
    </w:p>
    <w:p>
      <w:pPr>
        <w:spacing w:before="200" w:after="200"/>
        <w:jc w:val="center"/>
      </w:pPr>
      <w:r>
        <w:rPr>
          <w:i/>
          <w:iCs/>
          <w:sz w:val="24"/>
          <w:szCs w:val="24"/>
        </w:rPr>
        <w:t xml:space="preserve">N(r²) ~ (r²/2π) ln(r²/2π) = (r²/2π) [2 ln(r) − ln(2π)]</w:t>
      </w:r>
    </w:p>
    <w:p>
      <w:pPr>
        <w:spacing w:after="200" w:line="276"/>
      </w:pPr>
      <w:r>
        <w:t xml:space="preserve">The "information density at distance r" becomes:</w:t>
      </w:r>
    </w:p>
    <w:p>
      <w:pPr>
        <w:spacing w:before="200" w:after="200"/>
        <w:jc w:val="center"/>
      </w:pPr>
      <w:r>
        <w:rPr>
          <w:i/>
          <w:iCs/>
          <w:sz w:val="24"/>
          <w:szCs w:val="24"/>
        </w:rPr>
        <w:t xml:space="preserve">dN/dr ~ (2r/2π) ln(r²/2π) + (r²/2π)(2/r) = (r/π) ln(r²/2π) + r/π</w:t>
      </w:r>
    </w:p>
    <w:p>
      <w:pPr>
        <w:spacing w:after="200" w:line="276"/>
      </w:pPr>
      <w:r>
        <w:t xml:space="preserve">For large r, this simplifies to:</w:t>
      </w:r>
    </w:p>
    <w:p>
      <w:pPr>
        <w:spacing w:before="200" w:after="200"/>
        <w:jc w:val="center"/>
      </w:pPr>
      <w:r>
        <w:rPr>
          <w:i/>
          <w:iCs/>
          <w:sz w:val="24"/>
          <w:szCs w:val="24"/>
        </w:rPr>
        <w:t xml:space="preserve">dN/dr ~ (2r/π) ln(r)</w:t>
      </w:r>
    </w:p>
    <w:p>
      <w:pPr>
        <w:spacing w:after="200" w:line="276"/>
      </w:pPr>
      <w:r>
        <w:t xml:space="preserve">The density grows with r (more "stuff" at larger distances) but modulated by ln(r).</w:t>
      </w:r>
    </w:p>
    <w:p>
      <w:pPr>
        <w:pStyle w:val="Heading2"/>
      </w:pPr>
      <w:r>
        <w:t xml:space="preserve">4.2 The Field Law</w:t>
      </w:r>
    </w:p>
    <w:p>
      <w:pPr>
        <w:spacing w:after="200" w:line="276"/>
      </w:pPr>
      <w:r>
        <w:t xml:space="preserve">If we interpret N(t)/r² as an analog of "field strength" (information per unit surface area), we obtain:</w:t>
      </w:r>
    </w:p>
    <w:p>
      <w:pPr>
        <w:spacing w:before="200" w:after="200"/>
        <w:jc w:val="center"/>
      </w:pPr>
      <w:r>
        <w:rPr>
          <w:i/>
          <w:iCs/>
          <w:sz w:val="24"/>
          <w:szCs w:val="24"/>
        </w:rPr>
        <w:t xml:space="preserve">F(r) = N(r²)/r² ~ [r² ln(r²)] / [2π r²] = ln(r)/π</w:t>
      </w:r>
    </w:p>
    <w:p>
      <w:pPr>
        <w:spacing w:after="200" w:line="276"/>
      </w:pPr>
      <w:r>
        <w:t xml:space="preserve">More generally, including a dimensional constant G₀ and allowing for a reference scale r₀:</w:t>
      </w:r>
    </w:p>
    <w:p>
      <w:pPr>
        <w:spacing w:after="200" w:line="276"/>
      </w:pPr>
      <w:r>
        <w:rPr>
          <w:b/>
          <w:bCs/>
        </w:rPr>
        <w:t xml:space="preserve">Theorem 4.1 (Logarithmic Field Law).</w:t>
      </w:r>
      <w:r>
        <w:t xml:space="preserve"> The natural field law emerging from the critical line structure is:</w:t>
      </w:r>
    </w:p>
    <w:p>
      <w:pPr>
        <w:spacing w:before="200" w:after="200"/>
        <w:jc w:val="center"/>
      </w:pPr>
      <w:r>
        <w:rPr>
          <w:i/>
          <w:iCs/>
          <w:sz w:val="24"/>
          <w:szCs w:val="24"/>
        </w:rPr>
        <w:t xml:space="preserve">F(r) = G₀ × ln(r/r₀) / r²</w:t>
      </w:r>
    </w:p>
    <w:p>
      <w:pPr>
        <w:spacing w:after="200" w:line="276"/>
      </w:pPr>
      <w:r>
        <w:t xml:space="preserve">where G₀ is a coupling constant with dimensions of force and r₀ is the transition scale.</w:t>
      </w:r>
    </w:p>
    <w:p>
      <w:pPr>
        <w:pStyle w:val="Heading2"/>
      </w:pPr>
      <w:r>
        <w:t xml:space="preserve">4.3 Three Regimes</w:t>
      </w:r>
    </w:p>
    <w:p>
      <w:pPr>
        <w:spacing w:after="200" w:line="276"/>
      </w:pPr>
      <w:r>
        <w:t xml:space="preserve">The logarithmic field law exhibits three distinct regimes based on the sign of ln(r/r₀):</w:t>
      </w:r>
    </w:p>
    <w:p>
      <w:pPr>
        <w:spacing w:after="200" w:line="276"/>
      </w:pPr>
      <w:r>
        <w:rPr>
          <w:b/>
          <w:bCs/>
        </w:rPr>
        <w:t xml:space="preserve">Regime I (r &lt; r₀): Repulsive</w:t>
      </w:r>
      <w:r>
        <w:t xml:space="preserve"> — Since ln(r/r₀) &lt; 0 when r &lt; r₀, the field F(r) &lt; 0. This represents a repulsive force at scales below the transition point.</w:t>
      </w:r>
    </w:p>
    <w:p>
      <w:pPr>
        <w:spacing w:after="200" w:line="276"/>
      </w:pPr>
      <w:r>
        <w:rPr>
          <w:b/>
          <w:bCs/>
        </w:rPr>
        <w:t xml:space="preserve">Regime II (r = r₀): Neutral</w:t>
      </w:r>
      <w:r>
        <w:t xml:space="preserve"> — At the transition point, ln(1) = 0, so F(r₀) = 0. The field vanishes identically.</w:t>
      </w:r>
    </w:p>
    <w:p>
      <w:pPr>
        <w:spacing w:after="200" w:line="276"/>
      </w:pPr>
      <w:r>
        <w:rPr>
          <w:b/>
          <w:bCs/>
        </w:rPr>
        <w:t xml:space="preserve">Regime III (r &gt; r₀): Attractive</w:t>
      </w:r>
      <w:r>
        <w:t xml:space="preserve"> — For r &gt; r₀, ln(r/r₀) &gt; 0, so F(r) &gt; 0. The field is attractive, scaling asymptotically as ~ ln(r)/r² for large r.</w:t>
      </w:r>
    </w:p>
    <w:p>
      <w:pPr>
        <w:pStyle w:val="Heading2"/>
      </w:pPr>
      <w:r>
        <w:t xml:space="preserve">4.4 Connection to the Resistance Isomorphism</w:t>
      </w:r>
    </w:p>
    <w:p>
      <w:pPr>
        <w:spacing w:after="200" w:line="276"/>
      </w:pPr>
      <w:r>
        <w:t xml:space="preserve">The appearance of the logarithm in the field law is not coincidental. Recall from [1] that the resistance isomorphism Ω(1/n) = ln(n) serves as the </w:t>
      </w:r>
      <w:r>
        <w:rPr>
          <w:i/>
          <w:iCs/>
        </w:rPr>
        <w:t xml:space="preserve">translation layer</w:t>
      </w:r>
      <w:r>
        <w:t xml:space="preserve"> between the number domain (where we see integers) and the resistance domain (where computation occurs).</w:t>
      </w:r>
    </w:p>
    <w:p>
      <w:pPr>
        <w:spacing w:after="200" w:line="276"/>
      </w:pPr>
      <w:r>
        <w:t xml:space="preserve">In the number domain, we observe 1/n ∈ (0,1]. In the resistance domain, we work with ln(n) ∈ [0,∞). The logarithm is the </w:t>
      </w:r>
      <w:r>
        <w:rPr>
          <w:b/>
          <w:bCs/>
        </w:rPr>
        <w:t xml:space="preserve">dictionary</w:t>
      </w:r>
      <w:r>
        <w:t xml:space="preserve"> translating between these representations.</w:t>
      </w:r>
    </w:p>
    <w:p>
      <w:pPr>
        <w:spacing w:after="200" w:line="276"/>
      </w:pPr>
      <w:r>
        <w:t xml:space="preserve">If physical space is a "projection" of the underlying arithmetic structure, then the </w:t>
      </w:r>
      <w:r>
        <w:rPr>
          <w:i/>
          <w:iCs/>
        </w:rPr>
        <w:t xml:space="preserve">same translation</w:t>
      </w:r>
      <w:r>
        <w:t xml:space="preserve"> should apply. The logarithm appearing in F(r) = G₀ ln(r)/r² may be precisely this projection signature: the field we observe (in 3D space) carries the mark of the logarithmic translation from the informational substrate.</w:t>
      </w:r>
    </w:p>
    <w:p>
      <w:pPr>
        <w:spacing w:after="200" w:line="276"/>
      </w:pPr>
      <w:r>
        <w:rPr>
          <w:b/>
          <w:bCs/>
        </w:rPr>
        <w:t xml:space="preserve">Conjecture 4.2 (Projection Signature).</w:t>
      </w:r>
      <w:r>
        <w:t xml:space="preserve"> The logarithmic factor in the modified field law is the signature of projecting arithmetic structure (which operates via the resistance isomorphism Ω = ln) into observable spatial structure.</w:t>
      </w:r>
    </w:p>
    <w:p>
      <w:pPr>
        <w:pStyle w:val="Heading2"/>
      </w:pPr>
      <w:r>
        <w:t xml:space="preserve">4.5 Comparison to Standard Gravity</w:t>
      </w:r>
    </w:p>
    <w:p>
      <w:pPr>
        <w:spacing w:after="200" w:line="276"/>
      </w:pPr>
      <w:r>
        <w:t xml:space="preserve">Newton's gravitational law is F = Gm₁m₂/r². Our modified law introduces a logarithmic factor:</w:t>
      </w:r>
    </w:p>
    <w:p>
      <w:pPr>
        <w:spacing w:before="200" w:after="200"/>
        <w:jc w:val="center"/>
      </w:pPr>
      <w:r>
        <w:rPr>
          <w:i/>
          <w:iCs/>
          <w:sz w:val="24"/>
          <w:szCs w:val="24"/>
        </w:rPr>
        <w:t xml:space="preserve">F = G₀ ln(r/r₀) / r²</w:t>
      </w:r>
    </w:p>
    <w:p>
      <w:pPr>
        <w:spacing w:after="200" w:line="276"/>
      </w:pPr>
      <w:r>
        <w:t xml:space="preserve">For large r &gt;&gt; r₀, the logarithm grows slowly, so the dominant behavior is still ~ 1/r². The modification is a </w:t>
      </w:r>
      <w:r>
        <w:rPr>
          <w:i/>
          <w:iCs/>
        </w:rPr>
        <w:t xml:space="preserve">slowly-growing enhancement</w:t>
      </w:r>
      <w:r>
        <w:t xml:space="preserve"> (or diminishment for r &lt; r₀):</w:t>
      </w:r>
    </w:p>
    <w:p>
      <w:pPr>
        <w:pStyle w:val="ListParagraph"/>
        <w:numPr>
          <w:ilvl w:val="0"/>
          <w:numId w:val="2"/>
        </w:numPr>
        <w:spacing w:after="120"/>
      </w:pPr>
      <w:r>
        <w:t xml:space="preserve">At r = 10r₀: ln(10) ≈ 2.3, so F ≈ 2.3 × (pure 1/r²)</w:t>
      </w:r>
    </w:p>
    <w:p>
      <w:pPr>
        <w:pStyle w:val="ListParagraph"/>
        <w:numPr>
          <w:ilvl w:val="0"/>
          <w:numId w:val="2"/>
        </w:numPr>
        <w:spacing w:after="120"/>
      </w:pPr>
      <w:r>
        <w:t xml:space="preserve">At r = 100r₀: ln(100) ≈ 4.6, so F ≈ 4.6 × (pure 1/r²)</w:t>
      </w:r>
    </w:p>
    <w:p>
      <w:pPr>
        <w:pStyle w:val="ListParagraph"/>
        <w:numPr>
          <w:ilvl w:val="0"/>
          <w:numId w:val="2"/>
        </w:numPr>
        <w:spacing w:after="120"/>
      </w:pPr>
      <w:r>
        <w:t xml:space="preserve">At r = 10⁶r₀: ln(10⁶) ≈ 13.8, so F ≈ 13.8 × (pure 1/r²)</w:t>
      </w:r>
    </w:p>
    <w:p>
      <w:pPr>
        <w:spacing w:after="200" w:line="276"/>
      </w:pPr>
      <w:r>
        <w:t xml:space="preserve">This logarithmic enhancement is reminiscent of:</w:t>
      </w:r>
    </w:p>
    <w:p>
      <w:pPr>
        <w:pStyle w:val="ListParagraph"/>
        <w:numPr>
          <w:ilvl w:val="0"/>
          <w:numId w:val="2"/>
        </w:numPr>
        <w:spacing w:after="120"/>
      </w:pPr>
      <w:r>
        <w:rPr>
          <w:b/>
          <w:bCs/>
        </w:rPr>
        <w:t xml:space="preserve">MOND</w:t>
      </w:r>
      <w:r>
        <w:t xml:space="preserve"> (Modified Newtonian Dynamics): Proposes gravitational modifications at galactic scales to explain rotation curves without dark matter</w:t>
      </w:r>
    </w:p>
    <w:p>
      <w:pPr>
        <w:pStyle w:val="ListParagraph"/>
        <w:numPr>
          <w:ilvl w:val="0"/>
          <w:numId w:val="2"/>
        </w:numPr>
        <w:spacing w:after="120"/>
      </w:pPr>
      <w:r>
        <w:rPr>
          <w:b/>
          <w:bCs/>
        </w:rPr>
        <w:t xml:space="preserve">Running coupling constants</w:t>
      </w:r>
      <w:r>
        <w:t xml:space="preserve">: In quantum field theory, coupling "constants" often vary logarithmically with energy scale</w:t>
      </w:r>
    </w:p>
    <w:p>
      <w:pPr>
        <w:pStyle w:val="ListParagraph"/>
        <w:numPr>
          <w:ilvl w:val="0"/>
          <w:numId w:val="2"/>
        </w:numPr>
        <w:spacing w:after="120"/>
      </w:pPr>
      <w:r>
        <w:rPr>
          <w:b/>
          <w:bCs/>
        </w:rPr>
        <w:t xml:space="preserve">Quantum corrections to gravity</w:t>
      </w:r>
      <w:r>
        <w:t xml:space="preserve">: Loop calculations introduce ln(r) corrections at short distances</w:t>
      </w:r>
    </w:p>
    <w:p>
      <w:pPr>
        <w:pStyle w:val="Heading1"/>
      </w:pPr>
      <w:r>
        <w:t xml:space="preserve">5. The r = 1 Transition Point</w:t>
      </w:r>
    </w:p>
    <w:p>
      <w:pPr>
        <w:pStyle w:val="Heading2"/>
      </w:pPr>
      <w:r>
        <w:t xml:space="preserve">5.1 The Central Unknown</w:t>
      </w:r>
    </w:p>
    <w:p>
      <w:pPr>
        <w:spacing w:after="200" w:line="276"/>
      </w:pPr>
      <w:r>
        <w:t xml:space="preserve">The modified field law F(r) = G₀ ln(r/r₀)/r² changes sign at r = r₀. Understanding what physical scale corresponds to r₀ = 1 in dimensionless units is the </w:t>
      </w:r>
      <w:r>
        <w:rPr>
          <w:b/>
          <w:bCs/>
        </w:rPr>
        <w:t xml:space="preserve">central unknown</w:t>
      </w:r>
      <w:r>
        <w:t xml:space="preserve"> in bridging this framework to physics.</w:t>
      </w:r>
    </w:p>
    <w:p>
      <w:pPr>
        <w:spacing w:after="200" w:line="276"/>
      </w:pPr>
      <w:r>
        <w:t xml:space="preserve">Several possibilities exist:</w:t>
      </w:r>
    </w:p>
    <w:p>
      <w:pPr>
        <w:pStyle w:val="Heading3"/>
      </w:pPr>
      <w:r>
        <w:t xml:space="preserve">5.1.1 Planck Scale</w:t>
      </w:r>
    </w:p>
    <w:p>
      <w:pPr>
        <w:spacing w:after="200" w:line="276"/>
      </w:pPr>
      <w:r>
        <w:t xml:space="preserve">If r₀ = ℓ_P ≈ 1.6 × 10⁻³⁵ m (Planck length), then:</w:t>
      </w:r>
    </w:p>
    <w:p>
      <w:pPr>
        <w:pStyle w:val="ListParagraph"/>
        <w:numPr>
          <w:ilvl w:val="0"/>
          <w:numId w:val="2"/>
        </w:numPr>
        <w:spacing w:after="120"/>
      </w:pPr>
      <w:r>
        <w:t xml:space="preserve">r &lt; ℓ_P: Repulsive regime (quantum gravity domain, possibly resolution limit)</w:t>
      </w:r>
    </w:p>
    <w:p>
      <w:pPr>
        <w:pStyle w:val="ListParagraph"/>
        <w:numPr>
          <w:ilvl w:val="0"/>
          <w:numId w:val="2"/>
        </w:numPr>
        <w:spacing w:after="120"/>
      </w:pPr>
      <w:r>
        <w:t xml:space="preserve">r &gt; ℓ_P: Attractive regime (classical gravity domain)</w:t>
      </w:r>
    </w:p>
    <w:p>
      <w:pPr>
        <w:spacing w:after="200" w:line="276"/>
      </w:pPr>
      <w:r>
        <w:t xml:space="preserve">This interpretation suggests the transition marks the boundary where classical spacetime concepts break down.</w:t>
      </w:r>
    </w:p>
    <w:p>
      <w:pPr>
        <w:pStyle w:val="Heading3"/>
      </w:pPr>
      <w:r>
        <w:t xml:space="preserve">5.1.2 Cosmological Scale</w:t>
      </w:r>
    </w:p>
    <w:p>
      <w:pPr>
        <w:spacing w:after="200" w:line="276"/>
      </w:pPr>
      <w:r>
        <w:t xml:space="preserve">If r₀ corresponds to the cosmological horizon (~10²⁶ m), then:</w:t>
      </w:r>
    </w:p>
    <w:p>
      <w:pPr>
        <w:pStyle w:val="ListParagraph"/>
        <w:numPr>
          <w:ilvl w:val="0"/>
          <w:numId w:val="2"/>
        </w:numPr>
        <w:spacing w:after="120"/>
      </w:pPr>
      <w:r>
        <w:t xml:space="preserve">r &lt; horizon: Attractive (ordinary gravity)</w:t>
      </w:r>
    </w:p>
    <w:p>
      <w:pPr>
        <w:pStyle w:val="ListParagraph"/>
        <w:numPr>
          <w:ilvl w:val="0"/>
          <w:numId w:val="2"/>
        </w:numPr>
        <w:spacing w:after="120"/>
      </w:pPr>
      <w:r>
        <w:t xml:space="preserve">r &gt; horizon: Repulsive (dark energy analog)</w:t>
      </w:r>
    </w:p>
    <w:p>
      <w:pPr>
        <w:spacing w:after="200" w:line="276"/>
      </w:pPr>
      <w:r>
        <w:t xml:space="preserve">The sign change would then explain cosmic acceleration: at the largest scales, "gravity" becomes repulsive.</w:t>
      </w:r>
    </w:p>
    <w:p>
      <w:pPr>
        <w:pStyle w:val="Heading3"/>
      </w:pPr>
      <w:r>
        <w:t xml:space="preserve">5.1.3 Particle Scale</w:t>
      </w:r>
    </w:p>
    <w:p>
      <w:pPr>
        <w:spacing w:after="200" w:line="276"/>
      </w:pPr>
      <w:r>
        <w:t xml:space="preserve">If r₀ corresponds to some particle's Compton wavelength, the transition would mark a fundamental mass scale.</w:t>
      </w:r>
    </w:p>
    <w:p>
      <w:pPr>
        <w:pStyle w:val="Heading2"/>
      </w:pPr>
      <w:r>
        <w:t xml:space="preserve">5.2 Dimensional Analysis</w:t>
      </w:r>
    </w:p>
    <w:p>
      <w:pPr>
        <w:spacing w:after="200" w:line="276"/>
      </w:pPr>
      <w:r>
        <w:t xml:space="preserve">The modified field law requires G₀ to have dimensions. If F has dimensions of acceleration (m/s²), and r has dimensions of length:</w:t>
      </w:r>
    </w:p>
    <w:p>
      <w:pPr>
        <w:spacing w:before="200" w:after="200"/>
        <w:jc w:val="center"/>
      </w:pPr>
      <w:r>
        <w:rPr>
          <w:i/>
          <w:iCs/>
          <w:sz w:val="24"/>
          <w:szCs w:val="24"/>
        </w:rPr>
        <w:t xml:space="preserve">[G₀] = [F] × [r²] = (m/s²) × m² = m³/s²</w:t>
      </w:r>
    </w:p>
    <w:p>
      <w:pPr>
        <w:spacing w:after="200" w:line="276"/>
      </w:pPr>
      <w:r>
        <w:t xml:space="preserve">This matches Newton's gravitational constant G ≈ 6.67 × 10⁻¹¹ m³/(kg·s²) if we include a mass factor. The relationship between G₀ and Newton's G, if any, remains to be determined.</w:t>
      </w:r>
    </w:p>
    <w:p>
      <w:pPr>
        <w:pStyle w:val="Heading2"/>
      </w:pPr>
      <w:r>
        <w:t xml:space="preserve">5.3 The Dimensional Bridge Problem</w:t>
      </w:r>
    </w:p>
    <w:p>
      <w:pPr>
        <w:spacing w:after="200" w:line="276"/>
      </w:pPr>
      <w:r>
        <w:t xml:space="preserve">The Golden Shadow Δ ≈ 0.027 is dimensionless, while physical constants like G have dimensions. Bridging this gap requires identifying:</w:t>
      </w:r>
    </w:p>
    <w:p>
      <w:pPr>
        <w:pStyle w:val="ListParagraph"/>
        <w:numPr>
          <w:ilvl w:val="0"/>
          <w:numId w:val="2"/>
        </w:numPr>
        <w:spacing w:after="120"/>
      </w:pPr>
      <w:r>
        <w:t xml:space="preserve">What dimensional quantity "carries" the arithmetic structure into physics</w:t>
      </w:r>
    </w:p>
    <w:p>
      <w:pPr>
        <w:pStyle w:val="ListParagraph"/>
        <w:numPr>
          <w:ilvl w:val="0"/>
          <w:numId w:val="2"/>
        </w:numPr>
        <w:spacing w:after="120"/>
      </w:pPr>
      <w:r>
        <w:t xml:space="preserve">How the dimensionless ratio Δ/ζ(2) ≈ 1.64% relates to physical coupling constants</w:t>
      </w:r>
    </w:p>
    <w:p>
      <w:pPr>
        <w:pStyle w:val="ListParagraph"/>
        <w:numPr>
          <w:ilvl w:val="0"/>
          <w:numId w:val="2"/>
        </w:numPr>
        <w:spacing w:after="120"/>
      </w:pPr>
      <w:r>
        <w:t xml:space="preserve">Whether Planck units (built from ℏ, G, c) provide the natural conversion</w:t>
      </w:r>
    </w:p>
    <w:p>
      <w:pPr>
        <w:spacing w:after="200" w:line="276"/>
      </w:pPr>
      <w:r>
        <w:t xml:space="preserve">We do not solve this problem here but note it as the key obstacle to making the framework predictive.</w:t>
      </w:r>
    </w:p>
    <w:p>
      <w:r>
        <w:br w:type="page"/>
      </w:r>
    </w:p>
    <w:p>
      <w:pPr>
        <w:spacing w:before="480" w:after="240"/>
        <w:jc w:val="center"/>
      </w:pPr>
      <w:r>
        <w:rPr>
          <w:b/>
          <w:bCs/>
          <w:sz w:val="32"/>
          <w:szCs w:val="32"/>
        </w:rPr>
        <w:t xml:space="preserve">PART III: THE GOLDEN SHADOW CONNECTION</w:t>
      </w:r>
    </w:p>
    <w:p>
      <w:pPr>
        <w:pStyle w:val="Heading1"/>
      </w:pPr>
      <w:r>
        <w:t xml:space="preserve">6. The Golden Shadow as Coupling Constant</w:t>
      </w:r>
    </w:p>
    <w:p>
      <w:pPr>
        <w:pStyle w:val="Heading2"/>
      </w:pPr>
      <w:r>
        <w:t xml:space="preserve">6.1 Fundamental Constants</w:t>
      </w:r>
    </w:p>
    <w:p>
      <w:pPr>
        <w:spacing w:after="200" w:line="276"/>
      </w:pPr>
      <w:r>
        <w:t xml:space="preserve">Two constants govern the Natural OS framework:</w:t>
      </w:r>
    </w:p>
    <w:p>
      <w:pPr>
        <w:spacing w:after="200" w:line="276"/>
      </w:pPr>
      <w:r>
        <w:rPr>
          <w:b/>
          <w:bCs/>
        </w:rPr>
        <w:t xml:space="preserve">Definition 6.1 (System Energy Bound).</w:t>
      </w:r>
      <w:r>
        <w:t xml:space="preserve"> ζ(2) = π²/6 ≈ 1.6449 represents the total "energy" of the integer system—the reciprocal of the coprimality probability P(gcd(a,b) = 1) = 6/π².</w:t>
      </w:r>
    </w:p>
    <w:p>
      <w:pPr>
        <w:spacing w:after="200" w:line="276"/>
      </w:pPr>
      <w:r>
        <w:rPr>
          <w:b/>
          <w:bCs/>
        </w:rPr>
        <w:t xml:space="preserve">Definition 6.2 (Maximum Chaos Frequency).</w:t>
      </w:r>
      <w:r>
        <w:t xml:space="preserve"> φ = (1+√5)/2 ≈ 1.6180 (Golden Ratio) represents maximum irrationality. By Hurwitz's theorem, φ is the hardest irrational to approximate by rationals. In Natural OS, phases at frequency φπ resist the Harmonic Trap longest before collapsing.</w:t>
      </w:r>
    </w:p>
    <w:p>
      <w:pPr>
        <w:spacing w:after="200" w:line="276"/>
      </w:pPr>
      <w:r>
        <w:rPr>
          <w:b/>
          <w:bCs/>
        </w:rPr>
        <w:t xml:space="preserve">Definition 6.3 (Golden Shadow).</w:t>
      </w:r>
      <w:r>
        <w:t xml:space="preserve"> The gap between these constants:</w:t>
      </w:r>
    </w:p>
    <w:p>
      <w:pPr>
        <w:spacing w:before="200" w:after="200"/>
        <w:jc w:val="center"/>
      </w:pPr>
      <w:r>
        <w:rPr>
          <w:i/>
          <w:iCs/>
          <w:sz w:val="24"/>
          <w:szCs w:val="24"/>
        </w:rPr>
        <w:t xml:space="preserve">Δ = ζ(2) − φ ≈ 0.0269</w:t>
      </w:r>
    </w:p>
    <w:p>
      <w:pPr>
        <w:pStyle w:val="Heading2"/>
      </w:pPr>
      <w:r>
        <w:t xml:space="preserve">6.2 The Dimensionless Coupling Constant</w:t>
      </w:r>
    </w:p>
    <w:p>
      <w:pPr>
        <w:spacing w:after="200" w:line="276"/>
      </w:pPr>
      <w:r>
        <w:t xml:space="preserve">The relative width of the Golden Shadow defines a dimensionless ratio:</w:t>
      </w:r>
    </w:p>
    <w:p>
      <w:pPr>
        <w:spacing w:before="200" w:after="200"/>
        <w:jc w:val="center"/>
      </w:pPr>
      <w:r>
        <w:rPr>
          <w:i/>
          <w:iCs/>
          <w:sz w:val="24"/>
          <w:szCs w:val="24"/>
        </w:rPr>
        <w:t xml:space="preserve">Δ/ζ(2) = (ζ(2) − φ)/ζ(2) ≈ 0.0164 ≈ 1.64%</w:t>
      </w:r>
    </w:p>
    <w:p>
      <w:pPr>
        <w:spacing w:after="200" w:line="276"/>
      </w:pPr>
      <w:r>
        <w:t xml:space="preserve">This is in the range of fundamental coupling constants in physics: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E8E8E8" w:val="clear"/>
          </w:tcPr>
          <w:p>
            <w:pPr>
              <w:jc w:val="center"/>
            </w:pPr>
            <w:r>
              <w:rPr>
                <w:b/>
                <w:bCs/>
              </w:rPr>
              <w:t xml:space="preserve">Coupling Constant</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Value</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Percentage</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Fine structure constant α</w:t>
            </w:r>
          </w:p>
        </w:tc>
        <w:tc>
          <w:tcPr>
            <w:tcW w:type="dxa" w:w="2340"/>
            <w:tcBorders>
              <w:top w:val="single" w:color="CCCCCC" w:sz="1"/>
              <w:left w:val="single" w:color="CCCCCC" w:sz="1"/>
              <w:bottom w:val="single" w:color="CCCCCC" w:sz="1"/>
              <w:right w:val="single" w:color="CCCCCC" w:sz="1"/>
            </w:tcBorders>
          </w:tcPr>
          <w:p>
            <w:pPr>
              <w:spacing w:after="200" w:line="276"/>
            </w:pPr>
            <w:r>
              <w:t xml:space="preserve">≈ 1/137</w:t>
            </w:r>
          </w:p>
        </w:tc>
        <w:tc>
          <w:tcPr>
            <w:tcW w:type="dxa" w:w="2340"/>
            <w:tcBorders>
              <w:top w:val="single" w:color="CCCCCC" w:sz="1"/>
              <w:left w:val="single" w:color="CCCCCC" w:sz="1"/>
              <w:bottom w:val="single" w:color="CCCCCC" w:sz="1"/>
              <w:right w:val="single" w:color="CCCCCC" w:sz="1"/>
            </w:tcBorders>
          </w:tcPr>
          <w:p>
            <w:pPr>
              <w:spacing w:after="200" w:line="276"/>
            </w:pPr>
            <w:r>
              <w:t xml:space="preserve">≈ 0.73%</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Golden Shadow ratio Δ/ζ(2)</w:t>
            </w:r>
          </w:p>
        </w:tc>
        <w:tc>
          <w:tcPr>
            <w:tcW w:type="dxa" w:w="2340"/>
            <w:tcBorders>
              <w:top w:val="single" w:color="CCCCCC" w:sz="1"/>
              <w:left w:val="single" w:color="CCCCCC" w:sz="1"/>
              <w:bottom w:val="single" w:color="CCCCCC" w:sz="1"/>
              <w:right w:val="single" w:color="CCCCCC" w:sz="1"/>
            </w:tcBorders>
          </w:tcPr>
          <w:p>
            <w:pPr>
              <w:spacing w:after="200" w:line="276"/>
            </w:pPr>
            <w:r>
              <w:t xml:space="preserve">≈ 0.0164</w:t>
            </w:r>
          </w:p>
        </w:tc>
        <w:tc>
          <w:tcPr>
            <w:tcW w:type="dxa" w:w="2340"/>
            <w:tcBorders>
              <w:top w:val="single" w:color="CCCCCC" w:sz="1"/>
              <w:left w:val="single" w:color="CCCCCC" w:sz="1"/>
              <w:bottom w:val="single" w:color="CCCCCC" w:sz="1"/>
              <w:right w:val="single" w:color="CCCCCC" w:sz="1"/>
            </w:tcBorders>
          </w:tcPr>
          <w:p>
            <w:pPr>
              <w:spacing w:after="200" w:line="276"/>
            </w:pPr>
            <w:r>
              <w:t xml:space="preserve">≈ 1.64%</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Gravitational fine structure αG</w:t>
            </w:r>
          </w:p>
        </w:tc>
        <w:tc>
          <w:tcPr>
            <w:tcW w:type="dxa" w:w="2340"/>
            <w:tcBorders>
              <w:top w:val="single" w:color="CCCCCC" w:sz="1"/>
              <w:left w:val="single" w:color="CCCCCC" w:sz="1"/>
              <w:bottom w:val="single" w:color="CCCCCC" w:sz="1"/>
              <w:right w:val="single" w:color="CCCCCC" w:sz="1"/>
            </w:tcBorders>
          </w:tcPr>
          <w:p>
            <w:pPr>
              <w:spacing w:after="200" w:line="276"/>
            </w:pPr>
            <w:r>
              <w:t xml:space="preserve">≈ 10⁻³⁸</w:t>
            </w:r>
          </w:p>
        </w:tc>
        <w:tc>
          <w:tcPr>
            <w:tcW w:type="dxa" w:w="2340"/>
            <w:tcBorders>
              <w:top w:val="single" w:color="CCCCCC" w:sz="1"/>
              <w:left w:val="single" w:color="CCCCCC" w:sz="1"/>
              <w:bottom w:val="single" w:color="CCCCCC" w:sz="1"/>
              <w:right w:val="single" w:color="CCCCCC" w:sz="1"/>
            </w:tcBorders>
          </w:tcPr>
          <w:p>
            <w:pPr>
              <w:spacing w:after="200" w:line="276"/>
            </w:pPr>
            <w:r>
              <w:t xml:space="preserve">≈ 10⁻³⁶%</w:t>
            </w:r>
          </w:p>
        </w:tc>
      </w:tr>
      <w:tr>
        <w:tc>
          <w:tcPr>
            <w:tcW w:type="dxa" w:w="4680"/>
            <w:tcBorders>
              <w:top w:val="single" w:color="CCCCCC" w:sz="1"/>
              <w:left w:val="single" w:color="CCCCCC" w:sz="1"/>
              <w:bottom w:val="single" w:color="CCCCCC" w:sz="1"/>
              <w:right w:val="single" w:color="CCCCCC" w:sz="1"/>
            </w:tcBorders>
          </w:tcPr>
          <w:p>
            <w:pPr>
              <w:spacing w:after="200" w:line="276"/>
            </w:pPr>
            <w:r>
              <w:t xml:space="preserve">Strong coupling αs (at Z mass)</w:t>
            </w:r>
          </w:p>
        </w:tc>
        <w:tc>
          <w:tcPr>
            <w:tcW w:type="dxa" w:w="2340"/>
            <w:tcBorders>
              <w:top w:val="single" w:color="CCCCCC" w:sz="1"/>
              <w:left w:val="single" w:color="CCCCCC" w:sz="1"/>
              <w:bottom w:val="single" w:color="CCCCCC" w:sz="1"/>
              <w:right w:val="single" w:color="CCCCCC" w:sz="1"/>
            </w:tcBorders>
          </w:tcPr>
          <w:p>
            <w:pPr>
              <w:spacing w:after="200" w:line="276"/>
            </w:pPr>
            <w:r>
              <w:t xml:space="preserve">≈ 0.1</w:t>
            </w:r>
          </w:p>
        </w:tc>
        <w:tc>
          <w:tcPr>
            <w:tcW w:type="dxa" w:w="2340"/>
            <w:tcBorders>
              <w:top w:val="single" w:color="CCCCCC" w:sz="1"/>
              <w:left w:val="single" w:color="CCCCCC" w:sz="1"/>
              <w:bottom w:val="single" w:color="CCCCCC" w:sz="1"/>
              <w:right w:val="single" w:color="CCCCCC" w:sz="1"/>
            </w:tcBorders>
          </w:tcPr>
          <w:p>
            <w:pPr>
              <w:spacing w:after="200" w:line="276"/>
            </w:pPr>
            <w:r>
              <w:t xml:space="preserve">≈ 10%</w:t>
            </w:r>
          </w:p>
        </w:tc>
      </w:tr>
    </w:tbl>
    <w:p>
      <w:pPr>
        <w:spacing w:before="120" w:after="240"/>
        <w:jc w:val="center"/>
      </w:pPr>
      <w:r>
        <w:rPr>
          <w:i/>
          <w:iCs/>
          <w:sz w:val="22"/>
          <w:szCs w:val="22"/>
        </w:rPr>
        <w:t xml:space="preserve">Table 4: Comparison of dimensionless coupling constants</w:t>
      </w:r>
    </w:p>
    <w:p>
      <w:pPr>
        <w:spacing w:after="200" w:line="276"/>
      </w:pPr>
      <w:r>
        <w:t xml:space="preserve">The Golden Shadow ratio Δ/ζ(2) ≈ 1.64% falls between the electromagnetic and strong couplings—intriguingly close to the electroweak mixing range.</w:t>
      </w:r>
    </w:p>
    <w:p>
      <w:pPr>
        <w:pStyle w:val="Heading2"/>
      </w:pPr>
      <w:r>
        <w:t xml:space="preserve">6.3 Physical Interpretation</w:t>
      </w:r>
    </w:p>
    <w:p>
      <w:pPr>
        <w:spacing w:after="200" w:line="276"/>
      </w:pPr>
      <w:r>
        <w:t xml:space="preserve">In the Natural OS framework:</w:t>
      </w:r>
    </w:p>
    <w:p>
      <w:pPr>
        <w:pStyle w:val="ListParagraph"/>
        <w:numPr>
          <w:ilvl w:val="0"/>
          <w:numId w:val="2"/>
        </w:numPr>
        <w:spacing w:after="120"/>
      </w:pPr>
      <w:r>
        <w:rPr>
          <w:b/>
          <w:bCs/>
        </w:rPr>
        <w:t xml:space="preserve">ζ(2)</w:t>
      </w:r>
      <w:r>
        <w:t xml:space="preserve"> represents Order—the maximum coherence achievable (total system energy)</w:t>
      </w:r>
    </w:p>
    <w:p>
      <w:pPr>
        <w:pStyle w:val="ListParagraph"/>
        <w:numPr>
          <w:ilvl w:val="0"/>
          <w:numId w:val="2"/>
        </w:numPr>
        <w:spacing w:after="120"/>
      </w:pPr>
      <w:r>
        <w:rPr>
          <w:b/>
          <w:bCs/>
        </w:rPr>
        <w:t xml:space="preserve">φ</w:t>
      </w:r>
      <w:r>
        <w:t xml:space="preserve"> represents Chaos—maximum sustainable disorder (the Harmonic Trap's "worst case")</w:t>
      </w:r>
    </w:p>
    <w:p>
      <w:pPr>
        <w:pStyle w:val="ListParagraph"/>
        <w:numPr>
          <w:ilvl w:val="0"/>
          <w:numId w:val="2"/>
        </w:numPr>
        <w:spacing w:after="120"/>
      </w:pPr>
      <w:r>
        <w:rPr>
          <w:b/>
          <w:bCs/>
        </w:rPr>
        <w:t xml:space="preserve">Δ</w:t>
      </w:r>
      <w:r>
        <w:t xml:space="preserve"> represents the gap between them—the "headroom" in arithmetic structure</w:t>
      </w:r>
    </w:p>
    <w:p>
      <w:pPr>
        <w:spacing w:after="200" w:line="276"/>
      </w:pPr>
      <w:r>
        <w:t xml:space="preserve">If the physical universe is a projection of arithmetic structure, then Δ might set the strength of interactions in the projected space. The ratio Δ/ζ(2) ≈ 1.64% would then be a fundamental coupling constant determined by number theory itself.</w:t>
      </w:r>
    </w:p>
    <w:p>
      <w:pPr>
        <w:spacing w:after="200" w:line="276"/>
      </w:pPr>
      <w:r>
        <w:rPr>
          <w:b/>
          <w:bCs/>
        </w:rPr>
        <w:t xml:space="preserve">Conjecture 6.4.</w:t>
      </w:r>
      <w:r>
        <w:t xml:space="preserve"> The dimensionless ratio Δ/ζ(2) = (ζ(2) − φ)/ζ(2) ≈ 0.0164 is a fundamental coupling constant that governs the strength of interactions between the arithmetic substrate and its spatial projection.</w:t>
      </w:r>
    </w:p>
    <w:p>
      <w:r>
        <w:br w:type="page"/>
      </w:r>
    </w:p>
    <w:p>
      <w:pPr>
        <w:spacing w:before="480" w:after="240"/>
        <w:jc w:val="center"/>
      </w:pPr>
      <w:r>
        <w:rPr>
          <w:b/>
          <w:bCs/>
          <w:sz w:val="32"/>
          <w:szCs w:val="32"/>
        </w:rPr>
        <w:t xml:space="preserve">PART IV: TESTS AND FUTURE DIRECTIONS</w:t>
      </w:r>
    </w:p>
    <w:p>
      <w:pPr>
        <w:pStyle w:val="Heading1"/>
      </w:pPr>
      <w:r>
        <w:t xml:space="preserve">7. Experimental Tests and Future Work</w:t>
      </w:r>
    </w:p>
    <w:p>
      <w:pPr>
        <w:pStyle w:val="Heading2"/>
      </w:pPr>
      <w:r>
        <w:t xml:space="preserve">7.1 Testing the Logarithmic Field Law</w:t>
      </w:r>
    </w:p>
    <w:p>
      <w:pPr>
        <w:spacing w:after="200" w:line="276"/>
      </w:pPr>
      <w:r>
        <w:t xml:space="preserve">The modified field law F(r) = G₀ ln(r/r₀)/r² makes testable predictions, assuming we can identify r₀.</w:t>
      </w:r>
    </w:p>
    <w:p>
      <w:pPr>
        <w:pStyle w:val="Heading3"/>
      </w:pPr>
      <w:r>
        <w:t xml:space="preserve">7.1.1 Galactic Rotation Curves</w:t>
      </w:r>
    </w:p>
    <w:p>
      <w:pPr>
        <w:spacing w:after="200" w:line="276"/>
      </w:pPr>
      <w:r>
        <w:t xml:space="preserve">If r₀ is small (sub-galactic), the logarithmic enhancement ln(r/r₀) would increase gravity at large r. For a galaxy of radius R:</w:t>
      </w:r>
    </w:p>
    <w:p>
      <w:pPr>
        <w:spacing w:before="200" w:after="200"/>
        <w:jc w:val="center"/>
      </w:pPr>
      <w:r>
        <w:rPr>
          <w:i/>
          <w:iCs/>
          <w:sz w:val="24"/>
          <w:szCs w:val="24"/>
        </w:rPr>
        <w:t xml:space="preserve">v(R) ~ √[G₀ ln(R/r₀) / R]</w:t>
      </w:r>
    </w:p>
    <w:p>
      <w:pPr>
        <w:spacing w:after="200" w:line="276"/>
      </w:pPr>
      <w:r>
        <w:t xml:space="preserve">rather than v ~ √[G/R] for pure Newtonian gravity. This naturally produces </w:t>
      </w:r>
      <w:r>
        <w:rPr>
          <w:i/>
          <w:iCs/>
        </w:rPr>
        <w:t xml:space="preserve">flatter</w:t>
      </w:r>
      <w:r>
        <w:t xml:space="preserve"> rotation curves without invoking dark matter—similar to MOND predictions.</w:t>
      </w:r>
    </w:p>
    <w:p>
      <w:pPr>
        <w:spacing w:after="200" w:line="276"/>
      </w:pPr>
      <w:r>
        <w:rPr>
          <w:b/>
          <w:bCs/>
        </w:rPr>
        <w:t xml:space="preserve">Test</w:t>
      </w:r>
      <w:r>
        <w:t xml:space="preserve">: Compare predicted rotation curves with observed data for spiral galaxies. The free parameter r₀ could be fit to data; a consistent value across galaxies would support the theory.</w:t>
      </w:r>
    </w:p>
    <w:p>
      <w:pPr>
        <w:pStyle w:val="Heading3"/>
      </w:pPr>
      <w:r>
        <w:t xml:space="preserve">7.1.2 Pioneer Anomaly Scale</w:t>
      </w:r>
    </w:p>
    <w:p>
      <w:pPr>
        <w:spacing w:after="200" w:line="276"/>
      </w:pPr>
      <w:r>
        <w:t xml:space="preserve">The Pioneer spacecraft exhibited anomalous deceleration at distances &gt; 20 AU from the Sun. If the logarithmic correction becomes significant at astronomical unit scales, this could manifest as apparent extra deceleration.</w:t>
      </w:r>
    </w:p>
    <w:p>
      <w:pPr>
        <w:spacing w:after="200" w:line="276"/>
      </w:pPr>
      <w:r>
        <w:rPr>
          <w:b/>
          <w:bCs/>
        </w:rPr>
        <w:t xml:space="preserve">Test</w:t>
      </w:r>
      <w:r>
        <w:t xml:space="preserve">: Calculate whether ln(r/r₀) corrections at AU scales match the observed Pioneer anomaly magnitude (~8.5 × 10⁻¹⁰ m/s²).</w:t>
      </w:r>
    </w:p>
    <w:p>
      <w:pPr>
        <w:pStyle w:val="Heading3"/>
      </w:pPr>
      <w:r>
        <w:t xml:space="preserve">7.1.3 Cosmological Scale</w:t>
      </w:r>
    </w:p>
    <w:p>
      <w:pPr>
        <w:spacing w:after="200" w:line="276"/>
      </w:pPr>
      <w:r>
        <w:t xml:space="preserve">If r₀ is cosmological (near the Hubble radius), the sign change at r = r₀ would produce:</w:t>
      </w:r>
    </w:p>
    <w:p>
      <w:pPr>
        <w:pStyle w:val="ListParagraph"/>
        <w:numPr>
          <w:ilvl w:val="0"/>
          <w:numId w:val="2"/>
        </w:numPr>
        <w:spacing w:after="120"/>
      </w:pPr>
      <w:r>
        <w:t xml:space="preserve">Attractive gravity for r &lt; r₀ (bound structures like galaxies)</w:t>
      </w:r>
    </w:p>
    <w:p>
      <w:pPr>
        <w:pStyle w:val="ListParagraph"/>
        <w:numPr>
          <w:ilvl w:val="0"/>
          <w:numId w:val="2"/>
        </w:numPr>
        <w:spacing w:after="120"/>
      </w:pPr>
      <w:r>
        <w:t xml:space="preserve">Repulsive gravity for r &gt; r₀ (cosmic acceleration)</w:t>
      </w:r>
    </w:p>
    <w:p>
      <w:pPr>
        <w:spacing w:after="200" w:line="276"/>
      </w:pPr>
      <w:r>
        <w:rPr>
          <w:b/>
          <w:bCs/>
        </w:rPr>
        <w:t xml:space="preserve">Test</w:t>
      </w:r>
      <w:r>
        <w:t xml:space="preserve">: Check if setting r₀ ~ c/H₀ (Hubble radius) produces the observed cosmic acceleration rate.</w:t>
      </w:r>
    </w:p>
    <w:p>
      <w:pPr>
        <w:pStyle w:val="Heading2"/>
      </w:pPr>
      <w:r>
        <w:t xml:space="preserve">7.2 Identifying the Transition Scale r₀</w:t>
      </w:r>
    </w:p>
    <w:p>
      <w:pPr>
        <w:spacing w:after="200" w:line="276"/>
      </w:pPr>
      <w:r>
        <w:t xml:space="preserve">The most critical experimental need is identifying r₀. Possible approaches:</w:t>
      </w:r>
    </w:p>
    <w:p>
      <w:pPr>
        <w:pStyle w:val="ListParagraph"/>
        <w:numPr>
          <w:ilvl w:val="0"/>
          <w:numId w:val="2"/>
        </w:numPr>
        <w:spacing w:after="120"/>
      </w:pPr>
      <w:r>
        <w:rPr>
          <w:b/>
          <w:bCs/>
        </w:rPr>
        <w:t xml:space="preserve">Gravitational wave astronomy</w:t>
      </w:r>
      <w:r>
        <w:t xml:space="preserve">: Search for deviations from GR predictions at various length scales</w:t>
      </w:r>
    </w:p>
    <w:p>
      <w:pPr>
        <w:pStyle w:val="ListParagraph"/>
        <w:numPr>
          <w:ilvl w:val="0"/>
          <w:numId w:val="2"/>
        </w:numPr>
        <w:spacing w:after="120"/>
      </w:pPr>
      <w:r>
        <w:rPr>
          <w:b/>
          <w:bCs/>
        </w:rPr>
        <w:t xml:space="preserve">Precision solar system tests</w:t>
      </w:r>
      <w:r>
        <w:t xml:space="preserve">: Look for ln(r) corrections in planetary ephemerides</w:t>
      </w:r>
    </w:p>
    <w:p>
      <w:pPr>
        <w:pStyle w:val="ListParagraph"/>
        <w:numPr>
          <w:ilvl w:val="0"/>
          <w:numId w:val="2"/>
        </w:numPr>
        <w:spacing w:after="120"/>
      </w:pPr>
      <w:r>
        <w:rPr>
          <w:b/>
          <w:bCs/>
        </w:rPr>
        <w:t xml:space="preserve">Laboratory tests</w:t>
      </w:r>
      <w:r>
        <w:t xml:space="preserve">: Measure gravity at sub-millimeter scales where ln(r) effects might be strongest</w:t>
      </w:r>
    </w:p>
    <w:p>
      <w:pPr>
        <w:pStyle w:val="ListParagraph"/>
        <w:numPr>
          <w:ilvl w:val="0"/>
          <w:numId w:val="2"/>
        </w:numPr>
        <w:spacing w:after="120"/>
      </w:pPr>
      <w:r>
        <w:rPr>
          <w:b/>
          <w:bCs/>
        </w:rPr>
        <w:t xml:space="preserve">Cosmological observations</w:t>
      </w:r>
      <w:r>
        <w:t xml:space="preserve">: Check if r₀ ~ Hubble scale naturally explains dark energy</w:t>
      </w:r>
    </w:p>
    <w:p>
      <w:pPr>
        <w:pStyle w:val="Heading2"/>
      </w:pPr>
      <w:r>
        <w:t xml:space="preserve">7.3 Theoretical Developments Needed</w:t>
      </w:r>
    </w:p>
    <w:p>
      <w:pPr>
        <w:spacing w:after="200" w:line="276"/>
      </w:pPr>
      <w:r>
        <w:t xml:space="preserve">Several theoretical problems remain:</w:t>
      </w:r>
    </w:p>
    <w:p>
      <w:pPr>
        <w:pStyle w:val="ListParagraph"/>
        <w:numPr>
          <w:ilvl w:val="0"/>
          <w:numId w:val="2"/>
        </w:numPr>
        <w:spacing w:after="120"/>
      </w:pPr>
      <w:r>
        <w:rPr>
          <w:b/>
          <w:bCs/>
        </w:rPr>
        <w:t xml:space="preserve">Dimensional bridge</w:t>
      </w:r>
      <w:r>
        <w:t xml:space="preserve">: How does the dimensionless Δ ≈ 0.027 connect to dimensional G ≈ 6.67 × 10⁻¹¹ m³/(kg·s²)?</w:t>
      </w:r>
    </w:p>
    <w:p>
      <w:pPr>
        <w:pStyle w:val="ListParagraph"/>
        <w:numPr>
          <w:ilvl w:val="0"/>
          <w:numId w:val="2"/>
        </w:numPr>
        <w:spacing w:after="120"/>
      </w:pPr>
      <w:r>
        <w:rPr>
          <w:b/>
          <w:bCs/>
        </w:rPr>
        <w:t xml:space="preserve">Mass incorporation</w:t>
      </w:r>
      <w:r>
        <w:t xml:space="preserve">: How does mass enter the framework? Newton's law has m₁m₂; our framework currently has no mass term</w:t>
      </w:r>
    </w:p>
    <w:p>
      <w:pPr>
        <w:pStyle w:val="ListParagraph"/>
        <w:numPr>
          <w:ilvl w:val="0"/>
          <w:numId w:val="2"/>
        </w:numPr>
        <w:spacing w:after="120"/>
      </w:pPr>
      <w:r>
        <w:rPr>
          <w:b/>
          <w:bCs/>
        </w:rPr>
        <w:t xml:space="preserve">Tensor structure</w:t>
      </w:r>
      <w:r>
        <w:t xml:space="preserve">: General relativity is tensorial. What is the tensorial generalization of F(r) = G₀ ln(r)/r²?</w:t>
      </w:r>
    </w:p>
    <w:p>
      <w:pPr>
        <w:pStyle w:val="ListParagraph"/>
        <w:numPr>
          <w:ilvl w:val="0"/>
          <w:numId w:val="2"/>
        </w:numPr>
        <w:spacing w:after="120"/>
      </w:pPr>
      <w:r>
        <w:rPr>
          <w:b/>
          <w:bCs/>
        </w:rPr>
        <w:t xml:space="preserve">Quantum compatibility</w:t>
      </w:r>
      <w:r>
        <w:t xml:space="preserve">: How does the framework reconcile with quantum field theory?</w:t>
      </w:r>
    </w:p>
    <w:p>
      <w:pPr>
        <w:pStyle w:val="Heading2"/>
      </w:pPr>
      <w:r>
        <w:t xml:space="preserve">7.4 Connection to Other Approaches</w:t>
      </w:r>
    </w:p>
    <w:p>
      <w:pPr>
        <w:spacing w:after="200" w:line="276"/>
      </w:pPr>
      <w:r>
        <w:t xml:space="preserve">The logarithmic modification connects to several existing research programs:</w:t>
      </w:r>
    </w:p>
    <w:p>
      <w:pPr>
        <w:pStyle w:val="ListParagraph"/>
        <w:numPr>
          <w:ilvl w:val="0"/>
          <w:numId w:val="2"/>
        </w:numPr>
        <w:spacing w:after="120"/>
      </w:pPr>
      <w:r>
        <w:rPr>
          <w:b/>
          <w:bCs/>
        </w:rPr>
        <w:t xml:space="preserve">Modified Newtonian Dynamics (MOND)</w:t>
      </w:r>
      <w:r>
        <w:t xml:space="preserve">: Our law produces similar effects to MOND at galactic scales</w:t>
      </w:r>
    </w:p>
    <w:p>
      <w:pPr>
        <w:pStyle w:val="ListParagraph"/>
        <w:numPr>
          <w:ilvl w:val="0"/>
          <w:numId w:val="2"/>
        </w:numPr>
        <w:spacing w:after="120"/>
      </w:pPr>
      <w:r>
        <w:rPr>
          <w:b/>
          <w:bCs/>
        </w:rPr>
        <w:t xml:space="preserve">Entropic gravity (Verlinde)</w:t>
      </w:r>
      <w:r>
        <w:t xml:space="preserve">: Information-theoretic approaches to gravity share philosophical foundations</w:t>
      </w:r>
    </w:p>
    <w:p>
      <w:pPr>
        <w:pStyle w:val="ListParagraph"/>
        <w:numPr>
          <w:ilvl w:val="0"/>
          <w:numId w:val="2"/>
        </w:numPr>
        <w:spacing w:after="120"/>
      </w:pPr>
      <w:r>
        <w:rPr>
          <w:b/>
          <w:bCs/>
        </w:rPr>
        <w:t xml:space="preserve">Holographic principle</w:t>
      </w:r>
      <w:r>
        <w:t xml:space="preserve">: The area scaling (N ~ r²) echoes holographic entropy bounds</w:t>
      </w:r>
    </w:p>
    <w:p>
      <w:pPr>
        <w:pStyle w:val="ListParagraph"/>
        <w:numPr>
          <w:ilvl w:val="0"/>
          <w:numId w:val="2"/>
        </w:numPr>
        <w:spacing w:after="120"/>
      </w:pPr>
      <w:r>
        <w:rPr>
          <w:b/>
          <w:bCs/>
        </w:rPr>
        <w:t xml:space="preserve">Asymptotic safety</w:t>
      </w:r>
      <w:r>
        <w:t xml:space="preserve">: Quantum gravity approaches predict running G at extreme scales</w:t>
      </w:r>
    </w:p>
    <w:p>
      <w:pPr>
        <w:pStyle w:val="Heading1"/>
      </w:pPr>
      <w:r>
        <w:t xml:space="preserve">8. Conclusion</w:t>
      </w:r>
    </w:p>
    <w:p>
      <w:pPr>
        <w:pStyle w:val="Heading2"/>
      </w:pPr>
      <w:r>
        <w:t xml:space="preserve">8.1 Summary of Results</w:t>
      </w:r>
    </w:p>
    <w:p>
      <w:pPr>
        <w:spacing w:after="200" w:line="276"/>
      </w:pPr>
      <w:r>
        <w:t xml:space="preserve">This paper has established:</w:t>
      </w:r>
    </w:p>
    <w:p>
      <w:pPr>
        <w:pStyle w:val="ListParagraph"/>
        <w:numPr>
          <w:ilvl w:val="0"/>
          <w:numId w:val="2"/>
        </w:numPr>
        <w:spacing w:after="120"/>
      </w:pPr>
      <w:r>
        <w:rPr>
          <w:b/>
          <w:bCs/>
        </w:rPr>
        <w:t xml:space="preserve">The Information Uncertainty Principle</w:t>
      </w:r>
      <w:r>
        <w:t xml:space="preserve"> Q × P = 1: A fundamental conservation law on the critical line where the product of information quantity (zero density) and information precision (zero spacing) is exactly conserved.</w:t>
      </w:r>
    </w:p>
    <w:p>
      <w:pPr>
        <w:pStyle w:val="ListParagraph"/>
        <w:numPr>
          <w:ilvl w:val="0"/>
          <w:numId w:val="2"/>
        </w:numPr>
        <w:spacing w:after="120"/>
      </w:pPr>
      <w:r>
        <w:rPr>
          <w:b/>
          <w:bCs/>
        </w:rPr>
        <w:t xml:space="preserve">The Quantity-Precision conjugacy</w:t>
      </w:r>
      <w:r>
        <w:t xml:space="preserve">: A mapping between primes (high precision, low quantity) and composites (low precision, high quantity) that mirrors the close/far trade-off in spatial observation.</w:t>
      </w:r>
    </w:p>
    <w:p>
      <w:pPr>
        <w:pStyle w:val="ListParagraph"/>
        <w:numPr>
          <w:ilvl w:val="0"/>
          <w:numId w:val="2"/>
        </w:numPr>
        <w:spacing w:after="120"/>
      </w:pPr>
      <w:r>
        <w:rPr>
          <w:b/>
          <w:bCs/>
        </w:rPr>
        <w:t xml:space="preserve">The logarithmic field law</w:t>
      </w:r>
      <w:r>
        <w:t xml:space="preserve"> F(r) = G₀ ln(r/r₀)/r²: A modified gravity formula emerging naturally from the critical line structure, with three regimes (repulsive/neutral/attractive) separated by the transition scale r₀.</w:t>
      </w:r>
    </w:p>
    <w:p>
      <w:pPr>
        <w:pStyle w:val="ListParagraph"/>
        <w:numPr>
          <w:ilvl w:val="0"/>
          <w:numId w:val="2"/>
        </w:numPr>
        <w:spacing w:after="120"/>
      </w:pPr>
      <w:r>
        <w:rPr>
          <w:b/>
          <w:bCs/>
        </w:rPr>
        <w:t xml:space="preserve">The Golden Shadow coupling</w:t>
      </w:r>
      <w:r>
        <w:t xml:space="preserve"> Δ/ζ(2) ≈ 1.64%: A dimensionless ratio in the range of fundamental coupling constants, potentially setting interaction strength in the spatial projection.</w:t>
      </w:r>
    </w:p>
    <w:p>
      <w:pPr>
        <w:pStyle w:val="Heading2"/>
      </w:pPr>
      <w:r>
        <w:t xml:space="preserve">8.2 The Logarithm as Projection Signature</w:t>
      </w:r>
    </w:p>
    <w:p>
      <w:pPr>
        <w:spacing w:after="200" w:line="276"/>
      </w:pPr>
      <w:r>
        <w:t xml:space="preserve">A key insight is that the logarithm—which serves as the translation layer between number space and resistance space in the foundational isomorphism Ω(1/n) = ln(n)—appears naturally in the modified field law. This suggests that when arithmetic structure is "projected" into observable space, it carries the signature of this translation.</w:t>
      </w:r>
    </w:p>
    <w:p>
      <w:pPr>
        <w:spacing w:after="200" w:line="276"/>
      </w:pPr>
      <w:r>
        <w:t xml:space="preserve">We see numbers (1/n) in the projected world; the underlying computation operates in resistances (ln n). The field law F(r) ~ ln(r)/r² may be showing us precisely this: the 1/r² is pure geometry (flux conservation), while the ln(r) is the </w:t>
      </w:r>
      <w:r>
        <w:rPr>
          <w:i/>
          <w:iCs/>
        </w:rPr>
        <w:t xml:space="preserve">projection signature</w:t>
      </w:r>
      <w:r>
        <w:t xml:space="preserve">—the mark of translating from the arithmetic substrate to spatial observation.</w:t>
      </w:r>
    </w:p>
    <w:p>
      <w:pPr>
        <w:pStyle w:val="Heading2"/>
      </w:pPr>
      <w:r>
        <w:t xml:space="preserve">8.3 What Would Constitute Progress</w:t>
      </w:r>
    </w:p>
    <w:p>
      <w:pPr>
        <w:spacing w:after="200" w:line="276"/>
      </w:pPr>
      <w:r>
        <w:t xml:space="preserve">The framework would be significantly strengthened by:</w:t>
      </w:r>
    </w:p>
    <w:p>
      <w:pPr>
        <w:pStyle w:val="ListParagraph"/>
        <w:numPr>
          <w:ilvl w:val="0"/>
          <w:numId w:val="2"/>
        </w:numPr>
        <w:spacing w:after="120"/>
      </w:pPr>
      <w:r>
        <w:t xml:space="preserve">Identifying the transition scale r₀ empirically</w:t>
      </w:r>
    </w:p>
    <w:p>
      <w:pPr>
        <w:pStyle w:val="ListParagraph"/>
        <w:numPr>
          <w:ilvl w:val="0"/>
          <w:numId w:val="2"/>
        </w:numPr>
        <w:spacing w:after="120"/>
      </w:pPr>
      <w:r>
        <w:t xml:space="preserve">Deriving the dimensional constant G₀ from arithmetic considerations</w:t>
      </w:r>
    </w:p>
    <w:p>
      <w:pPr>
        <w:pStyle w:val="ListParagraph"/>
        <w:numPr>
          <w:ilvl w:val="0"/>
          <w:numId w:val="2"/>
        </w:numPr>
        <w:spacing w:after="120"/>
      </w:pPr>
      <w:r>
        <w:t xml:space="preserve">Successfully predicting galactic rotation curves or cosmological observations</w:t>
      </w:r>
    </w:p>
    <w:p>
      <w:pPr>
        <w:pStyle w:val="ListParagraph"/>
        <w:numPr>
          <w:ilvl w:val="0"/>
          <w:numId w:val="2"/>
        </w:numPr>
        <w:spacing w:after="120"/>
      </w:pPr>
      <w:r>
        <w:t xml:space="preserve">Finding independent theoretical derivation of the ln(r) factor</w:t>
      </w:r>
    </w:p>
    <w:p>
      <w:pPr>
        <w:spacing w:after="200" w:line="276"/>
      </w:pPr>
      <w:r>
        <w:t xml:space="preserve">Without these, the framework remains a suggestive mathematical analogy rather than a predictive physical theory.</w:t>
      </w:r>
    </w:p>
    <w:p>
      <w:pPr>
        <w:pStyle w:val="Heading2"/>
      </w:pPr>
      <w:r>
        <w:t xml:space="preserve">8.4 Closing Remarks</w:t>
      </w:r>
    </w:p>
    <w:p>
      <w:pPr>
        <w:spacing w:after="200" w:line="276"/>
      </w:pPr>
      <w:r>
        <w:t xml:space="preserve">The Information Uncertainty Principle Q × P = 1 is mathematically rigorous—it follows exactly from the properties of Riemann zeros. The interpretation connecting this principle to spatial structure and gravity is speculative but motivated by the deep structural parallels between number theory and physics exposed by the Natural OS framework.</w:t>
      </w:r>
    </w:p>
    <w:p>
      <w:pPr>
        <w:spacing w:after="200" w:line="276"/>
      </w:pPr>
      <w:r>
        <w:t xml:space="preserve">Whether the universe is "made of numbers" in some deep sense, or whether these parallels are merely elegant coincidences, remains to be determined. But the Information Uncertainty Principle gives us a precise mathematical statement to test: if physical space is a projection of the critical line structure, then gravitational phenomena should exhibit logarithmic corrections to the pure 1/r² law, with a characteristic transition scale r₀ where the field changes sign.</w:t>
      </w:r>
    </w:p>
    <w:p>
      <w:pPr>
        <w:spacing w:after="200" w:line="276"/>
      </w:pPr>
      <w:r>
        <w:t xml:space="preserve">The path from here requires finding that scale—and with it, the bridge between dimensionless arithmetic and dimensional physics.</w:t>
      </w:r>
    </w:p>
    <w:p>
      <w:r>
        <w:br w:type="page"/>
      </w:r>
    </w:p>
    <w:p>
      <w:pPr>
        <w:pStyle w:val="Heading1"/>
      </w:pPr>
      <w:r>
        <w:t xml:space="preserve">References</w:t>
      </w:r>
    </w:p>
    <w:p>
      <w:pPr>
        <w:spacing w:after="200" w:line="276"/>
      </w:pPr>
      <w:r>
        <w:t xml:space="preserve">[1] Pisani, A. (2025). A Turing-Complete Resistance-Based Isomorphism for Probabilistic Computation.</w:t>
      </w:r>
    </w:p>
    <w:p>
      <w:pPr>
        <w:spacing w:after="200" w:line="276"/>
      </w:pPr>
      <w:r>
        <w:t xml:space="preserve">[2] Pisani, A. (2025). Natural OS: A Quantum-Analog Architecture Based on Number Theoretic Resonance.</w:t>
      </w:r>
    </w:p>
    <w:p>
      <w:pPr>
        <w:spacing w:after="200" w:line="276"/>
      </w:pPr>
      <w:r>
        <w:t xml:space="preserve">[3] Pisani, A. (2025). The Natural Operating System Oracle Framework: Arithmetic Fingerprints, Phase Coherence, and the Bridge to Hypercomputation.</w:t>
      </w:r>
    </w:p>
    <w:p>
      <w:pPr>
        <w:spacing w:after="200" w:line="276"/>
      </w:pPr>
      <w:r>
        <w:t xml:space="preserve">[4] Pisani, A. (2026). Natural OS: Analog Factorization and the Critical Line.</w:t>
      </w:r>
    </w:p>
    <w:p>
      <w:pPr>
        <w:spacing w:after="200" w:line="276"/>
      </w:pPr>
      <w:r>
        <w:t xml:space="preserve">[5] Riemann, B. (1859). Über die Anzahl der Primzahlen unter einer gegebenen Größe. Monatsberichte der Berliner Akademie.</w:t>
      </w:r>
    </w:p>
    <w:p>
      <w:pPr>
        <w:spacing w:after="200" w:line="276"/>
      </w:pPr>
      <w:r>
        <w:t xml:space="preserve">[6] Hurwitz, A. (1891). Über die angenäherte Darstellung der Irrationalzahlen durch rationale Brüche. Mathematische Annalen, 39(2), 279-284.</w:t>
      </w:r>
    </w:p>
    <w:p>
      <w:pPr>
        <w:spacing w:after="200" w:line="276"/>
      </w:pPr>
      <w:r>
        <w:t xml:space="preserve">[7] Milgrom, M. (1983). A modification of the Newtonian dynamics as a possible alternative to the hidden mass hypothesis. Astrophysical Journal, 270, 365-370.</w:t>
      </w:r>
    </w:p>
    <w:p>
      <w:pPr>
        <w:spacing w:after="200" w:line="276"/>
      </w:pPr>
      <w:r>
        <w:t xml:space="preserve">[8] Verlinde, E. (2011). On the origin of gravity and the laws of Newton. Journal of High Energy Physics, 2011(4), 29.</w:t>
      </w:r>
    </w:p>
    <w:p>
      <w:pPr>
        <w:spacing w:after="200" w:line="276"/>
      </w:pPr>
      <w:r>
        <w:t xml:space="preserve">[9] Titchmarsh, E.C. (1986). The Theory of the Riemann Zeta-Function (2nd ed.). Oxford University Press.</w:t>
      </w:r>
    </w:p>
    <w:p>
      <w:pPr>
        <w:spacing w:after="200" w:line="276"/>
      </w:pPr>
      <w:r>
        <w:t xml:space="preserve">[10] Edwards, H.M. (1974). Riemann's Zeta Function. Academic Press.</w:t>
      </w:r>
    </w:p>
    <w:p>
      <w:r>
        <w:br w:type="page"/>
      </w:r>
    </w:p>
    <w:p>
      <w:pPr>
        <w:pStyle w:val="Heading1"/>
      </w:pPr>
      <w:r>
        <w:t xml:space="preserve">Appendix A: Derivation Details</w:t>
      </w:r>
    </w:p>
    <w:p>
      <w:pPr>
        <w:pStyle w:val="Heading2"/>
      </w:pPr>
      <w:r>
        <w:t xml:space="preserve">A.1 The Riemann-von Mangoldt Formula</w:t>
      </w:r>
    </w:p>
    <w:p>
      <w:pPr>
        <w:spacing w:after="200" w:line="276"/>
      </w:pPr>
      <w:r>
        <w:t xml:space="preserve">The number of zeros of ζ(s) with imaginary part in (0, T] is given by:</w:t>
      </w:r>
    </w:p>
    <w:p>
      <w:pPr>
        <w:spacing w:before="200" w:after="200"/>
        <w:jc w:val="center"/>
      </w:pPr>
      <w:r>
        <w:rPr>
          <w:i/>
          <w:iCs/>
          <w:sz w:val="24"/>
          <w:szCs w:val="24"/>
        </w:rPr>
        <w:t xml:space="preserve">N(T) = (T/2π) ln(T/2π) − T/2π + O(ln T)</w:t>
      </w:r>
    </w:p>
    <w:p>
      <w:pPr>
        <w:spacing w:after="200" w:line="276"/>
      </w:pPr>
      <w:r>
        <w:t xml:space="preserve">From this, the density of zeros at height t is:</w:t>
      </w:r>
    </w:p>
    <w:p>
      <w:pPr>
        <w:spacing w:before="200" w:after="200"/>
        <w:jc w:val="center"/>
      </w:pPr>
      <w:r>
        <w:rPr>
          <w:i/>
          <w:iCs/>
          <w:sz w:val="24"/>
          <w:szCs w:val="24"/>
        </w:rPr>
        <w:t xml:space="preserve">n(t) = dN/dt ≈ ln(t)/(2π)</w:t>
      </w:r>
    </w:p>
    <w:p>
      <w:pPr>
        <w:spacing w:after="200" w:line="276"/>
      </w:pPr>
      <w:r>
        <w:t xml:space="preserve">and the mean spacing is:</w:t>
      </w:r>
    </w:p>
    <w:p>
      <w:pPr>
        <w:spacing w:before="200" w:after="200"/>
        <w:jc w:val="center"/>
      </w:pPr>
      <w:r>
        <w:rPr>
          <w:i/>
          <w:iCs/>
          <w:sz w:val="24"/>
          <w:szCs w:val="24"/>
        </w:rPr>
        <w:t xml:space="preserve">Δt ≈ 1/n(t) = 2π/ln(t)</w:t>
      </w:r>
    </w:p>
    <w:p>
      <w:pPr>
        <w:pStyle w:val="Heading2"/>
      </w:pPr>
      <w:r>
        <w:t xml:space="preserve">A.2 Verification of Q × P = 1</w:t>
      </w:r>
    </w:p>
    <w:p>
      <w:pPr>
        <w:spacing w:after="200" w:line="276"/>
      </w:pPr>
      <w:r>
        <w:t xml:space="preserve">Substituting the definitions:</w:t>
      </w:r>
    </w:p>
    <w:p>
      <w:pPr>
        <w:spacing w:before="200" w:after="200"/>
        <w:jc w:val="center"/>
      </w:pPr>
      <w:r>
        <w:rPr>
          <w:i/>
          <w:iCs/>
          <w:sz w:val="24"/>
          <w:szCs w:val="24"/>
        </w:rPr>
        <w:t xml:space="preserve">Q(t) × P(t) = [ln(t)/(2π)] × [2π/ln(t)]</w:t>
      </w:r>
    </w:p>
    <w:p>
      <w:pPr>
        <w:spacing w:before="200" w:after="200"/>
        <w:jc w:val="center"/>
      </w:pPr>
      <w:r>
        <w:rPr>
          <w:i/>
          <w:iCs/>
          <w:sz w:val="24"/>
          <w:szCs w:val="24"/>
        </w:rPr>
        <w:t xml:space="preserve">= [ln(t) × 2π] / [2π × ln(t)]</w:t>
      </w:r>
    </w:p>
    <w:p>
      <w:pPr>
        <w:spacing w:before="200" w:after="200"/>
        <w:jc w:val="center"/>
      </w:pPr>
      <w:r>
        <w:rPr>
          <w:i/>
          <w:iCs/>
          <w:sz w:val="24"/>
          <w:szCs w:val="24"/>
        </w:rPr>
        <w:t xml:space="preserve">= 1  □</w:t>
      </w:r>
    </w:p>
    <w:p>
      <w:pPr>
        <w:pStyle w:val="Heading2"/>
      </w:pPr>
      <w:r>
        <w:t xml:space="preserve">A.3 The Field Law Derivation</w:t>
      </w:r>
    </w:p>
    <w:p>
      <w:pPr>
        <w:spacing w:after="200" w:line="276"/>
      </w:pPr>
      <w:r>
        <w:t xml:space="preserve">Starting with the height-distance mapping t = r²:</w:t>
      </w:r>
    </w:p>
    <w:p>
      <w:pPr>
        <w:spacing w:before="200" w:after="200"/>
        <w:jc w:val="center"/>
      </w:pPr>
      <w:r>
        <w:rPr>
          <w:i/>
          <w:iCs/>
          <w:sz w:val="24"/>
          <w:szCs w:val="24"/>
        </w:rPr>
        <w:t xml:space="preserve">N(r²) ~ (r²/2π) ln(r²/2π)</w:t>
      </w:r>
    </w:p>
    <w:p>
      <w:pPr>
        <w:spacing w:after="200" w:line="276"/>
      </w:pPr>
      <w:r>
        <w:t xml:space="preserve">The "field" (information per unit area) at distance r:</w:t>
      </w:r>
    </w:p>
    <w:p>
      <w:pPr>
        <w:spacing w:before="200" w:after="200"/>
        <w:jc w:val="center"/>
      </w:pPr>
      <w:r>
        <w:rPr>
          <w:i/>
          <w:iCs/>
          <w:sz w:val="24"/>
          <w:szCs w:val="24"/>
        </w:rPr>
        <w:t xml:space="preserve">F(r) = N(r²) / (4πr²)</w:t>
      </w:r>
    </w:p>
    <w:p>
      <w:pPr>
        <w:spacing w:before="200" w:after="200"/>
        <w:jc w:val="center"/>
      </w:pPr>
      <w:r>
        <w:rPr>
          <w:i/>
          <w:iCs/>
          <w:sz w:val="24"/>
          <w:szCs w:val="24"/>
        </w:rPr>
        <w:t xml:space="preserve">≈ [(r²/2π) ln(r²/2π)] / (4πr²)</w:t>
      </w:r>
    </w:p>
    <w:p>
      <w:pPr>
        <w:spacing w:before="200" w:after="200"/>
        <w:jc w:val="center"/>
      </w:pPr>
      <w:r>
        <w:rPr>
          <w:i/>
          <w:iCs/>
          <w:sz w:val="24"/>
          <w:szCs w:val="24"/>
        </w:rPr>
        <w:t xml:space="preserve">= ln(r²/2π) / (8π²)</w:t>
      </w:r>
    </w:p>
    <w:p>
      <w:pPr>
        <w:spacing w:before="200" w:after="200"/>
        <w:jc w:val="center"/>
      </w:pPr>
      <w:r>
        <w:rPr>
          <w:i/>
          <w:iCs/>
          <w:sz w:val="24"/>
          <w:szCs w:val="24"/>
        </w:rPr>
        <w:t xml:space="preserve">~ ln(r) / (4π²)  for large r</w:t>
      </w:r>
    </w:p>
    <w:p>
      <w:pPr>
        <w:spacing w:after="200" w:line="276"/>
      </w:pPr>
      <w:r>
        <w:t xml:space="preserve">Normalizing and including a coupling constant G₀:</w:t>
      </w:r>
    </w:p>
    <w:p>
      <w:pPr>
        <w:spacing w:before="200" w:after="200"/>
        <w:jc w:val="center"/>
      </w:pPr>
      <w:r>
        <w:rPr>
          <w:i/>
          <w:iCs/>
          <w:sz w:val="24"/>
          <w:szCs w:val="24"/>
        </w:rPr>
        <w:t xml:space="preserve">F(r) = G₀ × ln(r/r₀) / r²</w:t>
      </w:r>
    </w:p>
    <w:p>
      <w:pPr>
        <w:pStyle w:val="Heading2"/>
      </w:pPr>
      <w:r>
        <w:t xml:space="preserve">A.4 Numerical Values</w:t>
      </w:r>
    </w:p>
    <w:p>
      <w:pPr>
        <w:spacing w:after="200" w:line="276"/>
      </w:pPr>
      <w:r>
        <w:t xml:space="preserve">Key constants used in this paper:</w:t>
      </w:r>
    </w:p>
    <w:p>
      <w:pPr>
        <w:pStyle w:val="ListParagraph"/>
        <w:numPr>
          <w:ilvl w:val="0"/>
          <w:numId w:val="2"/>
        </w:numPr>
        <w:spacing w:after="120"/>
      </w:pPr>
      <w:r>
        <w:t xml:space="preserve">ζ(2) = π²/6 = 1.6449340668482264...</w:t>
      </w:r>
    </w:p>
    <w:p>
      <w:pPr>
        <w:pStyle w:val="ListParagraph"/>
        <w:numPr>
          <w:ilvl w:val="0"/>
          <w:numId w:val="2"/>
        </w:numPr>
        <w:spacing w:after="120"/>
      </w:pPr>
      <w:r>
        <w:t xml:space="preserve">φ = (1 + √5)/2 = 1.6180339887498949...</w:t>
      </w:r>
    </w:p>
    <w:p>
      <w:pPr>
        <w:pStyle w:val="ListParagraph"/>
        <w:numPr>
          <w:ilvl w:val="0"/>
          <w:numId w:val="2"/>
        </w:numPr>
        <w:spacing w:after="120"/>
      </w:pPr>
      <w:r>
        <w:t xml:space="preserve">Δ = ζ(2) − φ = 0.0269000780983315...</w:t>
      </w:r>
    </w:p>
    <w:p>
      <w:pPr>
        <w:pStyle w:val="ListParagraph"/>
        <w:numPr>
          <w:ilvl w:val="0"/>
          <w:numId w:val="2"/>
        </w:numPr>
        <w:spacing w:after="120"/>
      </w:pPr>
      <w:r>
        <w:t xml:space="preserve">Δ/ζ(2) = 0.01635278...</w:t>
      </w:r>
    </w:p>
    <w:p>
      <w:pPr>
        <w:pStyle w:val="ListParagraph"/>
        <w:numPr>
          <w:ilvl w:val="0"/>
          <w:numId w:val="2"/>
        </w:numPr>
        <w:spacing w:after="120"/>
      </w:pPr>
      <w:r>
        <w:t xml:space="preserve">First Riemann zero: t₁ = 14.134725141734693...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The Information Uncertainty Principle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2025-12-19T06:08:18.303Z</dcterms:created>
  <dcterms:modified xsi:type="dcterms:W3CDTF">2025-12-19T06:08:18.304Z</dcterms:modified>
</cp:coreProperties>
</file>

<file path=docProps/custom.xml><?xml version="1.0" encoding="utf-8"?>
<Properties xmlns="http://schemas.openxmlformats.org/officeDocument/2006/custom-properties" xmlns:vt="http://schemas.openxmlformats.org/officeDocument/2006/docPropsVTypes"/>
</file>