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906187" r:id="rId9"/>
        </w:object>
      </w: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p w:rsidR="007E66BA" w:rsidRDefault="007E66BA" w:rsidP="005A0C1D">
      <w:pPr>
        <w:rPr>
          <w:lang w:val="en-GB"/>
        </w:rPr>
      </w:pPr>
      <w:r w:rsidRPr="007E66BA">
        <w:rPr>
          <w:highlight w:val="yellow"/>
          <w:lang w:val="en-GB"/>
        </w:rPr>
        <w:t>Requirements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lastRenderedPageBreak/>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906188"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906189" r:id="rId13"/>
        </w:object>
      </w: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w:t>
      </w:r>
      <w:proofErr w:type="gramStart"/>
      <w:r>
        <w:rPr>
          <w:lang w:val="en-GB"/>
        </w:rPr>
        <w:t>may</w:t>
      </w:r>
      <w:proofErr w:type="gramEnd"/>
      <w:r>
        <w:rPr>
          <w:lang w:val="en-GB"/>
        </w:rPr>
        <w:t xml:space="preserve">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w:t>
      </w:r>
      <w:proofErr w:type="gramStart"/>
      <w:r>
        <w:rPr>
          <w:lang w:val="en-GB"/>
        </w:rPr>
        <w:t xml:space="preserve">LMS </w:t>
      </w:r>
      <w:proofErr w:type="gramEnd"/>
      <w:r>
        <w:rPr>
          <w:lang w:val="en-GB"/>
        </w:rPr>
        <w:sym w:font="Wingdings" w:char="004A"/>
      </w:r>
      <w:r>
        <w:rPr>
          <w:lang w:val="en-GB"/>
        </w:rPr>
        <w:t>) to remove the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ED46CB"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906190" r:id="rId15"/>
        </w:object>
      </w: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60027" w:rsidRDefault="00130AB1" w:rsidP="00752584">
      <w:pPr>
        <w:jc w:val="center"/>
      </w:pPr>
      <w:r>
        <w:object w:dxaOrig="10667" w:dyaOrig="5710">
          <v:shape id="_x0000_i1029" type="#_x0000_t75" style="width:481.5pt;height:258pt" o:ole="">
            <v:imagedata r:id="rId16" o:title=""/>
          </v:shape>
          <o:OLEObject Type="Embed" ProgID="Visio.Drawing.11" ShapeID="_x0000_i1029" DrawAspect="Content" ObjectID="_1353906191" r:id="rId17"/>
        </w:object>
      </w: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 xml:space="preserve">other blocks, this has no hard real-time requirements. Granted the serial bus has a data flow, but not only a rather slow one, but also one where </w:t>
      </w:r>
      <w:r>
        <w:rPr>
          <w:lang w:val="en-US"/>
        </w:rPr>
        <w:lastRenderedPageBreak/>
        <w:t>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lastRenderedPageBreak/>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w:t>
      </w:r>
      <w:r>
        <w:rPr>
          <w:lang w:val="en-GB"/>
        </w:rPr>
        <w:lastRenderedPageBreak/>
        <w:t xml:space="preserve">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7E66BA"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7E66BA"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7E66BA"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7E66BA"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7E66BA"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7E66BA"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3774EC" w:rsidRDefault="00B80CAD" w:rsidP="00B80CAD">
      <w:pPr>
        <w:pStyle w:val="Overskrift1"/>
        <w:rPr>
          <w:lang w:val="en-GB"/>
        </w:rPr>
      </w:pPr>
      <w:r w:rsidRPr="00B80CAD">
        <w:rPr>
          <w:lang w:val="en-GB"/>
        </w:rPr>
        <w:t>Y-chart mapping</w:t>
      </w:r>
    </w:p>
    <w:p w:rsidR="00B80CAD" w:rsidRPr="00B80CAD" w:rsidRDefault="00B80CAD" w:rsidP="00B80CAD">
      <w:pPr>
        <w:rPr>
          <w:lang w:val="en-GB"/>
        </w:rPr>
      </w:pP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t>
      </w:r>
      <w:r>
        <w:rPr>
          <w:lang w:val="en-GB"/>
        </w:rPr>
        <w:lastRenderedPageBreak/>
        <w:t xml:space="preserve">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B47" w:rsidRDefault="00A76B47" w:rsidP="00D302D8">
      <w:pPr>
        <w:spacing w:after="0" w:line="240" w:lineRule="auto"/>
      </w:pPr>
      <w:r>
        <w:separator/>
      </w:r>
    </w:p>
  </w:endnote>
  <w:endnote w:type="continuationSeparator" w:id="0">
    <w:p w:rsidR="00A76B47" w:rsidRDefault="00A76B47"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174822">
        <w:pPr>
          <w:pStyle w:val="Sidefod"/>
          <w:jc w:val="right"/>
        </w:pPr>
        <w:fldSimple w:instr=" PAGE   \* MERGEFORMAT ">
          <w:r w:rsidR="007E66BA">
            <w:rPr>
              <w:noProof/>
            </w:rPr>
            <w:t>3</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B47" w:rsidRDefault="00A76B47" w:rsidP="00D302D8">
      <w:pPr>
        <w:spacing w:after="0" w:line="240" w:lineRule="auto"/>
      </w:pPr>
      <w:r>
        <w:separator/>
      </w:r>
    </w:p>
  </w:footnote>
  <w:footnote w:type="continuationSeparator" w:id="0">
    <w:p w:rsidR="00A76B47" w:rsidRDefault="00A76B47"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74822"/>
    <w:rsid w:val="00196C2B"/>
    <w:rsid w:val="001B6FBF"/>
    <w:rsid w:val="001C272B"/>
    <w:rsid w:val="001C6BC5"/>
    <w:rsid w:val="001E225B"/>
    <w:rsid w:val="001E7666"/>
    <w:rsid w:val="001F2B10"/>
    <w:rsid w:val="002119A5"/>
    <w:rsid w:val="0024457D"/>
    <w:rsid w:val="00253BBD"/>
    <w:rsid w:val="00260027"/>
    <w:rsid w:val="00267446"/>
    <w:rsid w:val="00276C32"/>
    <w:rsid w:val="002A140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B4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47770"/>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2345-42E7-4D4B-95DA-A734F152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11</Pages>
  <Words>1866</Words>
  <Characters>11387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103</cp:revision>
  <dcterms:created xsi:type="dcterms:W3CDTF">2010-11-12T22:08:00Z</dcterms:created>
  <dcterms:modified xsi:type="dcterms:W3CDTF">2010-12-15T07:17:00Z</dcterms:modified>
</cp:coreProperties>
</file>