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A94" w:rsidRDefault="00635A94">
      <w:pPr>
        <w:rPr>
          <w:lang w:val="en-US"/>
        </w:rPr>
      </w:pPr>
    </w:p>
    <w:p w:rsidR="00635A94" w:rsidRPr="00635A94" w:rsidRDefault="00635A94" w:rsidP="00635A94">
      <w:pPr>
        <w:pStyle w:val="Overskrift1"/>
        <w:rPr>
          <w:lang w:val="en-US"/>
        </w:rPr>
      </w:pPr>
      <w:r>
        <w:rPr>
          <w:lang w:val="en-US"/>
        </w:rPr>
        <w:t xml:space="preserve">Requirement Specification </w:t>
      </w:r>
    </w:p>
    <w:p w:rsidR="00794F97" w:rsidRDefault="00794F97">
      <w:pPr>
        <w:rPr>
          <w:lang w:val="en-US"/>
        </w:rPr>
      </w:pPr>
      <w:r w:rsidRPr="00215024">
        <w:rPr>
          <w:lang w:val="en-US"/>
        </w:rPr>
        <w:t>INCOSE describes a system life cycle</w:t>
      </w:r>
      <w:r>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w:t>
      </w:r>
    </w:p>
    <w:tbl>
      <w:tblPr>
        <w:tblW w:w="0" w:type="auto"/>
        <w:tblLook w:val="00A0"/>
      </w:tblPr>
      <w:tblGrid>
        <w:gridCol w:w="9155"/>
      </w:tblGrid>
      <w:tr w:rsidR="00794F97" w:rsidRPr="00B7095F" w:rsidTr="00635A94">
        <w:tc>
          <w:tcPr>
            <w:tcW w:w="0" w:type="auto"/>
            <w:vAlign w:val="center"/>
          </w:tcPr>
          <w:p w:rsidR="00794F97" w:rsidRPr="00B7095F" w:rsidRDefault="00BF4A11" w:rsidP="00B7095F">
            <w:pPr>
              <w:keepNext/>
              <w:spacing w:after="0" w:line="240" w:lineRule="auto"/>
              <w:jc w:val="cente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2.75pt;visibility:visible">
                  <v:imagedata r:id="rId8" o:title=""/>
                </v:shape>
              </w:pict>
            </w:r>
          </w:p>
        </w:tc>
      </w:tr>
    </w:tbl>
    <w:p w:rsidR="00794F97" w:rsidRPr="00215024" w:rsidRDefault="00794F97" w:rsidP="00635A94">
      <w:pPr>
        <w:pStyle w:val="Billedtekst"/>
        <w:rPr>
          <w:lang w:val="en-US"/>
        </w:rPr>
      </w:pPr>
      <w:r w:rsidRPr="001C2054">
        <w:rPr>
          <w:lang w:val="en-US"/>
        </w:rPr>
        <w:t>System Life cycle Processes Overview</w:t>
      </w:r>
      <w:r w:rsidR="00635A94">
        <w:rPr>
          <w:rStyle w:val="Fodnotehenvisning"/>
          <w:lang w:val="en-US"/>
        </w:rPr>
        <w:footnoteReference w:id="1"/>
      </w:r>
    </w:p>
    <w:p w:rsidR="00536AF7" w:rsidRDefault="00536AF7" w:rsidP="00536AF7">
      <w:pPr>
        <w:pStyle w:val="Overskrift2"/>
        <w:rPr>
          <w:lang w:val="en-US"/>
        </w:rPr>
      </w:pPr>
      <w:r>
        <w:rPr>
          <w:lang w:val="en-US"/>
        </w:rPr>
        <w:t>Requirement Analysis Process</w:t>
      </w:r>
    </w:p>
    <w:p w:rsidR="00794F97" w:rsidRDefault="00794F97" w:rsidP="00536AF7">
      <w:pPr>
        <w:pStyle w:val="Overskrift3"/>
        <w:rPr>
          <w:lang w:val="en-US"/>
        </w:rPr>
      </w:pPr>
      <w:r>
        <w:rPr>
          <w:lang w:val="en-US"/>
        </w:rPr>
        <w:t>Concept of Operation</w:t>
      </w:r>
    </w:p>
    <w:p w:rsidR="00794F97" w:rsidRDefault="00794F97" w:rsidP="0017444A">
      <w:pPr>
        <w:rPr>
          <w:lang w:val="en-US"/>
        </w:rPr>
      </w:pPr>
      <w:r>
        <w:rPr>
          <w:lang w:val="en-US"/>
        </w:rPr>
        <w:t xml:space="preserve">This section will contain a storytelling from where many use cases </w:t>
      </w:r>
      <w:proofErr w:type="spellStart"/>
      <w:r>
        <w:rPr>
          <w:lang w:val="en-US"/>
        </w:rPr>
        <w:t>stakeholdes</w:t>
      </w:r>
      <w:proofErr w:type="spellEnd"/>
      <w:r>
        <w:rPr>
          <w:lang w:val="en-US"/>
        </w:rPr>
        <w:t xml:space="preserve"> can be derived. </w:t>
      </w:r>
    </w:p>
    <w:p w:rsidR="00794F97" w:rsidRDefault="00794F97" w:rsidP="00865465">
      <w:pPr>
        <w:pStyle w:val="Overskrift3"/>
        <w:rPr>
          <w:lang w:val="en-US"/>
        </w:rPr>
      </w:pPr>
      <w:r>
        <w:rPr>
          <w:lang w:val="en-US"/>
        </w:rPr>
        <w:t>Storytelling</w:t>
      </w:r>
    </w:p>
    <w:p w:rsidR="00794F97" w:rsidRPr="000E3B9D" w:rsidRDefault="00794F97" w:rsidP="00B342F0">
      <w:pPr>
        <w:textAlignment w:val="top"/>
        <w:rPr>
          <w:rFonts w:cs="Arial"/>
          <w:color w:val="888888"/>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An old man tried to reach the coffee on top shelf, but cannot reach it. He then presses the emergency call and gets redirected to a service assistant at the help care center. The service assistant quickly realizes that it is not seriously and urgent help is not needed.</w:t>
      </w:r>
    </w:p>
    <w:p w:rsidR="00536AF7" w:rsidRPr="006550ED" w:rsidRDefault="00536AF7" w:rsidP="00536AF7">
      <w:pPr>
        <w:pStyle w:val="Overskrift3"/>
        <w:rPr>
          <w:lang w:val="en-GB"/>
        </w:rPr>
      </w:pPr>
      <w:r w:rsidRPr="006550ED">
        <w:rPr>
          <w:lang w:val="en-GB"/>
        </w:rPr>
        <w:lastRenderedPageBreak/>
        <w:t>Use case diagram</w:t>
      </w:r>
    </w:p>
    <w:p w:rsidR="00536AF7" w:rsidRPr="006550ED" w:rsidRDefault="00536AF7" w:rsidP="00536AF7">
      <w:pPr>
        <w:rPr>
          <w:lang w:val="en-GB"/>
        </w:rPr>
      </w:pPr>
    </w:p>
    <w:p w:rsidR="00536AF7" w:rsidRPr="006550ED" w:rsidRDefault="00536AF7" w:rsidP="00536AF7">
      <w:pPr>
        <w:jc w:val="center"/>
        <w:rPr>
          <w:lang w:val="en-GB"/>
        </w:rPr>
      </w:pPr>
      <w:r w:rsidRPr="006550ED">
        <w:rPr>
          <w:lang w:val="en-GB"/>
        </w:rPr>
        <w:object w:dxaOrig="8592" w:dyaOrig="7239">
          <v:shape id="_x0000_i1026" type="#_x0000_t75" style="width:429.75pt;height:362.25pt" o:ole="">
            <v:imagedata r:id="rId9" o:title=""/>
          </v:shape>
          <o:OLEObject Type="Embed" ProgID="Visio.Drawing.11" ShapeID="_x0000_i1026" DrawAspect="Content" ObjectID="_1360009589" r:id="rId10"/>
        </w:object>
      </w:r>
    </w:p>
    <w:p w:rsidR="00536AF7" w:rsidRPr="006550ED" w:rsidRDefault="00536AF7" w:rsidP="00536AF7">
      <w:pPr>
        <w:pStyle w:val="Billedtekst"/>
        <w:jc w:val="center"/>
        <w:rPr>
          <w:lang w:val="en-GB"/>
        </w:rPr>
      </w:pPr>
      <w:bookmarkStart w:id="0" w:name="_Ref285827986"/>
      <w:r w:rsidRPr="006550ED">
        <w:rPr>
          <w:lang w:val="en-US"/>
        </w:rPr>
        <w:t xml:space="preserve">Figure </w:t>
      </w:r>
      <w:r>
        <w:fldChar w:fldCharType="begin"/>
      </w:r>
      <w:r w:rsidRPr="006550ED">
        <w:rPr>
          <w:lang w:val="en-US"/>
        </w:rPr>
        <w:instrText xml:space="preserve"> SEQ Figure \* ARABIC </w:instrText>
      </w:r>
      <w:r>
        <w:fldChar w:fldCharType="separate"/>
      </w:r>
      <w:r>
        <w:rPr>
          <w:noProof/>
          <w:lang w:val="en-US"/>
        </w:rPr>
        <w:t>1</w:t>
      </w:r>
      <w:r>
        <w:fldChar w:fldCharType="end"/>
      </w:r>
      <w:bookmarkEnd w:id="0"/>
      <w:r w:rsidRPr="006550ED">
        <w:rPr>
          <w:noProof/>
          <w:lang w:val="en-US"/>
        </w:rPr>
        <w:t xml:space="preserve"> - Use case diagram</w:t>
      </w:r>
    </w:p>
    <w:p w:rsidR="00536AF7" w:rsidRPr="006550ED" w:rsidRDefault="00536AF7" w:rsidP="00536AF7">
      <w:pPr>
        <w:jc w:val="center"/>
        <w:rPr>
          <w:lang w:val="en-GB"/>
        </w:rPr>
      </w:pPr>
    </w:p>
    <w:p w:rsidR="00536AF7" w:rsidRDefault="00536AF7" w:rsidP="00536AF7">
      <w:pPr>
        <w:rPr>
          <w:lang w:val="en-GB"/>
        </w:rPr>
      </w:pPr>
      <w:r w:rsidRPr="006550ED">
        <w:rPr>
          <w:lang w:val="en-GB"/>
        </w:rPr>
        <w:t xml:space="preserve">In </w:t>
      </w:r>
      <w:r>
        <w:rPr>
          <w:lang w:val="en-GB"/>
        </w:rPr>
        <w:fldChar w:fldCharType="begin"/>
      </w:r>
      <w:r>
        <w:rPr>
          <w:lang w:val="en-GB"/>
        </w:rPr>
        <w:instrText xml:space="preserve"> REF _Ref285827986 \h </w:instrText>
      </w:r>
      <w:r>
        <w:rPr>
          <w:lang w:val="en-GB"/>
        </w:rPr>
      </w:r>
      <w:r>
        <w:rPr>
          <w:lang w:val="en-GB"/>
        </w:rPr>
        <w:fldChar w:fldCharType="separate"/>
      </w:r>
      <w:r w:rsidRPr="006550ED">
        <w:rPr>
          <w:lang w:val="en-US"/>
        </w:rPr>
        <w:t xml:space="preserve">Figure </w:t>
      </w:r>
      <w:r w:rsidRPr="006550ED">
        <w:rPr>
          <w:noProof/>
          <w:lang w:val="en-US"/>
        </w:rPr>
        <w:t>1</w:t>
      </w:r>
      <w:r>
        <w:rPr>
          <w:lang w:val="en-GB"/>
        </w:rPr>
        <w:fldChar w:fldCharType="end"/>
      </w:r>
      <w:r>
        <w:rPr>
          <w:lang w:val="en-GB"/>
        </w:rPr>
        <w:t xml:space="preserve"> </w:t>
      </w:r>
      <w:r w:rsidRPr="006550ED">
        <w:rPr>
          <w:lang w:val="en-GB"/>
        </w:rPr>
        <w:t>all communication goes through the Emergency call base, yet where the communication is merely relayed to another actor the Emergency call base is not shown as part of the communication.</w:t>
      </w:r>
    </w:p>
    <w:p w:rsidR="00794F97" w:rsidRDefault="00794F97" w:rsidP="003A43E8">
      <w:pPr>
        <w:pStyle w:val="Overskrift2"/>
        <w:rPr>
          <w:lang w:val="en-US"/>
        </w:rPr>
      </w:pPr>
      <w:r>
        <w:rPr>
          <w:lang w:val="en-US"/>
        </w:rPr>
        <w:t>Stakeholders</w:t>
      </w:r>
    </w:p>
    <w:p w:rsidR="00794F97" w:rsidRDefault="00536AF7" w:rsidP="00FB7B96">
      <w:pPr>
        <w:spacing w:after="0"/>
        <w:rPr>
          <w:lang w:val="en-US"/>
        </w:rPr>
      </w:pPr>
      <w:r>
        <w:rPr>
          <w:lang w:val="en-US"/>
        </w:rPr>
        <w:t>Commune</w:t>
      </w:r>
    </w:p>
    <w:p w:rsidR="00794F97" w:rsidRDefault="00794F97" w:rsidP="00FB7B96">
      <w:pPr>
        <w:spacing w:after="0"/>
        <w:rPr>
          <w:lang w:val="en-US"/>
        </w:rPr>
      </w:pPr>
      <w:r>
        <w:rPr>
          <w:lang w:val="en-US"/>
        </w:rPr>
        <w:t>Help care center</w:t>
      </w:r>
    </w:p>
    <w:p w:rsidR="00794F97" w:rsidRDefault="00794F97" w:rsidP="00FB7B96">
      <w:pPr>
        <w:spacing w:after="0"/>
        <w:rPr>
          <w:lang w:val="en-US"/>
        </w:rPr>
      </w:pPr>
      <w:r>
        <w:rPr>
          <w:lang w:val="en-US"/>
        </w:rPr>
        <w:t>The older</w:t>
      </w:r>
    </w:p>
    <w:p w:rsidR="00536AF7" w:rsidRDefault="00794F97" w:rsidP="00536AF7">
      <w:pPr>
        <w:spacing w:after="0"/>
        <w:rPr>
          <w:lang w:val="en-US"/>
        </w:rPr>
      </w:pPr>
      <w:r>
        <w:rPr>
          <w:lang w:val="en-US"/>
        </w:rPr>
        <w:t>System administrators</w:t>
      </w:r>
    </w:p>
    <w:p w:rsidR="00794F97" w:rsidRDefault="00794F97" w:rsidP="00FB7B96">
      <w:pPr>
        <w:pStyle w:val="Overskrift1"/>
        <w:rPr>
          <w:lang w:val="en-US"/>
        </w:rPr>
      </w:pPr>
      <w:r>
        <w:rPr>
          <w:lang w:val="en-US"/>
        </w:rPr>
        <w:t xml:space="preserve">Requirement </w:t>
      </w:r>
      <w:proofErr w:type="gramStart"/>
      <w:r>
        <w:rPr>
          <w:lang w:val="en-US"/>
        </w:rPr>
        <w:t>Analysis  Process</w:t>
      </w:r>
      <w:proofErr w:type="gramEnd"/>
    </w:p>
    <w:p w:rsidR="00794F97" w:rsidRDefault="00794F97" w:rsidP="00FB7B96">
      <w:pPr>
        <w:rPr>
          <w:lang w:val="en-US"/>
        </w:rPr>
      </w:pPr>
      <w:r>
        <w:rPr>
          <w:lang w:val="en-US"/>
        </w:rPr>
        <w:t xml:space="preserve">The </w:t>
      </w:r>
      <w:proofErr w:type="gramStart"/>
      <w:r>
        <w:rPr>
          <w:lang w:val="en-US"/>
        </w:rPr>
        <w:t>activities in the requirement analysis process (RAP) is</w:t>
      </w:r>
      <w:proofErr w:type="gramEnd"/>
      <w:r>
        <w:rPr>
          <w:lang w:val="en-US"/>
        </w:rPr>
        <w:t xml:space="preserve"> about transforming the stakeholders requirement driven view, of desired functionality into a technical view of the required product. The result of this process is a measurable system </w:t>
      </w:r>
      <w:proofErr w:type="gramStart"/>
      <w:r>
        <w:rPr>
          <w:lang w:val="en-US"/>
        </w:rPr>
        <w:t>requirement, tha</w:t>
      </w:r>
      <w:r w:rsidR="00536AF7">
        <w:rPr>
          <w:lang w:val="en-US"/>
        </w:rPr>
        <w:t>t</w:t>
      </w:r>
      <w:proofErr w:type="gramEnd"/>
      <w:r w:rsidR="00536AF7">
        <w:rPr>
          <w:lang w:val="en-US"/>
        </w:rPr>
        <w:t xml:space="preserve"> meet the stakeholders demand. </w:t>
      </w:r>
      <w:r w:rsidR="00536AF7">
        <w:rPr>
          <w:lang w:val="en-US"/>
        </w:rPr>
        <w:lastRenderedPageBreak/>
        <w:t xml:space="preserve">Because </w:t>
      </w:r>
      <w:r w:rsidR="0067111C">
        <w:rPr>
          <w:lang w:val="en-US"/>
        </w:rPr>
        <w:t>our</w:t>
      </w:r>
      <w:r w:rsidR="00536AF7">
        <w:rPr>
          <w:lang w:val="en-US"/>
        </w:rPr>
        <w:t xml:space="preserve"> customer already is a system engineer, the need for deriving stakeholders need is already done, and the product to work </w:t>
      </w:r>
      <w:proofErr w:type="spellStart"/>
      <w:r w:rsidR="00536AF7">
        <w:rPr>
          <w:lang w:val="en-US"/>
        </w:rPr>
        <w:t>futher</w:t>
      </w:r>
      <w:proofErr w:type="spellEnd"/>
      <w:r w:rsidR="00536AF7">
        <w:rPr>
          <w:lang w:val="en-US"/>
        </w:rPr>
        <w:t xml:space="preserve"> on is a detailed requirement specification. To keep track of </w:t>
      </w:r>
      <w:proofErr w:type="spellStart"/>
      <w:r w:rsidR="00536AF7">
        <w:rPr>
          <w:lang w:val="en-US"/>
        </w:rPr>
        <w:t>oure</w:t>
      </w:r>
      <w:proofErr w:type="spellEnd"/>
      <w:r w:rsidR="00536AF7">
        <w:rPr>
          <w:lang w:val="en-US"/>
        </w:rPr>
        <w:t xml:space="preserve"> requirement we have developed </w:t>
      </w:r>
      <w:proofErr w:type="gramStart"/>
      <w:r w:rsidR="00536AF7">
        <w:rPr>
          <w:lang w:val="en-US"/>
        </w:rPr>
        <w:t>a  requirement</w:t>
      </w:r>
      <w:proofErr w:type="gramEnd"/>
      <w:r w:rsidR="00536AF7">
        <w:rPr>
          <w:lang w:val="en-US"/>
        </w:rPr>
        <w:t xml:space="preserve"> verification </w:t>
      </w:r>
      <w:proofErr w:type="spellStart"/>
      <w:r w:rsidR="00536AF7">
        <w:rPr>
          <w:lang w:val="en-US"/>
        </w:rPr>
        <w:t>tracability</w:t>
      </w:r>
      <w:proofErr w:type="spellEnd"/>
      <w:r w:rsidR="00536AF7">
        <w:rPr>
          <w:lang w:val="en-US"/>
        </w:rPr>
        <w:t xml:space="preserve"> matrix (RVTM)</w:t>
      </w:r>
      <w:r w:rsidR="00F22F59">
        <w:rPr>
          <w:rStyle w:val="Fodnotehenvisning"/>
          <w:lang w:val="en-US"/>
        </w:rPr>
        <w:footnoteReference w:id="2"/>
      </w:r>
      <w:r w:rsidR="00536AF7">
        <w:rPr>
          <w:lang w:val="en-US"/>
        </w:rPr>
        <w:t xml:space="preserve">, though we have shipped the “v” verification because it is beyond the scope for this project. </w:t>
      </w:r>
    </w:p>
    <w:p w:rsidR="00794F97" w:rsidRDefault="00F22F59" w:rsidP="00FB7B96">
      <w:pPr>
        <w:rPr>
          <w:lang w:val="en-US"/>
        </w:rPr>
      </w:pPr>
      <w:r>
        <w:rPr>
          <w:lang w:val="en-US"/>
        </w:rPr>
        <w:t>The table below illustrates all system requirement together with is corresponding use case, and a</w:t>
      </w:r>
      <w:r w:rsidR="00846325">
        <w:rPr>
          <w:lang w:val="en-US"/>
        </w:rPr>
        <w:t>n</w:t>
      </w:r>
      <w:r>
        <w:rPr>
          <w:lang w:val="en-US"/>
        </w:rPr>
        <w:t xml:space="preserve"> indication whether it is a functional requirement or </w:t>
      </w:r>
      <w:proofErr w:type="gramStart"/>
      <w:r>
        <w:rPr>
          <w:lang w:val="en-US"/>
        </w:rPr>
        <w:t>non</w:t>
      </w:r>
      <w:proofErr w:type="gramEnd"/>
      <w:r>
        <w:rPr>
          <w:lang w:val="en-US"/>
        </w:rPr>
        <w:t>.</w:t>
      </w:r>
    </w:p>
    <w:p w:rsidR="00794F97" w:rsidRDefault="00794F97" w:rsidP="00F22F59">
      <w:pPr>
        <w:pStyle w:val="Overskrift3"/>
        <w:rPr>
          <w:lang w:val="en-US"/>
        </w:rPr>
      </w:pPr>
      <w:r>
        <w:rPr>
          <w:lang w:val="en-US"/>
        </w:rPr>
        <w:t>Initial Requirement Traceability Matrix</w:t>
      </w:r>
    </w:p>
    <w:tbl>
      <w:tblPr>
        <w:tblW w:w="9700" w:type="dxa"/>
        <w:tblBorders>
          <w:top w:val="single" w:sz="8" w:space="0" w:color="4BACC6"/>
          <w:left w:val="single" w:sz="8" w:space="0" w:color="4BACC6"/>
          <w:bottom w:val="single" w:sz="8" w:space="0" w:color="4BACC6"/>
          <w:right w:val="single" w:sz="8" w:space="0" w:color="4BACC6"/>
        </w:tblBorders>
        <w:tblLayout w:type="fixed"/>
        <w:tblLook w:val="00A0"/>
      </w:tblPr>
      <w:tblGrid>
        <w:gridCol w:w="534"/>
        <w:gridCol w:w="850"/>
        <w:gridCol w:w="2977"/>
        <w:gridCol w:w="1134"/>
        <w:gridCol w:w="1134"/>
        <w:gridCol w:w="709"/>
        <w:gridCol w:w="708"/>
        <w:gridCol w:w="851"/>
        <w:gridCol w:w="803"/>
      </w:tblGrid>
      <w:tr w:rsidR="001D61AA" w:rsidRPr="00B7095F"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ID</w:t>
            </w:r>
          </w:p>
        </w:tc>
        <w:tc>
          <w:tcPr>
            <w:tcW w:w="850"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Stakeholder Requirement</w:t>
            </w:r>
          </w:p>
        </w:tc>
        <w:tc>
          <w:tcPr>
            <w:tcW w:w="2977"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System Requirement</w:t>
            </w:r>
          </w:p>
        </w:tc>
        <w:tc>
          <w:tcPr>
            <w:tcW w:w="1134"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Requirement type</w:t>
            </w:r>
          </w:p>
        </w:tc>
        <w:tc>
          <w:tcPr>
            <w:tcW w:w="1134"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Component</w:t>
            </w:r>
          </w:p>
        </w:tc>
        <w:tc>
          <w:tcPr>
            <w:tcW w:w="709"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Requirement ref.</w:t>
            </w:r>
          </w:p>
        </w:tc>
        <w:tc>
          <w:tcPr>
            <w:tcW w:w="708"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UC Ref.</w:t>
            </w:r>
          </w:p>
        </w:tc>
        <w:tc>
          <w:tcPr>
            <w:tcW w:w="851"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Test Case Ref.</w:t>
            </w:r>
          </w:p>
        </w:tc>
        <w:tc>
          <w:tcPr>
            <w:tcW w:w="803"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Comment</w:t>
            </w:r>
          </w:p>
        </w:tc>
      </w:tr>
      <w:tr w:rsidR="001D61AA" w:rsidRPr="00B7095F"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1</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w:t>
            </w:r>
          </w:p>
        </w:tc>
        <w:tc>
          <w:tcPr>
            <w:tcW w:w="2977"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activate the emergency call button</w:t>
            </w:r>
          </w:p>
        </w:tc>
        <w:tc>
          <w:tcPr>
            <w:tcW w:w="1134"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794F97"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UC1</w:t>
            </w:r>
          </w:p>
        </w:tc>
        <w:tc>
          <w:tcPr>
            <w:tcW w:w="851" w:type="dxa"/>
            <w:tcBorders>
              <w:top w:val="single" w:sz="8" w:space="0" w:color="4BACC6" w:themeColor="accent5"/>
              <w:bottom w:val="single" w:sz="8" w:space="0" w:color="4BACC6" w:themeColor="accent5"/>
            </w:tcBorders>
          </w:tcPr>
          <w:p w:rsidR="00794F97"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794F9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2</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SR2</w:t>
            </w:r>
          </w:p>
        </w:tc>
        <w:tc>
          <w:tcPr>
            <w:tcW w:w="2977"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Is shall be possible to recharge the battery on the emergency call system</w:t>
            </w:r>
          </w:p>
        </w:tc>
        <w:tc>
          <w:tcPr>
            <w:tcW w:w="1134"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UC2</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3</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SR3</w:t>
            </w:r>
          </w:p>
        </w:tc>
        <w:tc>
          <w:tcPr>
            <w:tcW w:w="2977"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The system shall automatically adjust the RF transmission power according to the environment, to minimize power consumption</w:t>
            </w:r>
          </w:p>
        </w:tc>
        <w:tc>
          <w:tcPr>
            <w:tcW w:w="1134"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w:t>
            </w:r>
            <w:r w:rsidR="00A16402" w:rsidRPr="001D61AA">
              <w:rPr>
                <w:rFonts w:asciiTheme="minorHAnsi" w:hAnsiTheme="minorHAnsi"/>
                <w:b/>
                <w:color w:val="000000"/>
                <w:sz w:val="20"/>
                <w:szCs w:val="20"/>
                <w:lang w:val="en-US"/>
              </w:rPr>
              <w:t>3</w:t>
            </w:r>
          </w:p>
        </w:tc>
        <w:tc>
          <w:tcPr>
            <w:tcW w:w="851"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4</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SR4</w:t>
            </w:r>
          </w:p>
        </w:tc>
        <w:tc>
          <w:tcPr>
            <w:tcW w:w="2977"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The system shall notify the user if the batty is below 20 % of max capacity</w:t>
            </w:r>
          </w:p>
        </w:tc>
        <w:tc>
          <w:tcPr>
            <w:tcW w:w="1134"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w:t>
            </w:r>
            <w:r w:rsidR="00A16402" w:rsidRPr="001D61AA">
              <w:rPr>
                <w:rFonts w:asciiTheme="minorHAnsi" w:hAnsiTheme="minorHAnsi"/>
                <w:b/>
                <w:color w:val="000000"/>
                <w:sz w:val="20"/>
                <w:szCs w:val="20"/>
                <w:lang w:val="en-US"/>
              </w:rPr>
              <w:t>4</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5</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SR5</w:t>
            </w:r>
          </w:p>
        </w:tc>
        <w:tc>
          <w:tcPr>
            <w:tcW w:w="2977"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 xml:space="preserve">The system base shall notify a technician if </w:t>
            </w:r>
            <w:proofErr w:type="spellStart"/>
            <w:r w:rsidRPr="001D61AA">
              <w:rPr>
                <w:rFonts w:asciiTheme="minorHAnsi" w:hAnsiTheme="minorHAnsi"/>
                <w:color w:val="000000"/>
                <w:sz w:val="20"/>
                <w:szCs w:val="20"/>
                <w:lang w:val="en-US"/>
              </w:rPr>
              <w:t>is</w:t>
            </w:r>
            <w:proofErr w:type="spellEnd"/>
            <w:r w:rsidRPr="001D61AA">
              <w:rPr>
                <w:rFonts w:asciiTheme="minorHAnsi" w:hAnsiTheme="minorHAnsi"/>
                <w:color w:val="000000"/>
                <w:sz w:val="20"/>
                <w:szCs w:val="20"/>
                <w:lang w:val="en-US"/>
              </w:rPr>
              <w:t xml:space="preserve"> doesn’t receive signal for a period of 30 minutes </w:t>
            </w:r>
          </w:p>
        </w:tc>
        <w:tc>
          <w:tcPr>
            <w:tcW w:w="1134"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Base</w:t>
            </w:r>
          </w:p>
        </w:tc>
        <w:tc>
          <w:tcPr>
            <w:tcW w:w="709"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UC5</w:t>
            </w:r>
          </w:p>
        </w:tc>
        <w:tc>
          <w:tcPr>
            <w:tcW w:w="851"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6</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SR6</w:t>
            </w:r>
          </w:p>
        </w:tc>
        <w:tc>
          <w:tcPr>
            <w:tcW w:w="2977"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install a new emergency call button</w:t>
            </w:r>
          </w:p>
        </w:tc>
        <w:tc>
          <w:tcPr>
            <w:tcW w:w="1134"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UC6</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67111C" w:rsidP="001D61AA">
            <w:pPr>
              <w:spacing w:after="0" w:line="240" w:lineRule="auto"/>
              <w:jc w:val="center"/>
              <w:rPr>
                <w:b/>
                <w:bCs/>
                <w:color w:val="000000"/>
                <w:lang w:val="en-US"/>
              </w:rPr>
            </w:pPr>
            <w:r w:rsidRPr="001D61AA">
              <w:rPr>
                <w:b/>
                <w:bCs/>
                <w:color w:val="000000"/>
                <w:lang w:val="en-US"/>
              </w:rPr>
              <w:t>7</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SR7</w:t>
            </w: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update the firmware on the emergency call button</w:t>
            </w:r>
          </w:p>
        </w:tc>
        <w:tc>
          <w:tcPr>
            <w:tcW w:w="1134"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1134"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UC7</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8</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SR8</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itself shall not weigh more than 125g</w:t>
            </w:r>
          </w:p>
        </w:tc>
        <w:tc>
          <w:tcPr>
            <w:tcW w:w="1134"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1134"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9</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SR9</w:t>
            </w:r>
          </w:p>
        </w:tc>
        <w:tc>
          <w:tcPr>
            <w:tcW w:w="2977"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not be larger than 40x60x15mm</w:t>
            </w:r>
          </w:p>
        </w:tc>
        <w:tc>
          <w:tcPr>
            <w:tcW w:w="1134"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1134"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10</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SR10</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button</w:t>
            </w:r>
            <w:r w:rsidR="00A553D7" w:rsidRPr="001D61AA">
              <w:rPr>
                <w:rFonts w:asciiTheme="minorHAnsi" w:hAnsiTheme="minorHAnsi" w:cs="Times-Roman"/>
                <w:sz w:val="20"/>
                <w:szCs w:val="20"/>
                <w:lang w:val="en-GB"/>
              </w:rPr>
              <w:t xml:space="preserve"> </w:t>
            </w:r>
            <w:r w:rsidRPr="001D61AA">
              <w:rPr>
                <w:rFonts w:asciiTheme="minorHAnsi" w:hAnsiTheme="minorHAnsi" w:cs="Times-Roman"/>
                <w:sz w:val="20"/>
                <w:szCs w:val="20"/>
                <w:lang w:val="en-GB"/>
              </w:rPr>
              <w:t>on the emergency call button must be at least 20x30mm or have a circumference of at least 75mm</w:t>
            </w:r>
          </w:p>
        </w:tc>
        <w:tc>
          <w:tcPr>
            <w:tcW w:w="1134"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1134"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11</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SR11</w:t>
            </w:r>
          </w:p>
        </w:tc>
        <w:tc>
          <w:tcPr>
            <w:tcW w:w="2977"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ISM band used shall be the EU allocated frequency for social alarms (EN 300 220) at 869.2 – 869.25MHz</w:t>
            </w:r>
          </w:p>
        </w:tc>
        <w:tc>
          <w:tcPr>
            <w:tcW w:w="1134"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1134"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12</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SR12</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All requirements set down by the EU and Denmark regarding EMC, transmission strength and frequency hopping must be met, as well as other legal obligations pertinent to the product/project.</w:t>
            </w:r>
          </w:p>
        </w:tc>
        <w:tc>
          <w:tcPr>
            <w:tcW w:w="1134"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1134"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3</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SR13</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devices battery life shall be sufficient for at least 24 hours of stand-by (with heart beats) and a 5 minutes conversation</w:t>
            </w:r>
          </w:p>
        </w:tc>
        <w:tc>
          <w:tcPr>
            <w:tcW w:w="1134"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UC4</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1D61AA"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4</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SR14</w:t>
            </w:r>
          </w:p>
        </w:tc>
        <w:tc>
          <w:tcPr>
            <w:tcW w:w="2977"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transmit a button-push to the emergency call base within 500ms of the button being pushed</w:t>
            </w:r>
          </w:p>
        </w:tc>
        <w:tc>
          <w:tcPr>
            <w:tcW w:w="1134"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1134"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UC1</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1D61AA"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5</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SR15</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An emergency button failure must be reported by the emergency button base no later than 2 hours after the actual time of failure.</w:t>
            </w:r>
          </w:p>
        </w:tc>
        <w:tc>
          <w:tcPr>
            <w:tcW w:w="1134"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UC5</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6</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SR16</w:t>
            </w:r>
          </w:p>
        </w:tc>
        <w:tc>
          <w:tcPr>
            <w:tcW w:w="2977"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 firmware update shall take no more than 30 minutes to complete</w:t>
            </w:r>
          </w:p>
        </w:tc>
        <w:tc>
          <w:tcPr>
            <w:tcW w:w="1134"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1134"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UC7</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7</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SR17</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be able to charge from empty to fully charged in no more than 6 hours</w:t>
            </w:r>
          </w:p>
        </w:tc>
        <w:tc>
          <w:tcPr>
            <w:tcW w:w="1134"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UC2</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681C5C"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17</w:t>
            </w:r>
          </w:p>
        </w:tc>
        <w:tc>
          <w:tcPr>
            <w:tcW w:w="850" w:type="dxa"/>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18</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1D61AA">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19</w:t>
            </w:r>
          </w:p>
        </w:tc>
        <w:tc>
          <w:tcPr>
            <w:tcW w:w="850" w:type="dxa"/>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1D61AA">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20</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134"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r>
    </w:tbl>
    <w:p w:rsidR="008118CA" w:rsidRPr="006550ED" w:rsidRDefault="008118CA" w:rsidP="000C48AC">
      <w:pPr>
        <w:spacing w:after="0"/>
        <w:rPr>
          <w:rFonts w:ascii="Arial" w:hAnsi="Arial" w:cs="Arial"/>
          <w:sz w:val="16"/>
          <w:szCs w:val="16"/>
          <w:lang w:val="en-GB"/>
        </w:rPr>
      </w:pPr>
      <w:r w:rsidRPr="006550ED">
        <w:rPr>
          <w:rFonts w:ascii="Arial" w:hAnsi="Arial" w:cs="Arial"/>
          <w:sz w:val="16"/>
          <w:szCs w:val="16"/>
          <w:lang w:val="en-GB"/>
        </w:rPr>
        <w:t>* A graph showing the dimensions/weight vs. battery life shall be shown starting at the smallest battery supporting the above time constraint and continuing until the size and/or weight constraint is reached.</w:t>
      </w:r>
    </w:p>
    <w:p w:rsidR="008118CA" w:rsidRPr="006550ED" w:rsidRDefault="008118CA" w:rsidP="000C48AC">
      <w:pPr>
        <w:spacing w:after="0"/>
        <w:rPr>
          <w:rFonts w:ascii="Arial" w:hAnsi="Arial" w:cs="Arial"/>
          <w:sz w:val="16"/>
          <w:szCs w:val="16"/>
          <w:lang w:val="en-GB"/>
        </w:rPr>
      </w:pPr>
      <w:r w:rsidRPr="006550ED">
        <w:rPr>
          <w:rFonts w:ascii="Arial" w:hAnsi="Arial" w:cs="Arial"/>
          <w:sz w:val="16"/>
          <w:szCs w:val="16"/>
          <w:lang w:val="en-GB"/>
        </w:rPr>
        <w:t>** 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delay on the GSM network covers most of the 10 seconds allotted, the ISM delay of 500ms is determined.</w:t>
      </w:r>
    </w:p>
    <w:p w:rsidR="00794F97" w:rsidRPr="008118CA" w:rsidRDefault="008118CA" w:rsidP="00FB7B96">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794F97" w:rsidRDefault="00794F97" w:rsidP="00CA232E">
      <w:pPr>
        <w:pStyle w:val="Overskrift1"/>
        <w:rPr>
          <w:lang w:val="en-US"/>
        </w:rPr>
      </w:pPr>
      <w:r>
        <w:rPr>
          <w:lang w:val="en-US"/>
        </w:rPr>
        <w:t xml:space="preserve">Risk Management </w:t>
      </w:r>
    </w:p>
    <w:p w:rsidR="00794F97" w:rsidRDefault="00794F97" w:rsidP="00CA232E">
      <w:pPr>
        <w:rPr>
          <w:lang w:val="en-US"/>
        </w:rPr>
      </w:pPr>
      <w:r>
        <w:rPr>
          <w:lang w:val="en-US"/>
        </w:rPr>
        <w:t xml:space="preserve">This process is about </w:t>
      </w:r>
      <w:proofErr w:type="spellStart"/>
      <w:r>
        <w:rPr>
          <w:lang w:val="en-US"/>
        </w:rPr>
        <w:t>identy</w:t>
      </w:r>
      <w:proofErr w:type="spellEnd"/>
      <w:r>
        <w:rPr>
          <w:lang w:val="en-US"/>
        </w:rPr>
        <w:t xml:space="preserve">, analyze, treat and monitor the risk continuously. Since the emergency call system, has great prospective it’s important to analyze which factor that could risk the product value on the marked. </w:t>
      </w:r>
    </w:p>
    <w:p w:rsidR="00794F97" w:rsidRDefault="00794F97" w:rsidP="00CA232E">
      <w:pPr>
        <w:rPr>
          <w:lang w:val="en-US"/>
        </w:rPr>
      </w:pPr>
      <w:r>
        <w:rPr>
          <w:lang w:val="en-US"/>
        </w:rPr>
        <w:t xml:space="preserve">The risk of failure for the emergency call system can be </w:t>
      </w:r>
      <w:proofErr w:type="spellStart"/>
      <w:r>
        <w:rPr>
          <w:lang w:val="en-US"/>
        </w:rPr>
        <w:t>devied</w:t>
      </w:r>
      <w:proofErr w:type="spellEnd"/>
      <w:r>
        <w:rPr>
          <w:lang w:val="en-US"/>
        </w:rPr>
        <w:t xml:space="preserve"> into </w:t>
      </w:r>
      <w:proofErr w:type="spellStart"/>
      <w:r>
        <w:rPr>
          <w:lang w:val="en-US"/>
        </w:rPr>
        <w:t>diffent</w:t>
      </w:r>
      <w:proofErr w:type="spellEnd"/>
      <w:r>
        <w:rPr>
          <w:lang w:val="en-US"/>
        </w:rPr>
        <w:t xml:space="preserve"> types of risk:</w:t>
      </w:r>
    </w:p>
    <w:p w:rsidR="00794F97" w:rsidRDefault="00794F97" w:rsidP="004F10B7">
      <w:pPr>
        <w:pStyle w:val="Listeafsnit"/>
        <w:numPr>
          <w:ilvl w:val="0"/>
          <w:numId w:val="1"/>
        </w:numPr>
        <w:rPr>
          <w:lang w:val="en-US"/>
        </w:rPr>
      </w:pPr>
      <w:r>
        <w:rPr>
          <w:lang w:val="en-US"/>
        </w:rPr>
        <w:t>Development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Maintenance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Price (</w:t>
      </w:r>
      <w:r w:rsidRPr="0051672D">
        <w:rPr>
          <w:i/>
          <w:lang w:val="en-US"/>
        </w:rPr>
        <w:t>Cost risk</w:t>
      </w:r>
      <w:r>
        <w:rPr>
          <w:lang w:val="en-US"/>
        </w:rPr>
        <w:t>)</w:t>
      </w:r>
    </w:p>
    <w:p w:rsidR="00794F97" w:rsidRDefault="00794F97" w:rsidP="004F10B7">
      <w:pPr>
        <w:pStyle w:val="Listeafsnit"/>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794F97" w:rsidRDefault="00794F97" w:rsidP="004F10B7">
      <w:pPr>
        <w:rPr>
          <w:lang w:val="en-US"/>
        </w:rPr>
      </w:pPr>
      <w:r>
        <w:rPr>
          <w:lang w:val="en-US"/>
        </w:rPr>
        <w:t>Risk is dealing with uncertainty that is present throughout the entire system life cycle. The goal is to archive a proper balance between risk and opportunity.</w:t>
      </w:r>
    </w:p>
    <w:p w:rsidR="00794F97" w:rsidRDefault="00794F97" w:rsidP="00083AE6">
      <w:pPr>
        <w:pStyle w:val="Overskrift3"/>
        <w:rPr>
          <w:lang w:val="en-US"/>
        </w:rPr>
      </w:pPr>
      <w:r>
        <w:rPr>
          <w:lang w:val="en-US"/>
        </w:rPr>
        <w:t>Risk calculation</w:t>
      </w:r>
    </w:p>
    <w:p w:rsidR="00794F97" w:rsidRDefault="00794F97" w:rsidP="00083AE6">
      <w:pPr>
        <w:spacing w:after="0" w:line="240" w:lineRule="auto"/>
        <w:rPr>
          <w:lang w:val="en-US"/>
        </w:rPr>
      </w:pPr>
      <w:r>
        <w:rPr>
          <w:lang w:val="en-US"/>
        </w:rPr>
        <w:t xml:space="preserve">As for all risk, the risk possibility is the same.  The risk </w:t>
      </w:r>
      <w:proofErr w:type="spellStart"/>
      <w:r>
        <w:rPr>
          <w:lang w:val="en-US"/>
        </w:rPr>
        <w:t>calsulation</w:t>
      </w:r>
      <w:proofErr w:type="spellEnd"/>
      <w:r>
        <w:rPr>
          <w:lang w:val="en-US"/>
        </w:rPr>
        <w:t xml:space="preserve"> is illustrated below. </w:t>
      </w:r>
    </w:p>
    <w:p w:rsidR="00794F97" w:rsidRDefault="00794F97" w:rsidP="00083AE6">
      <w:pPr>
        <w:spacing w:after="0" w:line="240" w:lineRule="auto"/>
        <w:rPr>
          <w:lang w:val="en-US"/>
        </w:rPr>
      </w:pPr>
    </w:p>
    <w:p w:rsidR="00794F97" w:rsidRDefault="00794F97" w:rsidP="00083AE6">
      <w:pPr>
        <w:spacing w:after="0" w:line="240" w:lineRule="auto"/>
        <w:rPr>
          <w:lang w:val="en-US"/>
        </w:rPr>
      </w:pPr>
      <w:r>
        <w:rPr>
          <w:lang w:val="en-US"/>
        </w:rPr>
        <w:lastRenderedPageBreak/>
        <w:t>Risk = Probability of failure (Pf) * Consequence of failure (</w:t>
      </w:r>
      <w:proofErr w:type="spellStart"/>
      <w:r>
        <w:rPr>
          <w:lang w:val="en-US"/>
        </w:rPr>
        <w:t>Cf</w:t>
      </w:r>
      <w:proofErr w:type="spellEnd"/>
      <w:r>
        <w:rPr>
          <w:lang w:val="en-US"/>
        </w:rPr>
        <w:t>)</w:t>
      </w:r>
    </w:p>
    <w:p w:rsidR="00794F97" w:rsidRDefault="00794F97" w:rsidP="00083AE6">
      <w:pPr>
        <w:spacing w:after="0" w:line="240" w:lineRule="auto"/>
        <w:rPr>
          <w:lang w:val="en-US"/>
        </w:rPr>
      </w:pPr>
    </w:p>
    <w:p w:rsidR="00794F97" w:rsidRPr="00CB2D1B" w:rsidRDefault="00794F97" w:rsidP="00083AE6">
      <w:pPr>
        <w:spacing w:after="0" w:line="240" w:lineRule="auto"/>
        <w:rPr>
          <w:color w:val="FF0000"/>
          <w:lang w:val="en-US"/>
        </w:rPr>
      </w:pPr>
      <w:r w:rsidRPr="00CB2D1B">
        <w:rPr>
          <w:color w:val="FF0000"/>
          <w:lang w:val="en-US"/>
        </w:rPr>
        <w:t xml:space="preserve">RISK CALCULATION CHOOSING AN UNKNOWN PLATFORM COMPARED TO THE WELL </w:t>
      </w:r>
      <w:proofErr w:type="gramStart"/>
      <w:r w:rsidRPr="00CB2D1B">
        <w:rPr>
          <w:color w:val="FF0000"/>
          <w:lang w:val="en-US"/>
        </w:rPr>
        <w:t>KNOW</w:t>
      </w:r>
      <w:proofErr w:type="gramEnd"/>
      <w:r w:rsidRPr="00CB2D1B">
        <w:rPr>
          <w:color w:val="FF0000"/>
          <w:lang w:val="en-US"/>
        </w:rPr>
        <w:t>.</w:t>
      </w:r>
    </w:p>
    <w:p w:rsidR="00794F97" w:rsidRDefault="00794F97" w:rsidP="0024071D">
      <w:pPr>
        <w:pStyle w:val="Overskrift2"/>
        <w:rPr>
          <w:lang w:val="en-US"/>
        </w:rPr>
      </w:pPr>
      <w:r>
        <w:rPr>
          <w:lang w:val="en-US"/>
        </w:rPr>
        <w:t>Technical risk</w:t>
      </w:r>
    </w:p>
    <w:p w:rsidR="00794F97" w:rsidRDefault="00794F97"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w:t>
      </w:r>
      <w:proofErr w:type="spellStart"/>
      <w:r>
        <w:rPr>
          <w:lang w:val="en-US"/>
        </w:rPr>
        <w:t>expirenced</w:t>
      </w:r>
      <w:proofErr w:type="spellEnd"/>
      <w:r>
        <w:rPr>
          <w:lang w:val="en-US"/>
        </w:rPr>
        <w:t xml:space="preserve"> from </w:t>
      </w:r>
      <w:proofErr w:type="spellStart"/>
      <w:r>
        <w:rPr>
          <w:lang w:val="en-US"/>
        </w:rPr>
        <w:t>priveous</w:t>
      </w:r>
      <w:proofErr w:type="spellEnd"/>
      <w:r>
        <w:rPr>
          <w:lang w:val="en-US"/>
        </w:rPr>
        <w:t xml:space="preserve"> project, and know </w:t>
      </w:r>
      <w:proofErr w:type="spellStart"/>
      <w:r>
        <w:rPr>
          <w:lang w:val="en-US"/>
        </w:rPr>
        <w:t>were</w:t>
      </w:r>
      <w:proofErr w:type="spellEnd"/>
      <w:r>
        <w:rPr>
          <w:lang w:val="en-US"/>
        </w:rPr>
        <w:t xml:space="preserve"> the risk of failure is most likely, but for emergency call system which is a newly establish company, there are many technology barriers, which have to be confronted. </w:t>
      </w:r>
    </w:p>
    <w:p w:rsidR="00794F97" w:rsidRDefault="00794F97" w:rsidP="00083AE6">
      <w:pPr>
        <w:pStyle w:val="Overskrift2"/>
        <w:rPr>
          <w:lang w:val="en-US"/>
        </w:rPr>
      </w:pPr>
      <w:r>
        <w:rPr>
          <w:lang w:val="en-US"/>
        </w:rPr>
        <w:t xml:space="preserve">Cost risk </w:t>
      </w:r>
    </w:p>
    <w:p w:rsidR="00794F97" w:rsidRDefault="00794F97" w:rsidP="004F10B7">
      <w:pPr>
        <w:rPr>
          <w:lang w:val="en-US"/>
        </w:rPr>
      </w:pPr>
    </w:p>
    <w:p w:rsidR="00794F97" w:rsidRDefault="00794F97" w:rsidP="00083AE6">
      <w:pPr>
        <w:pStyle w:val="Overskrift2"/>
        <w:rPr>
          <w:lang w:val="en-US"/>
        </w:rPr>
      </w:pPr>
      <w:r>
        <w:rPr>
          <w:lang w:val="en-US"/>
        </w:rPr>
        <w:t>Schedule risk</w:t>
      </w:r>
    </w:p>
    <w:p w:rsidR="00794F97" w:rsidRPr="004F10B7" w:rsidRDefault="00794F97" w:rsidP="004F10B7">
      <w:pPr>
        <w:rPr>
          <w:lang w:val="en-US"/>
        </w:rPr>
      </w:pPr>
    </w:p>
    <w:p w:rsidR="00794F97" w:rsidRPr="003A43E8" w:rsidRDefault="00794F97" w:rsidP="003A43E8">
      <w:pPr>
        <w:rPr>
          <w:lang w:val="en-US"/>
        </w:rPr>
      </w:pPr>
    </w:p>
    <w:sectPr w:rsidR="00794F97" w:rsidRPr="003A43E8" w:rsidSect="00A1640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1AA" w:rsidRDefault="001D61AA" w:rsidP="00635A94">
      <w:pPr>
        <w:spacing w:after="0" w:line="240" w:lineRule="auto"/>
      </w:pPr>
      <w:r>
        <w:separator/>
      </w:r>
    </w:p>
  </w:endnote>
  <w:endnote w:type="continuationSeparator" w:id="0">
    <w:p w:rsidR="001D61AA" w:rsidRDefault="001D61AA" w:rsidP="00635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1AA" w:rsidRDefault="001D61AA" w:rsidP="00635A94">
      <w:pPr>
        <w:spacing w:after="0" w:line="240" w:lineRule="auto"/>
      </w:pPr>
      <w:r>
        <w:separator/>
      </w:r>
    </w:p>
  </w:footnote>
  <w:footnote w:type="continuationSeparator" w:id="0">
    <w:p w:rsidR="001D61AA" w:rsidRDefault="001D61AA" w:rsidP="00635A94">
      <w:pPr>
        <w:spacing w:after="0" w:line="240" w:lineRule="auto"/>
      </w:pPr>
      <w:r>
        <w:continuationSeparator/>
      </w:r>
    </w:p>
  </w:footnote>
  <w:footnote w:id="1">
    <w:p w:rsidR="00635A94" w:rsidRPr="00635A94" w:rsidRDefault="00635A94">
      <w:pPr>
        <w:pStyle w:val="Fodnotetekst"/>
        <w:rPr>
          <w:lang w:val="en-US"/>
        </w:rPr>
      </w:pPr>
      <w:r>
        <w:rPr>
          <w:rStyle w:val="Fodnotehenvisning"/>
        </w:rPr>
        <w:footnoteRef/>
      </w:r>
      <w:r w:rsidRPr="00635A94">
        <w:rPr>
          <w:lang w:val="en-US"/>
        </w:rPr>
        <w:t xml:space="preserve"> INCOSE Figure 1-1 System life-cycle Process Overview per ISO/IEC 15288:2008</w:t>
      </w:r>
    </w:p>
  </w:footnote>
  <w:footnote w:id="2">
    <w:p w:rsidR="00F22F59" w:rsidRDefault="00F22F59">
      <w:pPr>
        <w:pStyle w:val="Fodnotetekst"/>
      </w:pPr>
      <w:r>
        <w:rPr>
          <w:rStyle w:val="Fodnotehenvisning"/>
        </w:rPr>
        <w:footnoteRef/>
      </w:r>
      <w:r>
        <w:t xml:space="preserve"> INCOSE p. 57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53F94"/>
    <w:rsid w:val="00083AE6"/>
    <w:rsid w:val="000C48AC"/>
    <w:rsid w:val="000D4520"/>
    <w:rsid w:val="000E3B9D"/>
    <w:rsid w:val="000E4CAA"/>
    <w:rsid w:val="000F02ED"/>
    <w:rsid w:val="000F3D04"/>
    <w:rsid w:val="000F505D"/>
    <w:rsid w:val="00162C62"/>
    <w:rsid w:val="0017444A"/>
    <w:rsid w:val="001C2054"/>
    <w:rsid w:val="001D61AA"/>
    <w:rsid w:val="00215024"/>
    <w:rsid w:val="002321CE"/>
    <w:rsid w:val="0024071D"/>
    <w:rsid w:val="00266028"/>
    <w:rsid w:val="00303DCE"/>
    <w:rsid w:val="003A43E8"/>
    <w:rsid w:val="00413924"/>
    <w:rsid w:val="004F10B7"/>
    <w:rsid w:val="0051672D"/>
    <w:rsid w:val="00536AF7"/>
    <w:rsid w:val="005869AE"/>
    <w:rsid w:val="005B3DD5"/>
    <w:rsid w:val="00604E7E"/>
    <w:rsid w:val="00635A94"/>
    <w:rsid w:val="00653AF4"/>
    <w:rsid w:val="0067111C"/>
    <w:rsid w:val="00681C5C"/>
    <w:rsid w:val="00794F97"/>
    <w:rsid w:val="007A1C6F"/>
    <w:rsid w:val="007C7349"/>
    <w:rsid w:val="008118CA"/>
    <w:rsid w:val="00846325"/>
    <w:rsid w:val="00865465"/>
    <w:rsid w:val="008726A1"/>
    <w:rsid w:val="00884F7F"/>
    <w:rsid w:val="008E471E"/>
    <w:rsid w:val="0095626C"/>
    <w:rsid w:val="00967480"/>
    <w:rsid w:val="00A16402"/>
    <w:rsid w:val="00A553D7"/>
    <w:rsid w:val="00AA2C7D"/>
    <w:rsid w:val="00B342F0"/>
    <w:rsid w:val="00B52957"/>
    <w:rsid w:val="00B70503"/>
    <w:rsid w:val="00B7095F"/>
    <w:rsid w:val="00BF4A11"/>
    <w:rsid w:val="00C90CC5"/>
    <w:rsid w:val="00CA232E"/>
    <w:rsid w:val="00CB2D1B"/>
    <w:rsid w:val="00CB2F4E"/>
    <w:rsid w:val="00D20D42"/>
    <w:rsid w:val="00D45F22"/>
    <w:rsid w:val="00DC772F"/>
    <w:rsid w:val="00F22F59"/>
    <w:rsid w:val="00F471C9"/>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865465"/>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7444A"/>
    <w:rPr>
      <w:rFonts w:ascii="Cambria" w:hAnsi="Cambria" w:cs="Times New Roman"/>
      <w:b/>
      <w:bCs/>
      <w:color w:val="365F91"/>
      <w:sz w:val="28"/>
      <w:szCs w:val="28"/>
    </w:rPr>
  </w:style>
  <w:style w:type="character" w:customStyle="1" w:styleId="Overskrift2Tegn">
    <w:name w:val="Overskrift 2 Tegn"/>
    <w:basedOn w:val="Standardskrifttypeiafsnit"/>
    <w:link w:val="Overskrift2"/>
    <w:uiPriority w:val="99"/>
    <w:locked/>
    <w:rsid w:val="008E471E"/>
    <w:rPr>
      <w:rFonts w:ascii="Cambria" w:hAnsi="Cambria" w:cs="Times New Roman"/>
      <w:b/>
      <w:bCs/>
      <w:color w:val="4F81BD"/>
      <w:sz w:val="26"/>
      <w:szCs w:val="26"/>
    </w:rPr>
  </w:style>
  <w:style w:type="character" w:customStyle="1" w:styleId="Overskrift3Tegn">
    <w:name w:val="Overskrift 3 Tegn"/>
    <w:basedOn w:val="Standardskrifttypeiafsnit"/>
    <w:link w:val="Overskrift3"/>
    <w:uiPriority w:val="99"/>
    <w:locked/>
    <w:rsid w:val="00865465"/>
    <w:rPr>
      <w:rFonts w:ascii="Cambria" w:hAnsi="Cambria" w:cs="Times New Roman"/>
      <w:b/>
      <w:bCs/>
      <w:color w:val="4F81BD"/>
    </w:rPr>
  </w:style>
  <w:style w:type="table" w:styleId="Tabel-Gitter">
    <w:name w:val="Table Grid"/>
    <w:basedOn w:val="Tabel-Normal"/>
    <w:uiPriority w:val="99"/>
    <w:rsid w:val="001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rsid w:val="001C205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C2054"/>
    <w:rPr>
      <w:rFonts w:ascii="Tahoma" w:hAnsi="Tahoma" w:cs="Tahoma"/>
      <w:sz w:val="16"/>
      <w:szCs w:val="16"/>
    </w:rPr>
  </w:style>
  <w:style w:type="paragraph" w:styleId="Billedtekst">
    <w:name w:val="caption"/>
    <w:basedOn w:val="Normal"/>
    <w:next w:val="Normal"/>
    <w:uiPriority w:val="35"/>
    <w:qFormat/>
    <w:rsid w:val="001C2054"/>
    <w:pPr>
      <w:spacing w:line="240" w:lineRule="auto"/>
    </w:pPr>
    <w:rPr>
      <w:b/>
      <w:bCs/>
      <w:color w:val="4F81BD"/>
      <w:sz w:val="18"/>
      <w:szCs w:val="18"/>
    </w:rPr>
  </w:style>
  <w:style w:type="character" w:customStyle="1" w:styleId="hps">
    <w:name w:val="hps"/>
    <w:basedOn w:val="Standardskrifttypeiafsnit"/>
    <w:uiPriority w:val="99"/>
    <w:rsid w:val="00B342F0"/>
    <w:rPr>
      <w:rFonts w:cs="Times New Roman"/>
    </w:rPr>
  </w:style>
  <w:style w:type="table" w:customStyle="1" w:styleId="Lystgitter-markeringsfarve1">
    <w:name w:val="Light Grid Accent 1"/>
    <w:basedOn w:val="Tabel-Normal"/>
    <w:uiPriority w:val="99"/>
    <w:rsid w:val="005869A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gitter2">
    <w:name w:val="Medium Grid 2"/>
    <w:basedOn w:val="Tabel-Normal"/>
    <w:uiPriority w:val="99"/>
    <w:rsid w:val="005869AE"/>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Lysskygge">
    <w:name w:val="Light Shading"/>
    <w:basedOn w:val="Tabel-Normal"/>
    <w:uiPriority w:val="99"/>
    <w:rsid w:val="005869A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eafsnit">
    <w:name w:val="List Paragraph"/>
    <w:basedOn w:val="Normal"/>
    <w:uiPriority w:val="99"/>
    <w:qFormat/>
    <w:rsid w:val="004F10B7"/>
    <w:pPr>
      <w:ind w:left="720"/>
      <w:contextualSpacing/>
    </w:pPr>
  </w:style>
  <w:style w:type="paragraph" w:styleId="Fodnotetekst">
    <w:name w:val="footnote text"/>
    <w:basedOn w:val="Normal"/>
    <w:link w:val="FodnotetekstTegn"/>
    <w:uiPriority w:val="99"/>
    <w:semiHidden/>
    <w:unhideWhenUsed/>
    <w:rsid w:val="00635A94"/>
    <w:rPr>
      <w:sz w:val="20"/>
      <w:szCs w:val="20"/>
    </w:rPr>
  </w:style>
  <w:style w:type="character" w:customStyle="1" w:styleId="FodnotetekstTegn">
    <w:name w:val="Fodnotetekst Tegn"/>
    <w:basedOn w:val="Standardskrifttypeiafsnit"/>
    <w:link w:val="Fodnotetekst"/>
    <w:uiPriority w:val="99"/>
    <w:semiHidden/>
    <w:rsid w:val="00635A94"/>
    <w:rPr>
      <w:sz w:val="20"/>
      <w:szCs w:val="20"/>
      <w:lang w:eastAsia="en-US"/>
    </w:rPr>
  </w:style>
  <w:style w:type="character" w:styleId="Fodnotehenvisning">
    <w:name w:val="footnote reference"/>
    <w:basedOn w:val="Standardskrifttypeiafsnit"/>
    <w:uiPriority w:val="99"/>
    <w:semiHidden/>
    <w:unhideWhenUsed/>
    <w:rsid w:val="00635A94"/>
    <w:rPr>
      <w:vertAlign w:val="superscript"/>
    </w:rPr>
  </w:style>
  <w:style w:type="table" w:styleId="Lysliste-fremhvningsfarve5">
    <w:name w:val="Light List Accent 5"/>
    <w:basedOn w:val="Tabel-Normal"/>
    <w:uiPriority w:val="61"/>
    <w:rsid w:val="00884F7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ysliste-fremhvningsfarve6">
    <w:name w:val="Light List Accent 6"/>
    <w:basedOn w:val="Tabel-Normal"/>
    <w:uiPriority w:val="61"/>
    <w:rsid w:val="008118C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s>
</file>

<file path=word/webSettings.xml><?xml version="1.0" encoding="utf-8"?>
<w:webSettings xmlns:r="http://schemas.openxmlformats.org/officeDocument/2006/relationships" xmlns:w="http://schemas.openxmlformats.org/wordprocessingml/2006/main">
  <w:divs>
    <w:div w:id="593899840">
      <w:marLeft w:val="0"/>
      <w:marRight w:val="0"/>
      <w:marTop w:val="0"/>
      <w:marBottom w:val="0"/>
      <w:divBdr>
        <w:top w:val="none" w:sz="0" w:space="0" w:color="auto"/>
        <w:left w:val="none" w:sz="0" w:space="0" w:color="auto"/>
        <w:bottom w:val="none" w:sz="0" w:space="0" w:color="auto"/>
        <w:right w:val="none" w:sz="0" w:space="0" w:color="auto"/>
      </w:divBdr>
      <w:divsChild>
        <w:div w:id="593899845">
          <w:marLeft w:val="0"/>
          <w:marRight w:val="0"/>
          <w:marTop w:val="0"/>
          <w:marBottom w:val="0"/>
          <w:divBdr>
            <w:top w:val="none" w:sz="0" w:space="0" w:color="auto"/>
            <w:left w:val="none" w:sz="0" w:space="0" w:color="auto"/>
            <w:bottom w:val="none" w:sz="0" w:space="0" w:color="auto"/>
            <w:right w:val="none" w:sz="0" w:space="0" w:color="auto"/>
          </w:divBdr>
          <w:divsChild>
            <w:div w:id="593899839">
              <w:marLeft w:val="0"/>
              <w:marRight w:val="0"/>
              <w:marTop w:val="0"/>
              <w:marBottom w:val="0"/>
              <w:divBdr>
                <w:top w:val="none" w:sz="0" w:space="0" w:color="auto"/>
                <w:left w:val="none" w:sz="0" w:space="0" w:color="auto"/>
                <w:bottom w:val="none" w:sz="0" w:space="0" w:color="auto"/>
                <w:right w:val="none" w:sz="0" w:space="0" w:color="auto"/>
              </w:divBdr>
              <w:divsChild>
                <w:div w:id="593899842">
                  <w:marLeft w:val="0"/>
                  <w:marRight w:val="0"/>
                  <w:marTop w:val="0"/>
                  <w:marBottom w:val="0"/>
                  <w:divBdr>
                    <w:top w:val="none" w:sz="0" w:space="0" w:color="auto"/>
                    <w:left w:val="none" w:sz="0" w:space="0" w:color="auto"/>
                    <w:bottom w:val="none" w:sz="0" w:space="0" w:color="auto"/>
                    <w:right w:val="none" w:sz="0" w:space="0" w:color="auto"/>
                  </w:divBdr>
                  <w:divsChild>
                    <w:div w:id="593899841">
                      <w:marLeft w:val="0"/>
                      <w:marRight w:val="0"/>
                      <w:marTop w:val="0"/>
                      <w:marBottom w:val="0"/>
                      <w:divBdr>
                        <w:top w:val="none" w:sz="0" w:space="0" w:color="auto"/>
                        <w:left w:val="none" w:sz="0" w:space="0" w:color="auto"/>
                        <w:bottom w:val="none" w:sz="0" w:space="0" w:color="auto"/>
                        <w:right w:val="none" w:sz="0" w:space="0" w:color="auto"/>
                      </w:divBdr>
                      <w:divsChild>
                        <w:div w:id="593899844">
                          <w:marLeft w:val="0"/>
                          <w:marRight w:val="0"/>
                          <w:marTop w:val="0"/>
                          <w:marBottom w:val="0"/>
                          <w:divBdr>
                            <w:top w:val="none" w:sz="0" w:space="0" w:color="auto"/>
                            <w:left w:val="none" w:sz="0" w:space="0" w:color="auto"/>
                            <w:bottom w:val="none" w:sz="0" w:space="0" w:color="auto"/>
                            <w:right w:val="none" w:sz="0" w:space="0" w:color="auto"/>
                          </w:divBdr>
                          <w:divsChild>
                            <w:div w:id="593899838">
                              <w:marLeft w:val="0"/>
                              <w:marRight w:val="0"/>
                              <w:marTop w:val="0"/>
                              <w:marBottom w:val="0"/>
                              <w:divBdr>
                                <w:top w:val="none" w:sz="0" w:space="0" w:color="auto"/>
                                <w:left w:val="none" w:sz="0" w:space="0" w:color="auto"/>
                                <w:bottom w:val="none" w:sz="0" w:space="0" w:color="auto"/>
                                <w:right w:val="none" w:sz="0" w:space="0" w:color="auto"/>
                              </w:divBdr>
                              <w:divsChild>
                                <w:div w:id="593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C0DA9-CCB6-432E-BB75-7BAB6E45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5</Pages>
  <Words>1006</Words>
  <Characters>6141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24</cp:revision>
  <cp:lastPrinted>2011-02-22T13:23:00Z</cp:lastPrinted>
  <dcterms:created xsi:type="dcterms:W3CDTF">2011-02-14T21:36:00Z</dcterms:created>
  <dcterms:modified xsi:type="dcterms:W3CDTF">2011-02-23T22:40:00Z</dcterms:modified>
</cp:coreProperties>
</file>