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37" w:rsidRDefault="00032F37" w:rsidP="005E0EAF">
      <w:pPr>
        <w:rPr>
          <w:lang w:val="en-GB"/>
        </w:rPr>
      </w:pPr>
      <w:r>
        <w:rPr>
          <w:lang w:val="en-GB"/>
        </w:rPr>
        <w:t xml:space="preserve">Date: </w:t>
      </w:r>
      <w:r>
        <w:rPr>
          <w:b/>
          <w:lang w:val="en-GB"/>
        </w:rPr>
        <w:t>02/10</w:t>
      </w:r>
      <w:r w:rsidRPr="004D4F8C">
        <w:rPr>
          <w:b/>
          <w:lang w:val="en-GB"/>
        </w:rPr>
        <w:t>-10</w:t>
      </w:r>
    </w:p>
    <w:p w:rsidR="00032F37" w:rsidRDefault="00032F37" w:rsidP="005E0EAF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032F37" w:rsidRDefault="00032F37" w:rsidP="005E0EAF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032F37" w:rsidRDefault="00032F37" w:rsidP="005E0EAF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032F37" w:rsidRDefault="00032F37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Pr="005E0EAF">
        <w:rPr>
          <w:b/>
          <w:lang w:val="en-GB"/>
        </w:rPr>
        <w:t>Response to RS for sub-supplier</w:t>
      </w:r>
    </w:p>
    <w:p w:rsidR="00032F37" w:rsidRDefault="00032F37">
      <w:pPr>
        <w:rPr>
          <w:b/>
          <w:lang w:val="en-GB"/>
        </w:rPr>
      </w:pPr>
    </w:p>
    <w:p w:rsidR="00032F37" w:rsidRPr="005E0EAF" w:rsidRDefault="00032F37">
      <w:pPr>
        <w:rPr>
          <w:b/>
          <w:lang w:val="en-GB"/>
        </w:rPr>
      </w:pP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Dear Mr. Jensen,</w:t>
      </w: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032F37" w:rsidRPr="005E0EAF" w:rsidRDefault="00032F37" w:rsidP="00C23969">
      <w:pPr>
        <w:autoSpaceDE w:val="0"/>
        <w:autoSpaceDN w:val="0"/>
        <w:adjustRightInd w:val="0"/>
        <w:spacing w:after="0" w:line="240" w:lineRule="auto"/>
        <w:rPr>
          <w:rFonts w:cs="TT185t00"/>
          <w:lang w:val="en-US"/>
        </w:rPr>
      </w:pPr>
      <w:r w:rsidRPr="005E0EAF">
        <w:rPr>
          <w:lang w:val="en-US"/>
        </w:rPr>
        <w:t>Looking through the “</w:t>
      </w:r>
      <w:r w:rsidRPr="005E0EAF">
        <w:rPr>
          <w:rFonts w:cs="TT185t00"/>
          <w:lang w:val="en-US"/>
        </w:rPr>
        <w:t>Requirement Specification for sub-supplier” has raised a number of unanswered questions. The answers to these questions are all of high importance for us</w:t>
      </w:r>
      <w:r>
        <w:rPr>
          <w:rFonts w:cs="TT185t00"/>
          <w:lang w:val="en-US"/>
        </w:rPr>
        <w:t xml:space="preserve">. We will not be able </w:t>
      </w:r>
      <w:r w:rsidRPr="005E0EAF">
        <w:rPr>
          <w:rFonts w:cs="TT185t00"/>
          <w:lang w:val="en-US"/>
        </w:rPr>
        <w:t>to get into designing this very interesting device</w:t>
      </w:r>
      <w:r>
        <w:rPr>
          <w:rFonts w:cs="TT185t00"/>
          <w:lang w:val="en-US"/>
        </w:rPr>
        <w:t xml:space="preserve"> before answers are recieved</w:t>
      </w:r>
      <w:r w:rsidRPr="005E0EAF">
        <w:rPr>
          <w:rFonts w:cs="TT185t00"/>
          <w:lang w:val="en-US"/>
        </w:rPr>
        <w:t>.</w:t>
      </w:r>
    </w:p>
    <w:p w:rsidR="00032F37" w:rsidRPr="005E0EAF" w:rsidRDefault="00032F37" w:rsidP="0082183C">
      <w:pPr>
        <w:autoSpaceDE w:val="0"/>
        <w:autoSpaceDN w:val="0"/>
        <w:adjustRightInd w:val="0"/>
        <w:spacing w:after="0" w:line="240" w:lineRule="auto"/>
        <w:ind w:left="360"/>
        <w:rPr>
          <w:rFonts w:cs="TT185t00"/>
          <w:lang w:val="en-US"/>
        </w:rPr>
      </w:pPr>
    </w:p>
    <w:p w:rsidR="00032F37" w:rsidRPr="005E0EAF" w:rsidRDefault="00032F37" w:rsidP="0082183C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TPOD-0001 The COP shall be able to interface with every existing communication systems within the involved domains.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there a list of communication systems to interface?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specifications to the interfaces?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other documents available that would answer these questions for us?</w:t>
      </w:r>
    </w:p>
    <w:p w:rsidR="00032F37" w:rsidRPr="005E0EAF" w:rsidRDefault="00032F37" w:rsidP="00C9742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Pr="005E0EAF">
        <w:rPr>
          <w:rFonts w:cs="TT183t00"/>
          <w:lang w:val="en-US"/>
        </w:rPr>
        <w:t>TPOD-0002 The handheld device shall include a touch screen to interface the software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Is this presumably  the Human interface of the software.?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Is the software a part of our  deliverance ?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May software be ported from other stations?</w:t>
      </w:r>
    </w:p>
    <w:p w:rsidR="00032F37" w:rsidRPr="005E0EAF" w:rsidRDefault="00032F37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What about operating systems?</w:t>
      </w:r>
    </w:p>
    <w:p w:rsidR="00032F37" w:rsidRPr="005E0EAF" w:rsidRDefault="00032F37" w:rsidP="00513398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Pr="005E0EAF">
        <w:rPr>
          <w:rFonts w:cs="TT183t00"/>
          <w:lang w:val="en-US"/>
        </w:rPr>
        <w:t>TPOD-0003 It shall be possible to locate the handheld device at any time?</w:t>
      </w:r>
    </w:p>
    <w:p w:rsidR="009049E9" w:rsidRDefault="009049E9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>
        <w:rPr>
          <w:rFonts w:cs="TT183t00"/>
          <w:lang w:val="en-US"/>
        </w:rPr>
        <w:t>Is this requirement meant for</w:t>
      </w:r>
    </w:p>
    <w:p w:rsidR="009049E9" w:rsidRDefault="009049E9" w:rsidP="009049E9">
      <w:pPr>
        <w:pStyle w:val="Listeafsnit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>
        <w:rPr>
          <w:rFonts w:cs="TT183t00"/>
          <w:lang w:val="en-US"/>
        </w:rPr>
        <w:t>Finding the COP “laying around” somewhere (triangulation)</w:t>
      </w:r>
    </w:p>
    <w:p w:rsidR="009049E9" w:rsidRDefault="009049E9" w:rsidP="009049E9">
      <w:pPr>
        <w:pStyle w:val="Listeafsnit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>
        <w:rPr>
          <w:rFonts w:cs="TT183t00"/>
          <w:lang w:val="en-US"/>
        </w:rPr>
        <w:t>Or for the COP to “know” its own coordinates(as a part of navigation)</w:t>
      </w:r>
    </w:p>
    <w:p w:rsidR="00032F37" w:rsidRPr="005E0EAF" w:rsidRDefault="00032F37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This is impossible if the COP is without power  or damaged?</w:t>
      </w:r>
    </w:p>
    <w:p w:rsidR="009049E9" w:rsidRDefault="009049E9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>
        <w:rPr>
          <w:rFonts w:cs="TT183t00"/>
          <w:lang w:val="en-US"/>
        </w:rPr>
        <w:t>Do you mean that the COP must</w:t>
      </w:r>
    </w:p>
    <w:p w:rsidR="00032F37" w:rsidRPr="005E0EAF" w:rsidRDefault="00032F37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We could specify a restricted time, within wich the COP would be traceable?</w:t>
      </w:r>
    </w:p>
    <w:p w:rsidR="00032F37" w:rsidRPr="005E0EAF" w:rsidRDefault="00032F37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We would also have to specify something about how much effort is to be put into finding the thing?</w:t>
      </w:r>
    </w:p>
    <w:p w:rsidR="00032F37" w:rsidRPr="005E0EAF" w:rsidRDefault="00032F37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Or even better how high the electrical field radiated from the COP is?</w:t>
      </w:r>
    </w:p>
    <w:p w:rsidR="00032F37" w:rsidRPr="005E0EAF" w:rsidRDefault="00032F37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TPOD-0004 The handheld device shall include features, which enables verbal communication with a mobile head quarter.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Could this be through a headset. Maybe Bluetoth?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If not what are the demands for the audio quality ?</w:t>
      </w:r>
    </w:p>
    <w:p w:rsidR="00032F37" w:rsidRPr="005E0EAF" w:rsidRDefault="00032F37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lastRenderedPageBreak/>
        <w:t>According to TPOD-0005 The handheld device must be able to deploy firmware over-the air (FOTA) technology.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a full firmware upgrade?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What are the standards used ?</w:t>
      </w:r>
    </w:p>
    <w:p w:rsidR="00032F37" w:rsidRPr="005E0EAF" w:rsidRDefault="00032F37" w:rsidP="002659B9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TPOD-0009 The handheld device shall be fully functional after a drop of 1 meter on concrete floor. This includes both software and hardware features.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all Non-functional requirements also must be met after the fall?</w:t>
      </w:r>
    </w:p>
    <w:p w:rsidR="00032F37" w:rsidRPr="005E0EAF" w:rsidRDefault="00032F37" w:rsidP="002659B9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the fall is not repeated?</w:t>
      </w:r>
    </w:p>
    <w:p w:rsidR="00032F37" w:rsidRPr="005E0EAF" w:rsidRDefault="00032F37" w:rsidP="009D4480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TPOD-0011 The battery in the handheld device shall be replaceable on sight and rechargeable by means of a 12V battery supply.</w:t>
      </w:r>
    </w:p>
    <w:p w:rsidR="00032F37" w:rsidRPr="005E0EAF" w:rsidRDefault="00032F37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first requirement here is that the battery is replaceable?</w:t>
      </w:r>
    </w:p>
    <w:p w:rsidR="00032F37" w:rsidRPr="005E0EAF" w:rsidRDefault="00032F37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any demands to how long into the future these batteries must be supplyable?</w:t>
      </w:r>
    </w:p>
    <w:p w:rsidR="00032F37" w:rsidRPr="005E0EAF" w:rsidRDefault="00032F37" w:rsidP="009D4480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next requirement has to do with recharging. Are there any tolerances to the 12 volt, or shall we try come up with better specifications to meet car-battery-requirements?</w:t>
      </w:r>
    </w:p>
    <w:p w:rsidR="00032F37" w:rsidRPr="005E0EAF" w:rsidRDefault="00032F37" w:rsidP="00410E0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According to TPOD-0012 It shall be possible to interface all functionality of the handheld device by using your hands only and hands with gloves.</w:t>
      </w:r>
    </w:p>
    <w:p w:rsidR="00032F37" w:rsidRPr="005E0EAF" w:rsidRDefault="00032F37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 xml:space="preserve">You must face </w:t>
      </w:r>
      <w:r w:rsidR="009049E9" w:rsidRPr="005E0EAF">
        <w:rPr>
          <w:rFonts w:cs="TT183t00"/>
          <w:lang w:val="en-US"/>
        </w:rPr>
        <w:t>degrading</w:t>
      </w:r>
      <w:r w:rsidRPr="005E0EAF">
        <w:rPr>
          <w:rFonts w:cs="TT183t00"/>
          <w:lang w:val="en-US"/>
        </w:rPr>
        <w:t xml:space="preserve"> user friendliness when using gloves</w:t>
      </w:r>
      <w:r w:rsidR="009049E9">
        <w:rPr>
          <w:rFonts w:cs="TT183t00"/>
          <w:lang w:val="en-US"/>
        </w:rPr>
        <w:t>. Is this all right</w:t>
      </w:r>
      <w:r w:rsidRPr="005E0EAF">
        <w:rPr>
          <w:rFonts w:cs="TT183t00"/>
          <w:lang w:val="en-US"/>
        </w:rPr>
        <w:t>?</w:t>
      </w:r>
    </w:p>
    <w:p w:rsidR="00032F37" w:rsidRPr="005E0EAF" w:rsidRDefault="00032F37" w:rsidP="00410E0C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This Requirement also has to do with the GUI of the software (see 2.b)?</w:t>
      </w:r>
    </w:p>
    <w:p w:rsidR="00032F37" w:rsidRPr="005E0EAF" w:rsidRDefault="00032F37" w:rsidP="00EE74E1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TPOD-0014 The battery in the handheld device shall last for at least 12 hours of operation.</w:t>
      </w:r>
    </w:p>
    <w:p w:rsidR="00032F37" w:rsidRPr="005E0EAF" w:rsidRDefault="00032F37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This requirement is impractical as some operations use more power than others, e.g. FOTA or other wireless communication may take more than ten </w:t>
      </w:r>
      <w:r w:rsidR="009049E9" w:rsidRPr="005E0EAF">
        <w:rPr>
          <w:rFonts w:cs="TT185t00"/>
          <w:lang w:val="en-US"/>
        </w:rPr>
        <w:t>times the</w:t>
      </w:r>
      <w:r w:rsidRPr="005E0EAF">
        <w:rPr>
          <w:rFonts w:cs="TT185t00"/>
          <w:lang w:val="en-US"/>
        </w:rPr>
        <w:t xml:space="preserve"> normal power consumption. A better requirement would be 12 hour normal operations, and then specify what “normal” is </w:t>
      </w:r>
    </w:p>
    <w:p w:rsidR="00032F37" w:rsidRPr="005E0EAF" w:rsidRDefault="00032F37" w:rsidP="0083370D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TPOD-0015 The display shall be readable in direct sunlight and the sub-supplier shall evaluate the best possible technology for a screen that performs a minimum of 1000 cd/m2.</w:t>
      </w:r>
    </w:p>
    <w:p w:rsidR="00032F37" w:rsidRPr="005E0EAF" w:rsidRDefault="00032F37" w:rsidP="0083370D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Will the last part of the requirement :  “a screen that performs a minimum of 1000 cd/m2” not make the first part “The display shall be readable in direct sunlight” unnescessary?</w:t>
      </w:r>
    </w:p>
    <w:p w:rsidR="00032F37" w:rsidRPr="005E0EAF" w:rsidRDefault="00032F37" w:rsidP="0083370D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Best possible technology is a vague formulation. Can this be omitted ?</w:t>
      </w:r>
    </w:p>
    <w:p w:rsidR="00032F37" w:rsidRPr="005E0EAF" w:rsidRDefault="00032F37" w:rsidP="00EE74E1">
      <w:pPr>
        <w:pStyle w:val="Listeafsnit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TPOD-0016 The handheld device shall as minimum contain a general purpose 1GHz processor and 512MB Ram and 420MHz dedicated DSP processor.</w:t>
      </w:r>
    </w:p>
    <w:p w:rsidR="00032F37" w:rsidRPr="005E0EAF" w:rsidRDefault="00032F37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What is the purpose with this constraint, if the other requirements are met ?</w:t>
      </w:r>
    </w:p>
    <w:p w:rsidR="00032F37" w:rsidRPr="005E0EAF" w:rsidRDefault="00032F37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only good advice?</w:t>
      </w:r>
    </w:p>
    <w:p w:rsidR="00032F37" w:rsidRPr="005E0EAF" w:rsidRDefault="00032F37" w:rsidP="00EE74E1">
      <w:pPr>
        <w:pStyle w:val="Listeafsnit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for future development?</w:t>
      </w:r>
    </w:p>
    <w:p w:rsidR="00032F37" w:rsidRPr="005E0EAF" w:rsidRDefault="00032F37" w:rsidP="0083370D">
      <w:pPr>
        <w:pStyle w:val="Listeafsnit"/>
        <w:autoSpaceDE w:val="0"/>
        <w:autoSpaceDN w:val="0"/>
        <w:adjustRightInd w:val="0"/>
        <w:spacing w:after="0" w:line="240" w:lineRule="auto"/>
        <w:ind w:left="1080"/>
        <w:rPr>
          <w:rFonts w:cs="TT185t00"/>
          <w:lang w:val="en-US"/>
        </w:rPr>
      </w:pP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We hope to get a soon response.</w:t>
      </w:r>
    </w:p>
    <w:p w:rsidR="00032F37" w:rsidRPr="005E0EAF" w:rsidRDefault="00032F37">
      <w:pPr>
        <w:rPr>
          <w:lang w:val="en-US"/>
        </w:rPr>
      </w:pPr>
    </w:p>
    <w:p w:rsidR="00032F37" w:rsidRDefault="00032F37">
      <w:pPr>
        <w:rPr>
          <w:lang w:val="en-US"/>
        </w:rPr>
      </w:pPr>
      <w:r>
        <w:rPr>
          <w:lang w:val="en-US"/>
        </w:rPr>
        <w:t xml:space="preserve">Yours sincerely </w:t>
      </w:r>
    </w:p>
    <w:p w:rsidR="00032F37" w:rsidRDefault="00032F37" w:rsidP="005E0EAF">
      <w:pPr>
        <w:rPr>
          <w:b/>
          <w:lang w:val="en-GB"/>
        </w:rPr>
      </w:pPr>
      <w:r w:rsidRPr="004D4F8C">
        <w:rPr>
          <w:b/>
          <w:lang w:val="en-GB"/>
        </w:rPr>
        <w:lastRenderedPageBreak/>
        <w:t>Lars Munch</w:t>
      </w:r>
    </w:p>
    <w:p w:rsidR="00032F37" w:rsidRPr="00A12CB7" w:rsidRDefault="00032F37" w:rsidP="005E0EAF">
      <w:pPr>
        <w:rPr>
          <w:lang w:val="en-GB"/>
        </w:rPr>
      </w:pPr>
      <w:r w:rsidRPr="00A12CB7">
        <w:rPr>
          <w:b/>
          <w:lang w:val="en-GB"/>
        </w:rPr>
        <w:t>Anders H. Poder</w:t>
      </w:r>
    </w:p>
    <w:p w:rsidR="00032F37" w:rsidRDefault="00032F37">
      <w:pPr>
        <w:rPr>
          <w:b/>
        </w:rPr>
      </w:pPr>
      <w:r w:rsidRPr="005E0EAF">
        <w:rPr>
          <w:b/>
        </w:rPr>
        <w:t xml:space="preserve">Kenneth Pihl </w:t>
      </w:r>
    </w:p>
    <w:p w:rsidR="00032F37" w:rsidRPr="005E0EAF" w:rsidRDefault="00032F37">
      <w:r w:rsidRPr="005E0EAF">
        <w:rPr>
          <w:b/>
        </w:rPr>
        <w:t>Kaj N. Nielsen</w:t>
      </w:r>
      <w:r w:rsidRPr="005E0EAF">
        <w:t xml:space="preserve"> </w:t>
      </w:r>
    </w:p>
    <w:p w:rsidR="00032F37" w:rsidRPr="005E0EAF" w:rsidRDefault="00032F37"/>
    <w:sectPr w:rsidR="00032F37" w:rsidRPr="005E0EAF" w:rsidSect="00226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DBC" w:rsidRDefault="00BA1DBC" w:rsidP="00E56EC2">
      <w:pPr>
        <w:spacing w:after="0" w:line="240" w:lineRule="auto"/>
      </w:pPr>
      <w:r>
        <w:separator/>
      </w:r>
    </w:p>
  </w:endnote>
  <w:endnote w:type="continuationSeparator" w:id="0">
    <w:p w:rsidR="00BA1DBC" w:rsidRDefault="00BA1DBC" w:rsidP="00E5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1A712A">
    <w:pPr>
      <w:pStyle w:val="Sidefod"/>
      <w:jc w:val="right"/>
    </w:pPr>
    <w:fldSimple w:instr=" PAGE   \* MERGEFORMAT ">
      <w:r w:rsidR="009049E9">
        <w:rPr>
          <w:noProof/>
        </w:rPr>
        <w:t>1</w:t>
      </w:r>
    </w:fldSimple>
  </w:p>
  <w:p w:rsidR="00032F37" w:rsidRDefault="00032F37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DBC" w:rsidRDefault="00BA1DBC" w:rsidP="00E56EC2">
      <w:pPr>
        <w:spacing w:after="0" w:line="240" w:lineRule="auto"/>
      </w:pPr>
      <w:r>
        <w:separator/>
      </w:r>
    </w:p>
  </w:footnote>
  <w:footnote w:type="continuationSeparator" w:id="0">
    <w:p w:rsidR="00BA1DBC" w:rsidRDefault="00BA1DBC" w:rsidP="00E5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969"/>
    <w:rsid w:val="00011CC4"/>
    <w:rsid w:val="00032F37"/>
    <w:rsid w:val="00101E99"/>
    <w:rsid w:val="001A712A"/>
    <w:rsid w:val="00226221"/>
    <w:rsid w:val="002659B9"/>
    <w:rsid w:val="00410E0C"/>
    <w:rsid w:val="00453C6B"/>
    <w:rsid w:val="004D4F8C"/>
    <w:rsid w:val="00513398"/>
    <w:rsid w:val="005432E6"/>
    <w:rsid w:val="005E0EAF"/>
    <w:rsid w:val="007510A5"/>
    <w:rsid w:val="00815D31"/>
    <w:rsid w:val="0082183C"/>
    <w:rsid w:val="0083370D"/>
    <w:rsid w:val="009049E9"/>
    <w:rsid w:val="009D4480"/>
    <w:rsid w:val="00A12CB7"/>
    <w:rsid w:val="00BA1DBC"/>
    <w:rsid w:val="00C23969"/>
    <w:rsid w:val="00C97421"/>
    <w:rsid w:val="00E56EC2"/>
    <w:rsid w:val="00EE74E1"/>
    <w:rsid w:val="00F4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99"/>
    <w:qFormat/>
    <w:rsid w:val="0082183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locked/>
    <w:rsid w:val="005E0EAF"/>
    <w:rPr>
      <w:rFonts w:cs="Times New Roman"/>
    </w:rPr>
  </w:style>
  <w:style w:type="paragraph" w:styleId="Sidefod">
    <w:name w:val="footer"/>
    <w:basedOn w:val="Normal"/>
    <w:link w:val="SidefodTegn"/>
    <w:uiPriority w:val="99"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5E0EAF"/>
    <w:rPr>
      <w:rFonts w:cs="Times New Roman"/>
    </w:rPr>
  </w:style>
  <w:style w:type="character" w:styleId="Kommentarhenvisning">
    <w:name w:val="annotation reference"/>
    <w:basedOn w:val="Standardskrifttypeiafsnit"/>
    <w:uiPriority w:val="99"/>
    <w:semiHidden/>
    <w:rsid w:val="00A12CB7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12CB7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63C47"/>
    <w:rPr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12C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63C47"/>
    <w:rPr>
      <w:b/>
      <w:bCs/>
    </w:rPr>
  </w:style>
  <w:style w:type="paragraph" w:styleId="Markeringsbobletekst">
    <w:name w:val="Balloon Text"/>
    <w:basedOn w:val="Normal"/>
    <w:link w:val="MarkeringsbobletekstTegn"/>
    <w:uiPriority w:val="99"/>
    <w:semiHidden/>
    <w:rsid w:val="00A12CB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3C47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627</Words>
  <Characters>3826</Characters>
  <Application>Microsoft Office Word</Application>
  <DocSecurity>0</DocSecurity>
  <Lines>31</Lines>
  <Paragraphs>8</Paragraphs>
  <ScaleCrop>false</ScaleCrop>
  <Company>Aarhus tekniske Skole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10</cp:revision>
  <dcterms:created xsi:type="dcterms:W3CDTF">2010-10-02T14:41:00Z</dcterms:created>
  <dcterms:modified xsi:type="dcterms:W3CDTF">2010-10-03T19:48:00Z</dcterms:modified>
</cp:coreProperties>
</file>