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282" w:rsidRPr="00A303EB" w:rsidRDefault="00A303EB" w:rsidP="00A303EB">
      <w:pPr>
        <w:pStyle w:val="Overskrift1"/>
        <w:rPr>
          <w:lang w:val="en-GB"/>
        </w:rPr>
      </w:pPr>
      <w:r w:rsidRPr="00A303EB">
        <w:rPr>
          <w:lang w:val="en-GB"/>
        </w:rPr>
        <w:t>Missile coverage analysis</w:t>
      </w:r>
    </w:p>
    <w:p w:rsidR="00A303EB" w:rsidRPr="00A303EB" w:rsidRDefault="00A303EB" w:rsidP="00A303EB">
      <w:pPr>
        <w:rPr>
          <w:lang w:val="en-GB"/>
        </w:rPr>
      </w:pPr>
    </w:p>
    <w:p w:rsidR="00A303EB" w:rsidRPr="00A303EB" w:rsidRDefault="00A303EB" w:rsidP="00A303EB">
      <w:pPr>
        <w:rPr>
          <w:lang w:val="en-GB"/>
        </w:rPr>
      </w:pPr>
      <w:r w:rsidRPr="00A303EB">
        <w:rPr>
          <w:lang w:val="en-GB"/>
        </w:rPr>
        <w:t xml:space="preserve">Based on the specification for the GFE the sensor range diagram of </w:t>
      </w:r>
      <w:r w:rsidRPr="00A303EB">
        <w:rPr>
          <w:lang w:val="en-GB"/>
        </w:rPr>
        <w:fldChar w:fldCharType="begin"/>
      </w:r>
      <w:r w:rsidRPr="00A303EB">
        <w:rPr>
          <w:lang w:val="en-GB"/>
        </w:rPr>
        <w:instrText xml:space="preserve"> REF _Ref273537904 \h </w:instrText>
      </w:r>
      <w:r w:rsidRPr="00A303EB">
        <w:rPr>
          <w:lang w:val="en-GB"/>
        </w:rPr>
      </w:r>
      <w:r w:rsidRPr="00A303EB">
        <w:rPr>
          <w:lang w:val="en-GB"/>
        </w:rPr>
        <w:fldChar w:fldCharType="separate"/>
      </w:r>
      <w:r w:rsidRPr="00A303EB">
        <w:rPr>
          <w:lang w:val="en-GB"/>
        </w:rPr>
        <w:t xml:space="preserve">Figure </w:t>
      </w:r>
      <w:r w:rsidRPr="00A303EB">
        <w:rPr>
          <w:noProof/>
          <w:lang w:val="en-GB"/>
        </w:rPr>
        <w:t>1</w:t>
      </w:r>
      <w:r w:rsidRPr="00A303EB">
        <w:rPr>
          <w:lang w:val="en-GB"/>
        </w:rPr>
        <w:fldChar w:fldCharType="end"/>
      </w:r>
      <w:r w:rsidRPr="00A303EB">
        <w:rPr>
          <w:lang w:val="en-GB"/>
        </w:rPr>
        <w:t xml:space="preserve"> may be created.</w:t>
      </w:r>
    </w:p>
    <w:p w:rsidR="00A303EB" w:rsidRPr="00A303EB" w:rsidRDefault="00A303EB" w:rsidP="00A303EB">
      <w:pPr>
        <w:rPr>
          <w:lang w:val="en-GB"/>
        </w:rPr>
      </w:pPr>
    </w:p>
    <w:p w:rsidR="00A303EB" w:rsidRPr="00A303EB" w:rsidRDefault="00A303EB" w:rsidP="00A303EB">
      <w:pPr>
        <w:jc w:val="center"/>
        <w:rPr>
          <w:lang w:val="en-GB"/>
        </w:rPr>
      </w:pPr>
      <w:r w:rsidRPr="00A303EB">
        <w:rPr>
          <w:lang w:val="en-GB"/>
        </w:rPr>
        <w:object w:dxaOrig="2353" w:dyaOrig="4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3in" o:ole="">
            <v:imagedata r:id="rId5" o:title=""/>
          </v:shape>
          <o:OLEObject Type="Embed" ProgID="Visio.Drawing.11" ShapeID="_x0000_i1025" DrawAspect="Content" ObjectID="_1347280908" r:id="rId6"/>
        </w:object>
      </w:r>
    </w:p>
    <w:p w:rsidR="00A303EB" w:rsidRPr="00A303EB" w:rsidRDefault="00A303EB" w:rsidP="00A303EB">
      <w:pPr>
        <w:pStyle w:val="Billedtekst"/>
        <w:jc w:val="center"/>
        <w:rPr>
          <w:lang w:val="en-GB"/>
        </w:rPr>
      </w:pPr>
      <w:bookmarkStart w:id="0" w:name="_Ref273537904"/>
      <w:r w:rsidRPr="00A303EB">
        <w:rPr>
          <w:lang w:val="en-GB"/>
        </w:rPr>
        <w:t xml:space="preserve">Figure </w:t>
      </w:r>
      <w:r w:rsidRPr="00A303EB">
        <w:rPr>
          <w:lang w:val="en-GB"/>
        </w:rPr>
        <w:fldChar w:fldCharType="begin"/>
      </w:r>
      <w:r w:rsidRPr="00A303EB">
        <w:rPr>
          <w:lang w:val="en-GB"/>
        </w:rPr>
        <w:instrText xml:space="preserve"> SEQ Figure \* ARABIC </w:instrText>
      </w:r>
      <w:r w:rsidRPr="00A303EB">
        <w:rPr>
          <w:lang w:val="en-GB"/>
        </w:rPr>
        <w:fldChar w:fldCharType="separate"/>
      </w:r>
      <w:r w:rsidR="006E1EB5">
        <w:rPr>
          <w:noProof/>
          <w:lang w:val="en-GB"/>
        </w:rPr>
        <w:t>1</w:t>
      </w:r>
      <w:r w:rsidRPr="00A303EB">
        <w:rPr>
          <w:lang w:val="en-GB"/>
        </w:rPr>
        <w:fldChar w:fldCharType="end"/>
      </w:r>
      <w:bookmarkEnd w:id="0"/>
      <w:r w:rsidRPr="00A303EB">
        <w:rPr>
          <w:lang w:val="en-GB"/>
        </w:rPr>
        <w:t>: Sensor coverage diagram</w:t>
      </w:r>
    </w:p>
    <w:p w:rsidR="00A303EB" w:rsidRPr="00A303EB" w:rsidRDefault="00A303EB" w:rsidP="00A303EB">
      <w:pPr>
        <w:rPr>
          <w:lang w:val="en-GB"/>
        </w:rPr>
      </w:pPr>
    </w:p>
    <w:p w:rsidR="00A303EB" w:rsidRPr="00A303EB" w:rsidRDefault="00A303EB" w:rsidP="00A303EB">
      <w:pPr>
        <w:rPr>
          <w:lang w:val="en-GB"/>
        </w:rPr>
      </w:pPr>
      <w:r w:rsidRPr="00A303EB">
        <w:rPr>
          <w:lang w:val="en-GB"/>
        </w:rPr>
        <w:t xml:space="preserve">Based on the F-16 speed and manoeuvring capabilities, combined with minimum missile speed and lethality and GFE detecting capabilities, it is possible to set up a kill zone, in which detection of an incoming missile becomes irrelevant. This is due to the fact that it is no possible to react before impact, and even if a reaction was made the deployment of chaff and flare will cause immediate detonation of incoming missile, and the shockwave will be sufficient to destroy the plane at this distance.  This distance is illustrated in </w:t>
      </w:r>
      <w:r w:rsidR="006E1EB5">
        <w:rPr>
          <w:lang w:val="en-GB"/>
        </w:rPr>
        <w:fldChar w:fldCharType="begin"/>
      </w:r>
      <w:r w:rsidR="006E1EB5">
        <w:rPr>
          <w:lang w:val="en-GB"/>
        </w:rPr>
        <w:instrText xml:space="preserve"> REF _Ref273538144 \h </w:instrText>
      </w:r>
      <w:r w:rsidR="006E1EB5">
        <w:rPr>
          <w:lang w:val="en-GB"/>
        </w:rPr>
      </w:r>
      <w:r w:rsidR="006E1EB5">
        <w:rPr>
          <w:lang w:val="en-GB"/>
        </w:rPr>
        <w:fldChar w:fldCharType="separate"/>
      </w:r>
      <w:r w:rsidR="006E1EB5" w:rsidRPr="00A303EB">
        <w:rPr>
          <w:lang w:val="en-GB"/>
        </w:rPr>
        <w:t xml:space="preserve">Figure </w:t>
      </w:r>
      <w:r w:rsidR="006E1EB5">
        <w:rPr>
          <w:noProof/>
          <w:lang w:val="en-GB"/>
        </w:rPr>
        <w:t>2</w:t>
      </w:r>
      <w:r w:rsidR="006E1EB5">
        <w:rPr>
          <w:lang w:val="en-GB"/>
        </w:rPr>
        <w:fldChar w:fldCharType="end"/>
      </w:r>
      <w:r w:rsidR="006E1EB5">
        <w:rPr>
          <w:lang w:val="en-GB"/>
        </w:rPr>
        <w:t>.</w:t>
      </w:r>
    </w:p>
    <w:p w:rsidR="00A303EB" w:rsidRPr="00A303EB" w:rsidRDefault="00A303EB" w:rsidP="00A303EB">
      <w:pPr>
        <w:rPr>
          <w:lang w:val="en-GB"/>
        </w:rPr>
      </w:pPr>
    </w:p>
    <w:p w:rsidR="00A303EB" w:rsidRPr="00A303EB" w:rsidRDefault="00A303EB" w:rsidP="00A303EB">
      <w:pPr>
        <w:jc w:val="center"/>
        <w:rPr>
          <w:lang w:val="en-GB"/>
        </w:rPr>
      </w:pPr>
      <w:r w:rsidRPr="00A303EB">
        <w:rPr>
          <w:lang w:val="en-GB"/>
        </w:rPr>
        <w:object w:dxaOrig="5377" w:dyaOrig="4024">
          <v:shape id="_x0000_i1026" type="#_x0000_t75" style="width:268.5pt;height:201pt" o:ole="">
            <v:imagedata r:id="rId7" o:title=""/>
          </v:shape>
          <o:OLEObject Type="Embed" ProgID="Visio.Drawing.11" ShapeID="_x0000_i1026" DrawAspect="Content" ObjectID="_1347280909" r:id="rId8"/>
        </w:object>
      </w:r>
    </w:p>
    <w:p w:rsidR="00A303EB" w:rsidRDefault="00A303EB" w:rsidP="00A303EB">
      <w:pPr>
        <w:pStyle w:val="Billedtekst"/>
        <w:jc w:val="center"/>
        <w:rPr>
          <w:lang w:val="en-GB"/>
        </w:rPr>
      </w:pPr>
      <w:bookmarkStart w:id="1" w:name="_Ref273538144"/>
      <w:r w:rsidRPr="00A303EB">
        <w:rPr>
          <w:lang w:val="en-GB"/>
        </w:rPr>
        <w:lastRenderedPageBreak/>
        <w:t xml:space="preserve">Figure </w:t>
      </w:r>
      <w:r w:rsidRPr="00A303EB">
        <w:rPr>
          <w:lang w:val="en-GB"/>
        </w:rPr>
        <w:fldChar w:fldCharType="begin"/>
      </w:r>
      <w:r w:rsidRPr="00A303EB">
        <w:rPr>
          <w:lang w:val="en-GB"/>
        </w:rPr>
        <w:instrText xml:space="preserve"> SEQ Figure \* ARABIC </w:instrText>
      </w:r>
      <w:r w:rsidRPr="00A303EB">
        <w:rPr>
          <w:lang w:val="en-GB"/>
        </w:rPr>
        <w:fldChar w:fldCharType="separate"/>
      </w:r>
      <w:r w:rsidR="006E1EB5">
        <w:rPr>
          <w:noProof/>
          <w:lang w:val="en-GB"/>
        </w:rPr>
        <w:t>2</w:t>
      </w:r>
      <w:r w:rsidRPr="00A303EB">
        <w:rPr>
          <w:lang w:val="en-GB"/>
        </w:rPr>
        <w:fldChar w:fldCharType="end"/>
      </w:r>
      <w:bookmarkEnd w:id="1"/>
      <w:r w:rsidRPr="00A303EB">
        <w:rPr>
          <w:lang w:val="en-GB"/>
        </w:rPr>
        <w:t>: Aircraft kill zone</w:t>
      </w:r>
    </w:p>
    <w:p w:rsidR="00A303EB" w:rsidRDefault="00A303EB" w:rsidP="00A303EB">
      <w:pPr>
        <w:rPr>
          <w:lang w:val="en-GB"/>
        </w:rPr>
      </w:pPr>
      <w:r>
        <w:rPr>
          <w:lang w:val="en-GB"/>
        </w:rPr>
        <w:t>Based on this information and an exact number of sensor</w:t>
      </w:r>
      <w:r w:rsidR="00AC1F4A">
        <w:rPr>
          <w:lang w:val="en-GB"/>
        </w:rPr>
        <w:t xml:space="preserve">s, </w:t>
      </w:r>
      <w:r>
        <w:rPr>
          <w:lang w:val="en-GB"/>
        </w:rPr>
        <w:t xml:space="preserve">it is possible to determine the placement that achieves maximum coverage outside the kill zone. </w:t>
      </w:r>
    </w:p>
    <w:p w:rsidR="006E1EB5" w:rsidRDefault="006E1EB5" w:rsidP="00A303EB">
      <w:pPr>
        <w:rPr>
          <w:lang w:val="en-GB"/>
        </w:rPr>
      </w:pPr>
    </w:p>
    <w:p w:rsidR="006E1EB5" w:rsidRDefault="006E1EB5" w:rsidP="00A303EB">
      <w:pPr>
        <w:rPr>
          <w:lang w:val="en-GB"/>
        </w:rPr>
      </w:pPr>
      <w:r>
        <w:rPr>
          <w:lang w:val="en-GB"/>
        </w:rPr>
        <w:t xml:space="preserve">The placement is shown in </w:t>
      </w:r>
      <w:r>
        <w:rPr>
          <w:lang w:val="en-GB"/>
        </w:rPr>
        <w:fldChar w:fldCharType="begin"/>
      </w:r>
      <w:r>
        <w:rPr>
          <w:lang w:val="en-GB"/>
        </w:rPr>
        <w:instrText xml:space="preserve"> REF _Ref273538133 \h </w:instrText>
      </w:r>
      <w:r>
        <w:rPr>
          <w:lang w:val="en-GB"/>
        </w:rPr>
      </w:r>
      <w:r>
        <w:rPr>
          <w:lang w:val="en-GB"/>
        </w:rPr>
        <w:fldChar w:fldCharType="separate"/>
      </w:r>
      <w:r w:rsidRPr="006E1EB5">
        <w:rPr>
          <w:lang w:val="en-US"/>
        </w:rPr>
        <w:t xml:space="preserve">Figure </w:t>
      </w:r>
      <w:r w:rsidRPr="006E1EB5">
        <w:rPr>
          <w:noProof/>
          <w:lang w:val="en-US"/>
        </w:rPr>
        <w:t>3</w:t>
      </w:r>
      <w:r>
        <w:rPr>
          <w:lang w:val="en-GB"/>
        </w:rPr>
        <w:fldChar w:fldCharType="end"/>
      </w:r>
      <w:r>
        <w:rPr>
          <w:lang w:val="en-GB"/>
        </w:rPr>
        <w:t>,  and detailed below.</w:t>
      </w:r>
    </w:p>
    <w:p w:rsidR="006E1EB5" w:rsidRDefault="006E1EB5" w:rsidP="00A303EB">
      <w:pPr>
        <w:rPr>
          <w:lang w:val="en-GB"/>
        </w:rPr>
      </w:pPr>
    </w:p>
    <w:p w:rsidR="006E1EB5" w:rsidRDefault="006E1EB5" w:rsidP="006E1EB5">
      <w:pPr>
        <w:jc w:val="center"/>
      </w:pPr>
      <w:r>
        <w:object w:dxaOrig="13548" w:dyaOrig="8163">
          <v:shape id="_x0000_i1029" type="#_x0000_t75" style="width:339pt;height:204.75pt" o:ole="">
            <v:imagedata r:id="rId9" o:title=""/>
          </v:shape>
          <o:OLEObject Type="Embed" ProgID="Visio.Drawing.11" ShapeID="_x0000_i1029" DrawAspect="Content" ObjectID="_1347280910" r:id="rId10"/>
        </w:object>
      </w:r>
    </w:p>
    <w:p w:rsidR="006E1EB5" w:rsidRDefault="006E1EB5" w:rsidP="006E1EB5">
      <w:pPr>
        <w:pStyle w:val="Billedtekst"/>
        <w:jc w:val="center"/>
        <w:rPr>
          <w:lang w:val="en-US"/>
        </w:rPr>
      </w:pPr>
      <w:bookmarkStart w:id="2" w:name="_Ref273538133"/>
      <w:r w:rsidRPr="006E1EB5">
        <w:rPr>
          <w:lang w:val="en-US"/>
        </w:rPr>
        <w:t xml:space="preserve">Figure </w:t>
      </w:r>
      <w:r>
        <w:fldChar w:fldCharType="begin"/>
      </w:r>
      <w:r w:rsidRPr="006E1EB5">
        <w:rPr>
          <w:lang w:val="en-US"/>
        </w:rPr>
        <w:instrText xml:space="preserve"> SEQ Figure \* ARABIC </w:instrText>
      </w:r>
      <w:r>
        <w:fldChar w:fldCharType="separate"/>
      </w:r>
      <w:r>
        <w:rPr>
          <w:noProof/>
          <w:lang w:val="en-US"/>
        </w:rPr>
        <w:t>3</w:t>
      </w:r>
      <w:r>
        <w:fldChar w:fldCharType="end"/>
      </w:r>
      <w:bookmarkEnd w:id="2"/>
      <w:r w:rsidRPr="006E1EB5">
        <w:rPr>
          <w:lang w:val="en-US"/>
        </w:rPr>
        <w:t>: MWS coverage seen from above the plane</w:t>
      </w:r>
    </w:p>
    <w:p w:rsidR="006E1EB5" w:rsidRDefault="006E1EB5" w:rsidP="006E1EB5">
      <w:pPr>
        <w:rPr>
          <w:lang w:val="en-US"/>
        </w:rPr>
      </w:pPr>
    </w:p>
    <w:p w:rsidR="006E1EB5" w:rsidRDefault="006E1EB5" w:rsidP="006E1EB5">
      <w:pPr>
        <w:jc w:val="center"/>
      </w:pPr>
      <w:r>
        <w:object w:dxaOrig="13548" w:dyaOrig="8220">
          <v:shape id="_x0000_i1030" type="#_x0000_t75" style="width:339.75pt;height:206.25pt" o:ole="">
            <v:imagedata r:id="rId11" o:title=""/>
          </v:shape>
          <o:OLEObject Type="Embed" ProgID="Visio.Drawing.11" ShapeID="_x0000_i1030" DrawAspect="Content" ObjectID="_1347280911" r:id="rId12"/>
        </w:object>
      </w:r>
    </w:p>
    <w:p w:rsidR="006E1EB5" w:rsidRPr="006E1EB5" w:rsidRDefault="006E1EB5" w:rsidP="006E1EB5">
      <w:pPr>
        <w:pStyle w:val="Billedtekst"/>
        <w:jc w:val="center"/>
        <w:rPr>
          <w:lang w:val="en-US"/>
        </w:rPr>
      </w:pPr>
      <w:r w:rsidRPr="006E1EB5">
        <w:rPr>
          <w:lang w:val="en-US"/>
        </w:rPr>
        <w:t xml:space="preserve">Figure </w:t>
      </w:r>
      <w:r>
        <w:fldChar w:fldCharType="begin"/>
      </w:r>
      <w:r w:rsidRPr="006E1EB5">
        <w:rPr>
          <w:lang w:val="en-US"/>
        </w:rPr>
        <w:instrText xml:space="preserve"> SEQ Figure \* ARABIC </w:instrText>
      </w:r>
      <w:r>
        <w:fldChar w:fldCharType="separate"/>
      </w:r>
      <w:r>
        <w:rPr>
          <w:noProof/>
          <w:lang w:val="en-US"/>
        </w:rPr>
        <w:t>4</w:t>
      </w:r>
      <w:r>
        <w:fldChar w:fldCharType="end"/>
      </w:r>
      <w:r w:rsidRPr="006E1EB5">
        <w:rPr>
          <w:lang w:val="en-US"/>
        </w:rPr>
        <w:t>: MWS coverage seen from below the plane</w:t>
      </w:r>
    </w:p>
    <w:p w:rsidR="006E1EB5" w:rsidRDefault="006E1EB5" w:rsidP="006E1EB5">
      <w:pPr>
        <w:rPr>
          <w:lang w:val="en-US"/>
        </w:rPr>
      </w:pPr>
    </w:p>
    <w:p w:rsidR="006E1EB5" w:rsidRDefault="006E1EB5" w:rsidP="006E1EB5">
      <w:pPr>
        <w:jc w:val="center"/>
      </w:pPr>
      <w:r>
        <w:object w:dxaOrig="10512" w:dyaOrig="7842">
          <v:shape id="_x0000_i1027" type="#_x0000_t75" style="width:261.75pt;height:195pt" o:ole="">
            <v:imagedata r:id="rId13" o:title=""/>
          </v:shape>
          <o:OLEObject Type="Embed" ProgID="Visio.Drawing.11" ShapeID="_x0000_i1027" DrawAspect="Content" ObjectID="_1347280912" r:id="rId14"/>
        </w:object>
      </w:r>
    </w:p>
    <w:p w:rsidR="006E1EB5" w:rsidRPr="006E1EB5" w:rsidRDefault="006E1EB5" w:rsidP="006E1EB5">
      <w:pPr>
        <w:pStyle w:val="Billedtekst"/>
        <w:jc w:val="center"/>
        <w:rPr>
          <w:lang w:val="en-US"/>
        </w:rPr>
      </w:pPr>
      <w:r w:rsidRPr="006E1EB5">
        <w:rPr>
          <w:lang w:val="en-US"/>
        </w:rPr>
        <w:t xml:space="preserve">Figure </w:t>
      </w:r>
      <w:r>
        <w:fldChar w:fldCharType="begin"/>
      </w:r>
      <w:r w:rsidRPr="006E1EB5">
        <w:rPr>
          <w:lang w:val="en-US"/>
        </w:rPr>
        <w:instrText xml:space="preserve"> SEQ Figure \* ARABIC </w:instrText>
      </w:r>
      <w:r>
        <w:fldChar w:fldCharType="separate"/>
      </w:r>
      <w:r>
        <w:rPr>
          <w:noProof/>
          <w:lang w:val="en-US"/>
        </w:rPr>
        <w:t>5</w:t>
      </w:r>
      <w:r>
        <w:fldChar w:fldCharType="end"/>
      </w:r>
      <w:r w:rsidRPr="006E1EB5">
        <w:rPr>
          <w:lang w:val="en-US"/>
        </w:rPr>
        <w:t xml:space="preserve">: MWS coverage seen from </w:t>
      </w:r>
      <w:r>
        <w:rPr>
          <w:lang w:val="en-US"/>
        </w:rPr>
        <w:t>in front of</w:t>
      </w:r>
      <w:r w:rsidRPr="006E1EB5">
        <w:rPr>
          <w:lang w:val="en-US"/>
        </w:rPr>
        <w:t xml:space="preserve"> the plane</w:t>
      </w:r>
    </w:p>
    <w:p w:rsidR="006E1EB5" w:rsidRPr="006E1EB5" w:rsidRDefault="006E1EB5" w:rsidP="006E1EB5">
      <w:pPr>
        <w:rPr>
          <w:lang w:val="en-US"/>
        </w:rPr>
      </w:pPr>
    </w:p>
    <w:p w:rsidR="006E1EB5" w:rsidRDefault="006E1EB5" w:rsidP="006E1EB5">
      <w:pPr>
        <w:jc w:val="center"/>
      </w:pPr>
      <w:r>
        <w:object w:dxaOrig="10378" w:dyaOrig="7877">
          <v:shape id="_x0000_i1028" type="#_x0000_t75" style="width:258.75pt;height:196.5pt" o:ole="">
            <v:imagedata r:id="rId15" o:title=""/>
          </v:shape>
          <o:OLEObject Type="Embed" ProgID="Visio.Drawing.11" ShapeID="_x0000_i1028" DrawAspect="Content" ObjectID="_1347280913" r:id="rId16"/>
        </w:object>
      </w:r>
    </w:p>
    <w:p w:rsidR="006E1EB5" w:rsidRPr="006E1EB5" w:rsidRDefault="006E1EB5" w:rsidP="006E1EB5">
      <w:pPr>
        <w:pStyle w:val="Billedtekst"/>
        <w:jc w:val="center"/>
        <w:rPr>
          <w:lang w:val="en-US"/>
        </w:rPr>
      </w:pPr>
      <w:r w:rsidRPr="006E1EB5">
        <w:rPr>
          <w:lang w:val="en-US"/>
        </w:rPr>
        <w:t xml:space="preserve">Figure </w:t>
      </w:r>
      <w:r>
        <w:fldChar w:fldCharType="begin"/>
      </w:r>
      <w:r w:rsidRPr="006E1EB5">
        <w:rPr>
          <w:lang w:val="en-US"/>
        </w:rPr>
        <w:instrText xml:space="preserve"> SEQ Figure \* ARABIC </w:instrText>
      </w:r>
      <w:r>
        <w:fldChar w:fldCharType="separate"/>
      </w:r>
      <w:r>
        <w:rPr>
          <w:noProof/>
          <w:lang w:val="en-US"/>
        </w:rPr>
        <w:t>6</w:t>
      </w:r>
      <w:r>
        <w:fldChar w:fldCharType="end"/>
      </w:r>
      <w:r w:rsidRPr="006E1EB5">
        <w:rPr>
          <w:lang w:val="en-US"/>
        </w:rPr>
        <w:t>: MWS coverage seen from the behind of the aircraft</w:t>
      </w:r>
    </w:p>
    <w:p w:rsidR="006E1EB5" w:rsidRDefault="006E1EB5" w:rsidP="006E1EB5">
      <w:pPr>
        <w:rPr>
          <w:lang w:val="en-US"/>
        </w:rPr>
      </w:pPr>
    </w:p>
    <w:p w:rsidR="006E1EB5" w:rsidRDefault="006E1EB5" w:rsidP="006E1EB5">
      <w:pPr>
        <w:jc w:val="center"/>
      </w:pPr>
      <w:r>
        <w:object w:dxaOrig="10253" w:dyaOrig="3992">
          <v:shape id="_x0000_i1031" type="#_x0000_t75" style="width:256.5pt;height:99.75pt" o:ole="">
            <v:imagedata r:id="rId17" o:title=""/>
          </v:shape>
          <o:OLEObject Type="Embed" ProgID="Visio.Drawing.11" ShapeID="_x0000_i1031" DrawAspect="Content" ObjectID="_1347280914" r:id="rId18"/>
        </w:object>
      </w:r>
    </w:p>
    <w:p w:rsidR="006E1EB5" w:rsidRPr="00DF303B" w:rsidRDefault="006E1EB5" w:rsidP="006E1EB5">
      <w:pPr>
        <w:pStyle w:val="Billedtekst"/>
        <w:jc w:val="center"/>
        <w:rPr>
          <w:lang w:val="en-US"/>
        </w:rPr>
      </w:pPr>
      <w:r w:rsidRPr="00DF303B">
        <w:rPr>
          <w:lang w:val="en-US"/>
        </w:rPr>
        <w:t xml:space="preserve">Figure </w:t>
      </w:r>
      <w:r>
        <w:fldChar w:fldCharType="begin"/>
      </w:r>
      <w:r w:rsidRPr="00DF303B">
        <w:rPr>
          <w:lang w:val="en-US"/>
        </w:rPr>
        <w:instrText xml:space="preserve"> SEQ Figure \* ARABIC </w:instrText>
      </w:r>
      <w:r>
        <w:fldChar w:fldCharType="separate"/>
      </w:r>
      <w:r w:rsidRPr="00DF303B">
        <w:rPr>
          <w:noProof/>
          <w:lang w:val="en-US"/>
        </w:rPr>
        <w:t>7</w:t>
      </w:r>
      <w:r>
        <w:fldChar w:fldCharType="end"/>
      </w:r>
      <w:r w:rsidRPr="00DF303B">
        <w:rPr>
          <w:lang w:val="en-US"/>
        </w:rPr>
        <w:t>: MWS coverage seen from the left side of the POD</w:t>
      </w:r>
    </w:p>
    <w:p w:rsidR="006E1EB5" w:rsidRPr="00DF303B" w:rsidRDefault="006E1EB5" w:rsidP="006E1EB5">
      <w:pPr>
        <w:rPr>
          <w:lang w:val="en-US"/>
        </w:rPr>
      </w:pPr>
    </w:p>
    <w:p w:rsidR="006E1EB5" w:rsidRDefault="006E1EB5" w:rsidP="006E1EB5">
      <w:pPr>
        <w:jc w:val="center"/>
      </w:pPr>
      <w:r>
        <w:object w:dxaOrig="10140" w:dyaOrig="4175">
          <v:shape id="_x0000_i1032" type="#_x0000_t75" style="width:253.5pt;height:104.25pt" o:ole="">
            <v:imagedata r:id="rId19" o:title=""/>
          </v:shape>
          <o:OLEObject Type="Embed" ProgID="Visio.Drawing.11" ShapeID="_x0000_i1032" DrawAspect="Content" ObjectID="_1347280915" r:id="rId20"/>
        </w:object>
      </w:r>
    </w:p>
    <w:p w:rsidR="006E1EB5" w:rsidRPr="00DF303B" w:rsidRDefault="006E1EB5" w:rsidP="006E1EB5">
      <w:pPr>
        <w:pStyle w:val="Billedtekst"/>
        <w:jc w:val="center"/>
        <w:rPr>
          <w:lang w:val="en-US"/>
        </w:rPr>
      </w:pPr>
      <w:r w:rsidRPr="00DF303B">
        <w:rPr>
          <w:lang w:val="en-US"/>
        </w:rPr>
        <w:t xml:space="preserve">Figure </w:t>
      </w:r>
      <w:r>
        <w:fldChar w:fldCharType="begin"/>
      </w:r>
      <w:r w:rsidRPr="00DF303B">
        <w:rPr>
          <w:lang w:val="en-US"/>
        </w:rPr>
        <w:instrText xml:space="preserve"> SEQ Figure \* ARABIC </w:instrText>
      </w:r>
      <w:r>
        <w:fldChar w:fldCharType="separate"/>
      </w:r>
      <w:r w:rsidRPr="00DF303B">
        <w:rPr>
          <w:noProof/>
          <w:lang w:val="en-US"/>
        </w:rPr>
        <w:t>8</w:t>
      </w:r>
      <w:r>
        <w:fldChar w:fldCharType="end"/>
      </w:r>
      <w:r w:rsidRPr="00DF303B">
        <w:rPr>
          <w:lang w:val="en-US"/>
        </w:rPr>
        <w:t>: MWS coverage seen from the right side of the POD</w:t>
      </w:r>
    </w:p>
    <w:p w:rsidR="00DF303B" w:rsidRDefault="00DF303B" w:rsidP="00DF303B">
      <w:pPr>
        <w:rPr>
          <w:lang w:val="en-US"/>
        </w:rPr>
      </w:pPr>
    </w:p>
    <w:p w:rsidR="00DF303B" w:rsidRDefault="00DF303B" w:rsidP="00DF303B">
      <w:pPr>
        <w:rPr>
          <w:lang w:val="en-US"/>
        </w:rPr>
      </w:pPr>
      <w:r>
        <w:rPr>
          <w:lang w:val="en-US"/>
        </w:rPr>
        <w:t>The exact angle and location of each sensor may be seen in enclosed technical appendix.</w:t>
      </w:r>
    </w:p>
    <w:p w:rsidR="00DF303B" w:rsidRDefault="00DF303B" w:rsidP="00DF303B">
      <w:pPr>
        <w:rPr>
          <w:lang w:val="en-US"/>
        </w:rPr>
      </w:pPr>
    </w:p>
    <w:p w:rsidR="00DF303B" w:rsidRDefault="00DF303B" w:rsidP="00DF303B">
      <w:pPr>
        <w:rPr>
          <w:lang w:val="en-US"/>
        </w:rPr>
      </w:pPr>
      <w:r>
        <w:rPr>
          <w:lang w:val="en-US"/>
        </w:rPr>
        <w:t>From this information it is possible to determine the planes shading effect, which has been minimized by careful placement, but cannot be completely eliminated without mounting two PODs, one under each wing. In all other directions than the right the sensors fully cover the area outside the kill zone, and the focus will therefore be on the uncovered part to the right of the aircraft.</w:t>
      </w:r>
    </w:p>
    <w:p w:rsidR="00DF303B" w:rsidRDefault="00DF303B" w:rsidP="00DF303B">
      <w:pPr>
        <w:rPr>
          <w:lang w:val="en-US"/>
        </w:rPr>
      </w:pPr>
    </w:p>
    <w:p w:rsidR="00DF303B" w:rsidRDefault="00DF303B" w:rsidP="00DF303B">
      <w:pPr>
        <w:rPr>
          <w:lang w:val="en-US"/>
        </w:rPr>
      </w:pPr>
    </w:p>
    <w:p w:rsidR="00DF303B" w:rsidRDefault="00DF303B" w:rsidP="00DF303B">
      <w:pPr>
        <w:rPr>
          <w:lang w:val="en-US"/>
        </w:rPr>
      </w:pPr>
    </w:p>
    <w:p w:rsidR="00DF303B" w:rsidRPr="00DF303B" w:rsidRDefault="00DF303B" w:rsidP="00DF303B">
      <w:pPr>
        <w:rPr>
          <w:lang w:val="en-US"/>
        </w:rPr>
      </w:pPr>
      <w:r>
        <w:rPr>
          <w:lang w:val="en-US"/>
        </w:rPr>
        <w:t xml:space="preserve"> </w:t>
      </w:r>
    </w:p>
    <w:sectPr w:rsidR="00DF303B" w:rsidRPr="00DF303B"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A303EB"/>
    <w:rsid w:val="00155CD4"/>
    <w:rsid w:val="00196C2B"/>
    <w:rsid w:val="00317282"/>
    <w:rsid w:val="00331BDA"/>
    <w:rsid w:val="006E1EB5"/>
    <w:rsid w:val="00A303EB"/>
    <w:rsid w:val="00AC1F4A"/>
    <w:rsid w:val="00AE37DB"/>
    <w:rsid w:val="00AE75EF"/>
    <w:rsid w:val="00DF303B"/>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A30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03EB"/>
    <w:rPr>
      <w:rFonts w:asciiTheme="majorHAnsi" w:eastAsiaTheme="majorEastAsia" w:hAnsiTheme="majorHAnsi" w:cstheme="majorBidi"/>
      <w:b/>
      <w:bCs/>
      <w:color w:val="365F91" w:themeColor="accent1" w:themeShade="BF"/>
      <w:sz w:val="28"/>
      <w:szCs w:val="28"/>
    </w:rPr>
  </w:style>
  <w:style w:type="paragraph" w:styleId="Billedtekst">
    <w:name w:val="caption"/>
    <w:basedOn w:val="Normal"/>
    <w:next w:val="Normal"/>
    <w:uiPriority w:val="35"/>
    <w:unhideWhenUsed/>
    <w:qFormat/>
    <w:rsid w:val="00A303E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7FDA8-E120-457A-988F-28435092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320</Words>
  <Characters>1959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3</cp:revision>
  <dcterms:created xsi:type="dcterms:W3CDTF">2010-09-29T13:27:00Z</dcterms:created>
  <dcterms:modified xsi:type="dcterms:W3CDTF">2010-09-29T13:54:00Z</dcterms:modified>
</cp:coreProperties>
</file>