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1D740" w14:textId="77777777" w:rsidR="005A133F" w:rsidRDefault="005A133F" w:rsidP="005A133F">
      <w:pPr>
        <w:pStyle w:val="Padrocapa"/>
      </w:pPr>
      <w:r>
        <w:rPr>
          <w:noProof/>
        </w:rPr>
        <w:drawing>
          <wp:inline distT="0" distB="0" distL="0" distR="0" wp14:anchorId="296A9EC6" wp14:editId="7A59DC08">
            <wp:extent cx="3124361" cy="812842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9CDF" w14:textId="77777777" w:rsidR="005A133F" w:rsidRDefault="005A133F" w:rsidP="005A133F">
      <w:pPr>
        <w:pStyle w:val="Padrocapa"/>
      </w:pPr>
      <w:r>
        <w:t>UNIVERSIDADE DA AMAZÔNIA – UNAMA</w:t>
      </w:r>
    </w:p>
    <w:p w14:paraId="767E030E" w14:textId="77777777" w:rsidR="005A133F" w:rsidRDefault="005A133F" w:rsidP="005A133F">
      <w:pPr>
        <w:pStyle w:val="Padrocapa"/>
      </w:pPr>
      <w:r>
        <w:t>CAMPUS ANANINDEUA</w:t>
      </w:r>
    </w:p>
    <w:p w14:paraId="5B482D71" w14:textId="77777777" w:rsidR="005A133F" w:rsidRDefault="005A133F" w:rsidP="005A133F">
      <w:pPr>
        <w:pStyle w:val="Padrocapa"/>
      </w:pPr>
      <w:r>
        <w:t>BACHARELADO EM ENGENHARIA MECÂNICA</w:t>
      </w:r>
      <w:r>
        <w:tab/>
      </w:r>
    </w:p>
    <w:p w14:paraId="7B041D8A" w14:textId="77777777" w:rsidR="005A133F" w:rsidRDefault="005A133F" w:rsidP="005A133F">
      <w:pPr>
        <w:pStyle w:val="Padrocapa"/>
      </w:pPr>
    </w:p>
    <w:p w14:paraId="18DFE894" w14:textId="77777777" w:rsidR="00861337" w:rsidRDefault="00861337" w:rsidP="00861337">
      <w:pPr>
        <w:pStyle w:val="Padrocapa"/>
        <w:rPr>
          <w:sz w:val="28"/>
          <w:szCs w:val="24"/>
        </w:rPr>
      </w:pPr>
    </w:p>
    <w:p w14:paraId="60EA3228" w14:textId="77777777" w:rsidR="00861337" w:rsidRPr="00861337" w:rsidRDefault="00861337" w:rsidP="00861337">
      <w:pPr>
        <w:pStyle w:val="Padrocapa"/>
        <w:rPr>
          <w:szCs w:val="24"/>
        </w:rPr>
      </w:pPr>
      <w:r w:rsidRPr="00861337">
        <w:rPr>
          <w:szCs w:val="24"/>
        </w:rPr>
        <w:t>ALAN HENRIQUE PEREIRA MIRANDA – 04042995</w:t>
      </w:r>
    </w:p>
    <w:p w14:paraId="139311CF" w14:textId="77777777" w:rsidR="00861337" w:rsidRPr="00861337" w:rsidRDefault="00861337" w:rsidP="00861337">
      <w:pPr>
        <w:pStyle w:val="Padrocapa"/>
        <w:rPr>
          <w:szCs w:val="24"/>
        </w:rPr>
      </w:pPr>
      <w:r w:rsidRPr="00861337">
        <w:rPr>
          <w:szCs w:val="24"/>
        </w:rPr>
        <w:t>MARX LUCAS DE OLIVEIRA SILVA - 04028064</w:t>
      </w:r>
    </w:p>
    <w:p w14:paraId="67EE4100" w14:textId="77777777" w:rsidR="005A133F" w:rsidRPr="00861337" w:rsidRDefault="005A133F" w:rsidP="005A133F">
      <w:pPr>
        <w:pStyle w:val="Padrocapa"/>
        <w:rPr>
          <w:u w:val="single"/>
        </w:rPr>
      </w:pPr>
    </w:p>
    <w:p w14:paraId="3A407F3B" w14:textId="77777777" w:rsidR="005A133F" w:rsidRDefault="005A133F" w:rsidP="005A133F">
      <w:pPr>
        <w:pStyle w:val="Padrocapa"/>
      </w:pPr>
    </w:p>
    <w:p w14:paraId="575DD94B" w14:textId="045F9137" w:rsidR="005A133F" w:rsidRDefault="005A133F" w:rsidP="005A133F">
      <w:pPr>
        <w:pStyle w:val="Padrocapa"/>
        <w:rPr>
          <w:sz w:val="28"/>
          <w:szCs w:val="24"/>
        </w:rPr>
      </w:pPr>
      <w:r>
        <w:rPr>
          <w:sz w:val="28"/>
          <w:szCs w:val="24"/>
        </w:rPr>
        <w:t>MATERIAIS DE CONSTRUÇÃO MECÂNICA</w:t>
      </w:r>
    </w:p>
    <w:p w14:paraId="4665EA70" w14:textId="643C5E29" w:rsidR="005A133F" w:rsidRDefault="002C3493" w:rsidP="005A133F">
      <w:pPr>
        <w:pStyle w:val="Padrocapa"/>
        <w:rPr>
          <w:sz w:val="28"/>
          <w:szCs w:val="24"/>
        </w:rPr>
      </w:pPr>
      <w:r>
        <w:rPr>
          <w:sz w:val="28"/>
          <w:szCs w:val="24"/>
        </w:rPr>
        <w:t>RESENHA CRÍTICA: RECICLAGEM</w:t>
      </w:r>
    </w:p>
    <w:p w14:paraId="7AF53690" w14:textId="2C3B3331" w:rsidR="00861337" w:rsidRDefault="00861337" w:rsidP="005A133F">
      <w:pPr>
        <w:pStyle w:val="Padrocapa"/>
        <w:rPr>
          <w:sz w:val="28"/>
          <w:szCs w:val="24"/>
        </w:rPr>
      </w:pPr>
    </w:p>
    <w:p w14:paraId="3747AD2C" w14:textId="77777777" w:rsidR="005A133F" w:rsidRDefault="005A133F" w:rsidP="00861337">
      <w:pPr>
        <w:pStyle w:val="Padrocapa"/>
        <w:ind w:left="0"/>
        <w:jc w:val="both"/>
        <w:rPr>
          <w:b w:val="0"/>
          <w:bCs/>
          <w:sz w:val="28"/>
          <w:szCs w:val="24"/>
        </w:rPr>
      </w:pPr>
    </w:p>
    <w:p w14:paraId="7AC224F7" w14:textId="77777777" w:rsidR="002C3493" w:rsidRDefault="002C3493" w:rsidP="002C3493">
      <w:pPr>
        <w:pStyle w:val="Padrocapa"/>
        <w:ind w:left="0"/>
        <w:jc w:val="both"/>
        <w:rPr>
          <w:b w:val="0"/>
          <w:bCs/>
          <w:sz w:val="28"/>
          <w:szCs w:val="24"/>
        </w:rPr>
      </w:pPr>
    </w:p>
    <w:p w14:paraId="3867194F" w14:textId="29B408CB" w:rsidR="005A133F" w:rsidRDefault="005A133F" w:rsidP="002C3493">
      <w:pPr>
        <w:pStyle w:val="Padrocapa"/>
        <w:ind w:left="0"/>
        <w:rPr>
          <w:b w:val="0"/>
          <w:bCs/>
          <w:sz w:val="28"/>
          <w:szCs w:val="24"/>
        </w:rPr>
      </w:pPr>
      <w:r>
        <w:rPr>
          <w:b w:val="0"/>
          <w:bCs/>
          <w:sz w:val="28"/>
          <w:szCs w:val="24"/>
        </w:rPr>
        <w:t>ANANINDEUA/PA</w:t>
      </w:r>
    </w:p>
    <w:p w14:paraId="6D4DAF7A" w14:textId="1C0F00D5" w:rsidR="005A133F" w:rsidRDefault="002C3493" w:rsidP="002C3493">
      <w:pPr>
        <w:pStyle w:val="Ttulo"/>
        <w:ind w:firstLine="0"/>
        <w:jc w:val="center"/>
      </w:pPr>
      <w:r>
        <w:rPr>
          <w:b w:val="0"/>
          <w:bCs/>
          <w:szCs w:val="24"/>
        </w:rPr>
        <w:t>2020</w:t>
      </w:r>
    </w:p>
    <w:p w14:paraId="3F323A66" w14:textId="4623FA7F" w:rsidR="00FA4F01" w:rsidRPr="00C64B2F" w:rsidRDefault="009C248E" w:rsidP="00C64B2F">
      <w:pPr>
        <w:pStyle w:val="Ttulo"/>
      </w:pPr>
      <w:r w:rsidRPr="00C64B2F">
        <w:t>RESENHA CRÍTICA: RECICLAGEM DE CARCAÇAS DE MONITORES; PROPRIEDADES MECÂNICAS E MORFOLÓGICAS</w:t>
      </w:r>
    </w:p>
    <w:p w14:paraId="11F0F2F6" w14:textId="77777777" w:rsidR="00434638" w:rsidRPr="00434638" w:rsidRDefault="00434638" w:rsidP="00434638"/>
    <w:p w14:paraId="75564B0C" w14:textId="39CA8664" w:rsidR="009C248E" w:rsidRDefault="009C248E" w:rsidP="009C248E">
      <w:r>
        <w:t xml:space="preserve">Visando a necessidade global da indústria em desenvolver meios, bem como buscar a viabilidade econômica </w:t>
      </w:r>
      <w:r w:rsidR="00E26821">
        <w:t>na reciclagem de</w:t>
      </w:r>
      <w:r>
        <w:t xml:space="preserve"> </w:t>
      </w:r>
      <w:r w:rsidR="00E26821">
        <w:t xml:space="preserve">resíduos de componentes eletrônicos, o estudo busca dar finalidade a reciclagem de tubos de TV e monitores antigos, uma vez que são feitos com inúmeros materiais não degradáveis e alguns até tóxicos que são despejados na natureza, haja vista o descarte descontrolado nos países desenvolvidos que chegam na casa dos milhões a cada ano. </w:t>
      </w:r>
    </w:p>
    <w:p w14:paraId="29927B1A" w14:textId="1AC2B506" w:rsidR="00E26821" w:rsidRDefault="00E26821" w:rsidP="009C248E">
      <w:r>
        <w:lastRenderedPageBreak/>
        <w:t>Devido as questões apresentadas, foi realizado um trabalho de coleta e separação destes resíduos através de marca fabricante e modelo, bem como estudos a fim de analisar sua composição e testar as propriedades mecânicas</w:t>
      </w:r>
      <w:r w:rsidR="001E7BC2">
        <w:t>, desta forma foi possível caracterizar os compostos, fabricar corpos de teste com os mesmos e descobrir que suas propriedades não se alteraram após vários anos expostos à natureza, bem como demonstraram propriedades mecânicas satisfatórias de forma a viabilizar a reciclagem, desta forma foi constatada a necessidade de elaboração de planos de coleta e tratamento dos resíduos para a reaplicação industrial.</w:t>
      </w:r>
    </w:p>
    <w:p w14:paraId="3AA76033" w14:textId="53F8BD01" w:rsidR="006267A9" w:rsidRDefault="00CB2BEC" w:rsidP="009C248E">
      <w:r>
        <w:t>O problema central observado é o descarte crescente do chamado lixo eletrônico, como pilhas, baterias, lâmpadas, celulares</w:t>
      </w:r>
      <w:r w:rsidR="008136CD">
        <w:t>,</w:t>
      </w:r>
      <w:r>
        <w:t xml:space="preserve"> </w:t>
      </w:r>
      <w:r w:rsidR="00332F73">
        <w:t>computadores etc.</w:t>
      </w:r>
      <w:r w:rsidR="008136CD">
        <w:t xml:space="preserve"> </w:t>
      </w:r>
      <w:r w:rsidR="00BB710E">
        <w:t>por terem um período de vida útil curto</w:t>
      </w:r>
      <w:r w:rsidR="00895E3A">
        <w:t xml:space="preserve"> e se tornarem obsoletos num prazo de 2-5 anos, </w:t>
      </w:r>
      <w:r w:rsidR="008757F1">
        <w:t xml:space="preserve">e </w:t>
      </w:r>
      <w:r w:rsidR="009F6180">
        <w:t xml:space="preserve">a escassez de locais de descartes, somados </w:t>
      </w:r>
      <w:r w:rsidR="005C66A2">
        <w:t>a obsol</w:t>
      </w:r>
      <w:r w:rsidR="00E738A2">
        <w:t>escê</w:t>
      </w:r>
      <w:r w:rsidR="005C66A2">
        <w:t xml:space="preserve">ncia programada </w:t>
      </w:r>
      <w:r w:rsidR="00B07243">
        <w:t xml:space="preserve">dos </w:t>
      </w:r>
      <w:r w:rsidR="00B07243">
        <w:lastRenderedPageBreak/>
        <w:t xml:space="preserve">fabricantes </w:t>
      </w:r>
      <w:r w:rsidR="00D53BC3">
        <w:t xml:space="preserve">agravam o problema, o Brasil como forma de combater </w:t>
      </w:r>
      <w:r w:rsidR="00E94941">
        <w:t>à questão, elaborou a Política Nacional de Resíduos Sólidos (PNRS)</w:t>
      </w:r>
      <w:r w:rsidR="004B1250">
        <w:t>, Lei 12.305 em agosto de 2010</w:t>
      </w:r>
      <w:r w:rsidR="00526BE2">
        <w:t xml:space="preserve"> como forma </w:t>
      </w:r>
      <w:r w:rsidR="007827B8">
        <w:t xml:space="preserve">de obrigar os fabricantes </w:t>
      </w:r>
      <w:r w:rsidR="0027751D">
        <w:t>a desenvolver ações de coleta de seus produto</w:t>
      </w:r>
      <w:r w:rsidR="00E34D2E">
        <w:t xml:space="preserve">s sucateados </w:t>
      </w:r>
      <w:r w:rsidR="00E622E9">
        <w:t>do</w:t>
      </w:r>
      <w:r w:rsidR="006727E9">
        <w:t>s</w:t>
      </w:r>
      <w:r w:rsidR="00E622E9">
        <w:t xml:space="preserve"> consumidor</w:t>
      </w:r>
      <w:r w:rsidR="006727E9">
        <w:t>es</w:t>
      </w:r>
      <w:r w:rsidR="00B23A6D">
        <w:t>.</w:t>
      </w:r>
    </w:p>
    <w:p w14:paraId="0D7422D4" w14:textId="1EFD3401" w:rsidR="001E7BC2" w:rsidRDefault="00EF5AF1" w:rsidP="00AD6B27">
      <w:r>
        <w:t xml:space="preserve">A principal razão de coleta e reciclagem de componentes eletrônicos são as Placas de Circuito Integrado (PCI) </w:t>
      </w:r>
      <w:r w:rsidR="006314F0">
        <w:t xml:space="preserve">na qual encontram-se metais raros, </w:t>
      </w:r>
      <w:r w:rsidR="00844224">
        <w:t xml:space="preserve">o que torna a reciclagem economicamente viável, a questão é a reciclagem de materiais polímeros como </w:t>
      </w:r>
      <w:r w:rsidR="00D57660">
        <w:t xml:space="preserve">a </w:t>
      </w:r>
      <w:r w:rsidR="00D57660" w:rsidRPr="00D57660">
        <w:t>Acrilonitrila Butadieno Estireno</w:t>
      </w:r>
      <w:r w:rsidR="00D57660">
        <w:t xml:space="preserve"> (ABS), </w:t>
      </w:r>
      <w:r w:rsidR="006C1092" w:rsidRPr="006C1092">
        <w:t>poliestireno de alto impacto</w:t>
      </w:r>
      <w:r w:rsidR="006C1092">
        <w:t xml:space="preserve"> (HIPS) </w:t>
      </w:r>
      <w:r w:rsidR="00A14289">
        <w:t xml:space="preserve">e </w:t>
      </w:r>
      <w:r w:rsidR="00E75E33">
        <w:t>policarbonato (PC)</w:t>
      </w:r>
      <w:r w:rsidR="00AD6B27">
        <w:t xml:space="preserve"> </w:t>
      </w:r>
      <w:r w:rsidR="001E0AB9">
        <w:t>O Brasil é um grande usuário de reciclagem mecânica</w:t>
      </w:r>
      <w:r w:rsidR="00C270D9">
        <w:t xml:space="preserve">, processo que consiste em moagem, lavagem, secagem, </w:t>
      </w:r>
      <w:r w:rsidR="002C38A6">
        <w:t xml:space="preserve">aglutinação e o reprocessamento da matéria, a questão é que tal processo degrada </w:t>
      </w:r>
      <w:r w:rsidR="0084478C">
        <w:t>os polímeros e os fazem perder propriedades mecânicas</w:t>
      </w:r>
      <w:r w:rsidR="00B73CAA">
        <w:t>, porém</w:t>
      </w:r>
      <w:r w:rsidR="00A558E6">
        <w:t xml:space="preserve"> após estudos, concluiu-se que</w:t>
      </w:r>
      <w:r w:rsidR="00B73CAA">
        <w:t xml:space="preserve"> </w:t>
      </w:r>
      <w:r w:rsidR="00EA4A05">
        <w:t xml:space="preserve">mesmo </w:t>
      </w:r>
      <w:r w:rsidR="00EA4A05">
        <w:lastRenderedPageBreak/>
        <w:t xml:space="preserve">com a degradação observada nos materiais, a aplicação comercial </w:t>
      </w:r>
      <w:r w:rsidR="00752ACC">
        <w:t xml:space="preserve">ainda </w:t>
      </w:r>
      <w:r w:rsidR="00AD6B27">
        <w:t>seria válida</w:t>
      </w:r>
      <w:r w:rsidR="00A558E6">
        <w:t>.</w:t>
      </w:r>
    </w:p>
    <w:p w14:paraId="07E33990" w14:textId="5B80D8DF" w:rsidR="00D934F9" w:rsidRDefault="00E33278" w:rsidP="00D934F9">
      <w:r>
        <w:t xml:space="preserve">Houve a seleção dos materiais de acordo </w:t>
      </w:r>
      <w:r w:rsidR="00202121">
        <w:t xml:space="preserve">com ano de fabricação, marca, tamanho e cor do polímero, </w:t>
      </w:r>
      <w:r w:rsidR="00E00F45">
        <w:t>filtrando os detalhes mais técnicos do</w:t>
      </w:r>
      <w:r w:rsidR="00D72539">
        <w:t xml:space="preserve"> artigo</w:t>
      </w:r>
      <w:r w:rsidR="0038147E">
        <w:t xml:space="preserve"> em relação das condições de teste, os testes foram através de avaliação de propriedade física através de corpo de prova, onde </w:t>
      </w:r>
      <w:r w:rsidR="0090443A">
        <w:t xml:space="preserve">foi realizado ensaios de impacto, tração, </w:t>
      </w:r>
      <w:r w:rsidR="005E1ECB">
        <w:t>flexão e dureza de acordo com</w:t>
      </w:r>
      <w:r w:rsidR="00A26582">
        <w:t xml:space="preserve"> a norma </w:t>
      </w:r>
      <w:r w:rsidR="00A26582" w:rsidRPr="00A26582">
        <w:t>ASTM D-256-06</w:t>
      </w:r>
      <w:r w:rsidR="00C604E6">
        <w:t xml:space="preserve">, em todos os casos, os ensaios foram de natureza destrutiva e foi realizada </w:t>
      </w:r>
      <w:r w:rsidR="00F3492D">
        <w:t>análises morfológicas das amostras nos locais de fratura</w:t>
      </w:r>
      <w:r w:rsidR="000E03CF">
        <w:t>.</w:t>
      </w:r>
    </w:p>
    <w:p w14:paraId="754DFDA4" w14:textId="7CC09A4E" w:rsidR="00D934F9" w:rsidRPr="00D934F9" w:rsidRDefault="00D934F9" w:rsidP="00D934F9">
      <w:pPr>
        <w:kinsoku w:val="0"/>
        <w:overflowPunct w:val="0"/>
        <w:autoSpaceDE w:val="0"/>
        <w:autoSpaceDN w:val="0"/>
        <w:adjustRightInd w:val="0"/>
        <w:spacing w:after="22" w:line="240" w:lineRule="auto"/>
        <w:ind w:left="100" w:firstLine="0"/>
        <w:jc w:val="left"/>
        <w:rPr>
          <w:rFonts w:cs="Times New Roman"/>
          <w:color w:val="231F20"/>
          <w:sz w:val="18"/>
          <w:szCs w:val="18"/>
        </w:rPr>
      </w:pPr>
      <w:r w:rsidRPr="00D934F9">
        <w:rPr>
          <w:rFonts w:cs="Times New Roman"/>
          <w:b/>
          <w:bCs/>
          <w:color w:val="231F20"/>
          <w:sz w:val="18"/>
          <w:szCs w:val="18"/>
        </w:rPr>
        <w:t xml:space="preserve">Tabela. </w:t>
      </w:r>
      <w:r w:rsidRPr="00D934F9">
        <w:rPr>
          <w:rFonts w:cs="Times New Roman"/>
          <w:color w:val="231F20"/>
          <w:sz w:val="18"/>
          <w:szCs w:val="18"/>
        </w:rPr>
        <w:t>Monitores coletados divididos por marca.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1"/>
        <w:gridCol w:w="906"/>
        <w:gridCol w:w="917"/>
        <w:gridCol w:w="931"/>
        <w:gridCol w:w="898"/>
        <w:gridCol w:w="891"/>
        <w:gridCol w:w="961"/>
        <w:gridCol w:w="922"/>
        <w:gridCol w:w="886"/>
      </w:tblGrid>
      <w:tr w:rsidR="00D934F9" w:rsidRPr="00D934F9" w14:paraId="033CC9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1251" w:type="dxa"/>
            <w:tcBorders>
              <w:top w:val="single" w:sz="8" w:space="0" w:color="231F20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14:paraId="4C0864BA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4" w:after="0" w:line="172" w:lineRule="exact"/>
              <w:ind w:left="52" w:right="58" w:firstLine="0"/>
              <w:jc w:val="center"/>
              <w:rPr>
                <w:rFonts w:cs="Times New Roman"/>
                <w:b/>
                <w:bCs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b/>
                <w:bCs/>
                <w:color w:val="231F20"/>
                <w:sz w:val="15"/>
                <w:szCs w:val="15"/>
              </w:rPr>
              <w:t>Amostra</w:t>
            </w:r>
          </w:p>
        </w:tc>
        <w:tc>
          <w:tcPr>
            <w:tcW w:w="906" w:type="dxa"/>
            <w:tcBorders>
              <w:top w:val="single" w:sz="8" w:space="0" w:color="231F20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14:paraId="790D1FFD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4" w:after="0" w:line="172" w:lineRule="exact"/>
              <w:ind w:right="7" w:firstLine="0"/>
              <w:jc w:val="center"/>
              <w:rPr>
                <w:rFonts w:cs="Times New Roman"/>
                <w:b/>
                <w:bCs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b/>
                <w:bCs/>
                <w:color w:val="231F20"/>
                <w:sz w:val="15"/>
                <w:szCs w:val="15"/>
              </w:rPr>
              <w:t>1</w:t>
            </w:r>
          </w:p>
        </w:tc>
        <w:tc>
          <w:tcPr>
            <w:tcW w:w="917" w:type="dxa"/>
            <w:tcBorders>
              <w:top w:val="single" w:sz="8" w:space="0" w:color="231F20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14:paraId="079126BF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4" w:after="0" w:line="172" w:lineRule="exact"/>
              <w:ind w:firstLine="0"/>
              <w:jc w:val="center"/>
              <w:rPr>
                <w:rFonts w:cs="Times New Roman"/>
                <w:b/>
                <w:bCs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b/>
                <w:bCs/>
                <w:color w:val="231F20"/>
                <w:sz w:val="15"/>
                <w:szCs w:val="15"/>
              </w:rPr>
              <w:t>2</w:t>
            </w:r>
          </w:p>
        </w:tc>
        <w:tc>
          <w:tcPr>
            <w:tcW w:w="931" w:type="dxa"/>
            <w:tcBorders>
              <w:top w:val="single" w:sz="8" w:space="0" w:color="231F20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14:paraId="66882E59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4" w:after="0" w:line="172" w:lineRule="exact"/>
              <w:ind w:right="18" w:firstLine="0"/>
              <w:jc w:val="center"/>
              <w:rPr>
                <w:rFonts w:cs="Times New Roman"/>
                <w:b/>
                <w:bCs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b/>
                <w:bCs/>
                <w:color w:val="231F20"/>
                <w:sz w:val="15"/>
                <w:szCs w:val="15"/>
              </w:rPr>
              <w:t>3</w:t>
            </w:r>
          </w:p>
        </w:tc>
        <w:tc>
          <w:tcPr>
            <w:tcW w:w="898" w:type="dxa"/>
            <w:tcBorders>
              <w:top w:val="single" w:sz="8" w:space="0" w:color="231F20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14:paraId="1166F8AE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4" w:after="0" w:line="172" w:lineRule="exact"/>
              <w:ind w:right="18" w:firstLine="0"/>
              <w:jc w:val="center"/>
              <w:rPr>
                <w:rFonts w:cs="Times New Roman"/>
                <w:b/>
                <w:bCs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b/>
                <w:bCs/>
                <w:color w:val="231F20"/>
                <w:sz w:val="15"/>
                <w:szCs w:val="15"/>
              </w:rPr>
              <w:t>4</w:t>
            </w:r>
          </w:p>
        </w:tc>
        <w:tc>
          <w:tcPr>
            <w:tcW w:w="891" w:type="dxa"/>
            <w:tcBorders>
              <w:top w:val="single" w:sz="8" w:space="0" w:color="231F20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14:paraId="365EF7B7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4" w:after="0" w:line="172" w:lineRule="exact"/>
              <w:ind w:left="20" w:firstLine="0"/>
              <w:jc w:val="center"/>
              <w:rPr>
                <w:rFonts w:cs="Times New Roman"/>
                <w:b/>
                <w:bCs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b/>
                <w:bCs/>
                <w:color w:val="231F20"/>
                <w:sz w:val="15"/>
                <w:szCs w:val="15"/>
              </w:rPr>
              <w:t>5</w:t>
            </w:r>
          </w:p>
        </w:tc>
        <w:tc>
          <w:tcPr>
            <w:tcW w:w="961" w:type="dxa"/>
            <w:tcBorders>
              <w:top w:val="single" w:sz="8" w:space="0" w:color="231F20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14:paraId="7451EC69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4" w:after="0" w:line="172" w:lineRule="exact"/>
              <w:ind w:right="1" w:firstLine="0"/>
              <w:jc w:val="center"/>
              <w:rPr>
                <w:rFonts w:cs="Times New Roman"/>
                <w:b/>
                <w:bCs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b/>
                <w:bCs/>
                <w:color w:val="231F20"/>
                <w:sz w:val="15"/>
                <w:szCs w:val="15"/>
              </w:rPr>
              <w:t>6</w:t>
            </w:r>
          </w:p>
        </w:tc>
        <w:tc>
          <w:tcPr>
            <w:tcW w:w="922" w:type="dxa"/>
            <w:tcBorders>
              <w:top w:val="single" w:sz="8" w:space="0" w:color="231F20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14:paraId="05E77C8C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4" w:after="0" w:line="172" w:lineRule="exact"/>
              <w:ind w:right="53" w:firstLine="0"/>
              <w:jc w:val="center"/>
              <w:rPr>
                <w:rFonts w:cs="Times New Roman"/>
                <w:b/>
                <w:bCs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b/>
                <w:bCs/>
                <w:color w:val="231F20"/>
                <w:sz w:val="15"/>
                <w:szCs w:val="15"/>
              </w:rPr>
              <w:t>7</w:t>
            </w:r>
          </w:p>
        </w:tc>
        <w:tc>
          <w:tcPr>
            <w:tcW w:w="886" w:type="dxa"/>
            <w:tcBorders>
              <w:top w:val="single" w:sz="8" w:space="0" w:color="231F20"/>
              <w:left w:val="none" w:sz="6" w:space="0" w:color="auto"/>
              <w:bottom w:val="single" w:sz="4" w:space="0" w:color="231F20"/>
              <w:right w:val="none" w:sz="6" w:space="0" w:color="auto"/>
            </w:tcBorders>
          </w:tcPr>
          <w:p w14:paraId="1CA1B8D7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4" w:after="0" w:line="172" w:lineRule="exact"/>
              <w:ind w:right="31" w:firstLine="0"/>
              <w:jc w:val="center"/>
              <w:rPr>
                <w:rFonts w:cs="Times New Roman"/>
                <w:b/>
                <w:bCs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b/>
                <w:bCs/>
                <w:color w:val="231F20"/>
                <w:sz w:val="15"/>
                <w:szCs w:val="15"/>
              </w:rPr>
              <w:t>8</w:t>
            </w:r>
          </w:p>
        </w:tc>
      </w:tr>
      <w:tr w:rsidR="00D934F9" w:rsidRPr="00D934F9" w14:paraId="1E52C8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1251" w:type="dxa"/>
            <w:tcBorders>
              <w:top w:val="single" w:sz="4" w:space="0" w:color="231F2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0B1295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52" w:right="58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Ano de fabricação</w:t>
            </w:r>
          </w:p>
        </w:tc>
        <w:tc>
          <w:tcPr>
            <w:tcW w:w="906" w:type="dxa"/>
            <w:tcBorders>
              <w:top w:val="single" w:sz="4" w:space="0" w:color="231F2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D4CB3B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60" w:right="67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1998</w:t>
            </w:r>
          </w:p>
        </w:tc>
        <w:tc>
          <w:tcPr>
            <w:tcW w:w="917" w:type="dxa"/>
            <w:tcBorders>
              <w:top w:val="single" w:sz="4" w:space="0" w:color="231F2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854C89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69" w:right="69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2004</w:t>
            </w:r>
          </w:p>
        </w:tc>
        <w:tc>
          <w:tcPr>
            <w:tcW w:w="931" w:type="dxa"/>
            <w:tcBorders>
              <w:top w:val="single" w:sz="4" w:space="0" w:color="231F2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D5DCC9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74" w:right="92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1998 - 2003</w:t>
            </w:r>
          </w:p>
        </w:tc>
        <w:tc>
          <w:tcPr>
            <w:tcW w:w="898" w:type="dxa"/>
            <w:tcBorders>
              <w:top w:val="single" w:sz="4" w:space="0" w:color="231F2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8413FD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95" w:right="113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2005-2006</w:t>
            </w:r>
          </w:p>
        </w:tc>
        <w:tc>
          <w:tcPr>
            <w:tcW w:w="891" w:type="dxa"/>
            <w:tcBorders>
              <w:top w:val="single" w:sz="4" w:space="0" w:color="231F2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FFAC40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112" w:right="92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1996</w:t>
            </w:r>
          </w:p>
        </w:tc>
        <w:tc>
          <w:tcPr>
            <w:tcW w:w="961" w:type="dxa"/>
            <w:tcBorders>
              <w:top w:val="single" w:sz="4" w:space="0" w:color="231F2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7FD6D6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91" w:right="92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2001-2002</w:t>
            </w:r>
          </w:p>
        </w:tc>
        <w:tc>
          <w:tcPr>
            <w:tcW w:w="922" w:type="dxa"/>
            <w:tcBorders>
              <w:top w:val="single" w:sz="4" w:space="0" w:color="231F2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61A371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91" w:right="144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1995</w:t>
            </w:r>
          </w:p>
        </w:tc>
        <w:tc>
          <w:tcPr>
            <w:tcW w:w="886" w:type="dxa"/>
            <w:tcBorders>
              <w:top w:val="single" w:sz="4" w:space="0" w:color="231F2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C7D568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145" w:right="176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2006</w:t>
            </w:r>
          </w:p>
        </w:tc>
      </w:tr>
      <w:tr w:rsidR="00D934F9" w:rsidRPr="00D934F9" w14:paraId="390070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EF42E2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left="52" w:right="58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Marca</w:t>
            </w:r>
          </w:p>
        </w:tc>
        <w:tc>
          <w:tcPr>
            <w:tcW w:w="9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E5B816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right="7" w:firstLine="0"/>
              <w:jc w:val="center"/>
              <w:rPr>
                <w:rFonts w:cs="Times New Roman"/>
                <w:color w:val="231F20"/>
                <w:w w:val="99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w w:val="99"/>
                <w:sz w:val="15"/>
                <w:szCs w:val="15"/>
              </w:rPr>
              <w:t>A</w:t>
            </w:r>
          </w:p>
        </w:tc>
        <w:tc>
          <w:tcPr>
            <w:tcW w:w="9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D3F19F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B</w:t>
            </w:r>
          </w:p>
        </w:tc>
        <w:tc>
          <w:tcPr>
            <w:tcW w:w="9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E91B21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right="18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C</w:t>
            </w:r>
          </w:p>
        </w:tc>
        <w:tc>
          <w:tcPr>
            <w:tcW w:w="8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C2ADF0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right="18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C</w:t>
            </w:r>
          </w:p>
        </w:tc>
        <w:tc>
          <w:tcPr>
            <w:tcW w:w="8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9787B7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left="20" w:firstLine="0"/>
              <w:jc w:val="center"/>
              <w:rPr>
                <w:rFonts w:cs="Times New Roman"/>
                <w:color w:val="231F20"/>
                <w:w w:val="99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w w:val="99"/>
                <w:sz w:val="15"/>
                <w:szCs w:val="15"/>
              </w:rPr>
              <w:t>D</w:t>
            </w:r>
          </w:p>
        </w:tc>
        <w:tc>
          <w:tcPr>
            <w:tcW w:w="9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3E1B73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right="1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E</w:t>
            </w:r>
          </w:p>
        </w:tc>
        <w:tc>
          <w:tcPr>
            <w:tcW w:w="9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AFDC72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right="53" w:firstLine="0"/>
              <w:jc w:val="center"/>
              <w:rPr>
                <w:rFonts w:cs="Times New Roman"/>
                <w:color w:val="231F20"/>
                <w:w w:val="99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w w:val="99"/>
                <w:sz w:val="15"/>
                <w:szCs w:val="15"/>
              </w:rPr>
              <w:t>F</w:t>
            </w:r>
          </w:p>
        </w:tc>
        <w:tc>
          <w:tcPr>
            <w:tcW w:w="8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A8C7A8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right="31" w:firstLine="0"/>
              <w:jc w:val="center"/>
              <w:rPr>
                <w:rFonts w:cs="Times New Roman"/>
                <w:color w:val="231F20"/>
                <w:w w:val="99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w w:val="99"/>
                <w:sz w:val="15"/>
                <w:szCs w:val="15"/>
              </w:rPr>
              <w:t>G</w:t>
            </w:r>
          </w:p>
        </w:tc>
      </w:tr>
      <w:tr w:rsidR="00D934F9" w:rsidRPr="00D934F9" w14:paraId="0E7042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2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D815B7" w14:textId="40F250CB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left="52" w:right="58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Tamanho (</w:t>
            </w:r>
            <w:r w:rsidR="00D068A8">
              <w:rPr>
                <w:rFonts w:cs="Times New Roman"/>
                <w:color w:val="231F20"/>
                <w:sz w:val="15"/>
                <w:szCs w:val="15"/>
              </w:rPr>
              <w:t>POL</w:t>
            </w:r>
            <w:r w:rsidRPr="00D934F9">
              <w:rPr>
                <w:rFonts w:cs="Times New Roman"/>
                <w:color w:val="231F20"/>
                <w:sz w:val="15"/>
                <w:szCs w:val="15"/>
              </w:rPr>
              <w:t>)</w:t>
            </w:r>
          </w:p>
        </w:tc>
        <w:tc>
          <w:tcPr>
            <w:tcW w:w="9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C5E9A4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left="60" w:right="67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15-17</w:t>
            </w:r>
          </w:p>
        </w:tc>
        <w:tc>
          <w:tcPr>
            <w:tcW w:w="9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A12274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left="69" w:right="69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15-17</w:t>
            </w:r>
          </w:p>
        </w:tc>
        <w:tc>
          <w:tcPr>
            <w:tcW w:w="9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B388DE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left="74" w:right="92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15</w:t>
            </w:r>
          </w:p>
        </w:tc>
        <w:tc>
          <w:tcPr>
            <w:tcW w:w="8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96867D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left="95" w:right="113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15-17</w:t>
            </w:r>
          </w:p>
        </w:tc>
        <w:tc>
          <w:tcPr>
            <w:tcW w:w="8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B23B16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left="112" w:right="92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15</w:t>
            </w:r>
          </w:p>
        </w:tc>
        <w:tc>
          <w:tcPr>
            <w:tcW w:w="9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916E04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left="91" w:right="92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15-17</w:t>
            </w:r>
          </w:p>
        </w:tc>
        <w:tc>
          <w:tcPr>
            <w:tcW w:w="9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36840A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left="91" w:right="144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15</w:t>
            </w:r>
          </w:p>
        </w:tc>
        <w:tc>
          <w:tcPr>
            <w:tcW w:w="8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7465BF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left="145" w:right="176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15</w:t>
            </w:r>
          </w:p>
        </w:tc>
      </w:tr>
      <w:tr w:rsidR="00D934F9" w:rsidRPr="00D934F9" w14:paraId="4B59F7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251" w:type="dxa"/>
            <w:tcBorders>
              <w:top w:val="none" w:sz="6" w:space="0" w:color="auto"/>
              <w:left w:val="none" w:sz="6" w:space="0" w:color="auto"/>
              <w:bottom w:val="single" w:sz="8" w:space="0" w:color="231F20"/>
              <w:right w:val="none" w:sz="6" w:space="0" w:color="auto"/>
            </w:tcBorders>
          </w:tcPr>
          <w:p w14:paraId="03BF9A54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left="50" w:right="58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Cor</w:t>
            </w:r>
          </w:p>
        </w:tc>
        <w:tc>
          <w:tcPr>
            <w:tcW w:w="906" w:type="dxa"/>
            <w:tcBorders>
              <w:top w:val="none" w:sz="6" w:space="0" w:color="auto"/>
              <w:left w:val="none" w:sz="6" w:space="0" w:color="auto"/>
              <w:bottom w:val="single" w:sz="8" w:space="0" w:color="231F20"/>
              <w:right w:val="none" w:sz="6" w:space="0" w:color="auto"/>
            </w:tcBorders>
          </w:tcPr>
          <w:p w14:paraId="6890328C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left="60" w:right="67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Bege escuro</w:t>
            </w:r>
          </w:p>
        </w:tc>
        <w:tc>
          <w:tcPr>
            <w:tcW w:w="917" w:type="dxa"/>
            <w:tcBorders>
              <w:top w:val="none" w:sz="6" w:space="0" w:color="auto"/>
              <w:left w:val="none" w:sz="6" w:space="0" w:color="auto"/>
              <w:bottom w:val="single" w:sz="8" w:space="0" w:color="231F20"/>
              <w:right w:val="none" w:sz="6" w:space="0" w:color="auto"/>
            </w:tcBorders>
          </w:tcPr>
          <w:p w14:paraId="7EF0213D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left="69" w:right="69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Bege escuro</w:t>
            </w:r>
          </w:p>
        </w:tc>
        <w:tc>
          <w:tcPr>
            <w:tcW w:w="931" w:type="dxa"/>
            <w:tcBorders>
              <w:top w:val="none" w:sz="6" w:space="0" w:color="auto"/>
              <w:left w:val="none" w:sz="6" w:space="0" w:color="auto"/>
              <w:bottom w:val="single" w:sz="8" w:space="0" w:color="231F20"/>
              <w:right w:val="none" w:sz="6" w:space="0" w:color="auto"/>
            </w:tcBorders>
          </w:tcPr>
          <w:p w14:paraId="5D380F14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left="74" w:right="92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Bege claro</w:t>
            </w:r>
          </w:p>
        </w:tc>
        <w:tc>
          <w:tcPr>
            <w:tcW w:w="898" w:type="dxa"/>
            <w:tcBorders>
              <w:top w:val="none" w:sz="6" w:space="0" w:color="auto"/>
              <w:left w:val="none" w:sz="6" w:space="0" w:color="auto"/>
              <w:bottom w:val="single" w:sz="8" w:space="0" w:color="231F20"/>
              <w:right w:val="none" w:sz="6" w:space="0" w:color="auto"/>
            </w:tcBorders>
          </w:tcPr>
          <w:p w14:paraId="4AA75E16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left="95" w:right="113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Cinza</w:t>
            </w:r>
          </w:p>
        </w:tc>
        <w:tc>
          <w:tcPr>
            <w:tcW w:w="891" w:type="dxa"/>
            <w:tcBorders>
              <w:top w:val="none" w:sz="6" w:space="0" w:color="auto"/>
              <w:left w:val="none" w:sz="6" w:space="0" w:color="auto"/>
              <w:bottom w:val="single" w:sz="8" w:space="0" w:color="231F20"/>
              <w:right w:val="none" w:sz="6" w:space="0" w:color="auto"/>
            </w:tcBorders>
          </w:tcPr>
          <w:p w14:paraId="11D15A72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left="112" w:right="92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Bege claro</w:t>
            </w:r>
          </w:p>
        </w:tc>
        <w:tc>
          <w:tcPr>
            <w:tcW w:w="961" w:type="dxa"/>
            <w:tcBorders>
              <w:top w:val="none" w:sz="6" w:space="0" w:color="auto"/>
              <w:left w:val="none" w:sz="6" w:space="0" w:color="auto"/>
              <w:bottom w:val="single" w:sz="8" w:space="0" w:color="231F20"/>
              <w:right w:val="none" w:sz="6" w:space="0" w:color="auto"/>
            </w:tcBorders>
          </w:tcPr>
          <w:p w14:paraId="278782D6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left="91" w:right="92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Bege escuro</w:t>
            </w:r>
          </w:p>
        </w:tc>
        <w:tc>
          <w:tcPr>
            <w:tcW w:w="922" w:type="dxa"/>
            <w:tcBorders>
              <w:top w:val="none" w:sz="6" w:space="0" w:color="auto"/>
              <w:left w:val="none" w:sz="6" w:space="0" w:color="auto"/>
              <w:bottom w:val="single" w:sz="8" w:space="0" w:color="231F20"/>
              <w:right w:val="none" w:sz="6" w:space="0" w:color="auto"/>
            </w:tcBorders>
          </w:tcPr>
          <w:p w14:paraId="14B300CB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left="91" w:right="144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Bege claro</w:t>
            </w:r>
          </w:p>
        </w:tc>
        <w:tc>
          <w:tcPr>
            <w:tcW w:w="886" w:type="dxa"/>
            <w:tcBorders>
              <w:top w:val="none" w:sz="6" w:space="0" w:color="auto"/>
              <w:left w:val="none" w:sz="6" w:space="0" w:color="auto"/>
              <w:bottom w:val="single" w:sz="8" w:space="0" w:color="231F20"/>
              <w:right w:val="none" w:sz="6" w:space="0" w:color="auto"/>
            </w:tcBorders>
          </w:tcPr>
          <w:p w14:paraId="3232364D" w14:textId="77777777" w:rsidR="00D934F9" w:rsidRPr="00D934F9" w:rsidRDefault="00D934F9" w:rsidP="00D934F9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left="145" w:right="176" w:firstLine="0"/>
              <w:jc w:val="center"/>
              <w:rPr>
                <w:rFonts w:cs="Times New Roman"/>
                <w:color w:val="231F20"/>
                <w:sz w:val="15"/>
                <w:szCs w:val="15"/>
              </w:rPr>
            </w:pPr>
            <w:r w:rsidRPr="00D934F9">
              <w:rPr>
                <w:rFonts w:cs="Times New Roman"/>
                <w:color w:val="231F20"/>
                <w:sz w:val="15"/>
                <w:szCs w:val="15"/>
              </w:rPr>
              <w:t>Amarelo</w:t>
            </w:r>
          </w:p>
        </w:tc>
      </w:tr>
    </w:tbl>
    <w:p w14:paraId="083810F4" w14:textId="77777777" w:rsidR="00D934F9" w:rsidRDefault="00D934F9" w:rsidP="00AD6B27"/>
    <w:p w14:paraId="08819D01" w14:textId="172075E7" w:rsidR="00947AD3" w:rsidRDefault="000E03CF" w:rsidP="00AD6B27">
      <w:r>
        <w:t xml:space="preserve">Os resultados </w:t>
      </w:r>
      <w:r w:rsidR="007871FC">
        <w:t>descreveram o desempenho nas análises de impactos e dureza</w:t>
      </w:r>
      <w:r w:rsidR="00947AD3">
        <w:t xml:space="preserve">. Foi revelado que </w:t>
      </w:r>
      <w:r w:rsidR="00F72F53">
        <w:t xml:space="preserve">o local de </w:t>
      </w:r>
      <w:r w:rsidR="00F72F53">
        <w:lastRenderedPageBreak/>
        <w:t>despejo dos detritos é determinante para a resistência a impactos</w:t>
      </w:r>
      <w:r w:rsidR="005B5A38">
        <w:t xml:space="preserve">, enquanto a dureza </w:t>
      </w:r>
      <w:r w:rsidR="00505DCB">
        <w:t>pouco varia ao analisarmos</w:t>
      </w:r>
      <w:r w:rsidR="00D068A8">
        <w:t xml:space="preserve"> seja por ano ou por fabricante, </w:t>
      </w:r>
      <w:r w:rsidR="00561FC4">
        <w:t xml:space="preserve">o que demonstra um importante fator para a sua reutilização, porém </w:t>
      </w:r>
      <w:r w:rsidR="003D1D02">
        <w:t xml:space="preserve">com certa atenção </w:t>
      </w:r>
      <w:r w:rsidR="00107554">
        <w:t>à amostra caso seja destinada a reutilização de carcaças de eletrônicos</w:t>
      </w:r>
      <w:r w:rsidR="00930F98">
        <w:t>.</w:t>
      </w:r>
    </w:p>
    <w:p w14:paraId="57BC2F2A" w14:textId="2D91CAC0" w:rsidR="00AB4F92" w:rsidRPr="00930F98" w:rsidRDefault="007871FC" w:rsidP="00AB4F92">
      <w:pPr>
        <w:autoSpaceDE w:val="0"/>
        <w:autoSpaceDN w:val="0"/>
        <w:adjustRightInd w:val="0"/>
        <w:spacing w:after="0" w:line="161" w:lineRule="atLeast"/>
        <w:ind w:firstLine="0"/>
        <w:rPr>
          <w:rFonts w:ascii="Times" w:hAnsi="Times" w:cs="Times"/>
          <w:color w:val="211D1E"/>
          <w:sz w:val="16"/>
          <w:szCs w:val="16"/>
        </w:rPr>
      </w:pPr>
      <w:r w:rsidRPr="007871FC">
        <w:rPr>
          <w:noProof/>
        </w:rPr>
        <w:drawing>
          <wp:inline distT="0" distB="0" distL="0" distR="0" wp14:anchorId="653B107D" wp14:editId="78B8C1E0">
            <wp:extent cx="5400040" cy="1886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F92" w:rsidRPr="00AB4F92">
        <w:rPr>
          <w:rFonts w:ascii="Times" w:hAnsi="Times" w:cs="Times"/>
          <w:b/>
          <w:bCs/>
          <w:color w:val="211D1E"/>
          <w:sz w:val="16"/>
          <w:szCs w:val="16"/>
        </w:rPr>
        <w:t xml:space="preserve"> </w:t>
      </w:r>
      <w:r w:rsidR="00AB4F92" w:rsidRPr="00930F98">
        <w:rPr>
          <w:rFonts w:ascii="Times" w:hAnsi="Times" w:cs="Times"/>
          <w:b/>
          <w:bCs/>
          <w:color w:val="211D1E"/>
          <w:sz w:val="16"/>
          <w:szCs w:val="16"/>
        </w:rPr>
        <w:t xml:space="preserve">Figura 6. </w:t>
      </w:r>
      <w:r w:rsidR="00AB4F92" w:rsidRPr="00930F98">
        <w:rPr>
          <w:rFonts w:ascii="Times" w:hAnsi="Times" w:cs="Times"/>
          <w:color w:val="211D1E"/>
          <w:sz w:val="16"/>
          <w:szCs w:val="16"/>
        </w:rPr>
        <w:t xml:space="preserve">Resultados obtidos no ensaio de impacto (a) e dureza (b) das amostras avaliadas. </w:t>
      </w:r>
    </w:p>
    <w:p w14:paraId="38731F37" w14:textId="696A497A" w:rsidR="000E03CF" w:rsidRDefault="000E03CF" w:rsidP="00947AD3">
      <w:pPr>
        <w:ind w:firstLine="0"/>
      </w:pPr>
    </w:p>
    <w:p w14:paraId="26565106" w14:textId="1B55FBE1" w:rsidR="00930F98" w:rsidRDefault="00930F98">
      <w:pPr>
        <w:spacing w:line="259" w:lineRule="auto"/>
        <w:ind w:firstLine="0"/>
        <w:jc w:val="left"/>
      </w:pPr>
      <w:r>
        <w:br w:type="page"/>
      </w:r>
    </w:p>
    <w:p w14:paraId="4CACA9F3" w14:textId="686A33A4" w:rsidR="00930F98" w:rsidRDefault="00000C8E" w:rsidP="000F66EB">
      <w:pPr>
        <w:ind w:firstLine="708"/>
      </w:pPr>
      <w:r>
        <w:t>A tabela 2 mostra os resultados dos ensaios de tração das amostras</w:t>
      </w:r>
      <w:r w:rsidR="00D92A70">
        <w:t xml:space="preserve">, da mesma forma que nos dados de ensaio de dureza, os dados apresentaram pouca variação entre as amostras demonstrando que podem </w:t>
      </w:r>
      <w:r w:rsidR="00DF631B">
        <w:t>ter a mesma aplicação independente da origem da</w:t>
      </w:r>
      <w:r w:rsidR="008334FC">
        <w:t xml:space="preserve"> amostra.</w:t>
      </w:r>
    </w:p>
    <w:p w14:paraId="1DA1A781" w14:textId="77777777" w:rsidR="00930F98" w:rsidRPr="00930F98" w:rsidRDefault="00930F98" w:rsidP="00930F98">
      <w:pPr>
        <w:autoSpaceDE w:val="0"/>
        <w:autoSpaceDN w:val="0"/>
        <w:adjustRightInd w:val="0"/>
        <w:spacing w:after="0" w:line="161" w:lineRule="atLeast"/>
        <w:ind w:firstLine="0"/>
        <w:rPr>
          <w:rFonts w:ascii="Times" w:hAnsi="Times" w:cs="Times"/>
          <w:color w:val="211D1E"/>
          <w:sz w:val="16"/>
          <w:szCs w:val="16"/>
        </w:rPr>
      </w:pPr>
      <w:r w:rsidRPr="00930F98">
        <w:rPr>
          <w:rFonts w:ascii="Times" w:hAnsi="Times" w:cs="Times"/>
          <w:b/>
          <w:bCs/>
          <w:color w:val="211D1E"/>
          <w:sz w:val="16"/>
          <w:szCs w:val="16"/>
        </w:rPr>
        <w:t xml:space="preserve">Tabela 2. </w:t>
      </w:r>
      <w:r w:rsidRPr="00930F98">
        <w:rPr>
          <w:rFonts w:ascii="Times" w:hAnsi="Times" w:cs="Times"/>
          <w:color w:val="211D1E"/>
          <w:sz w:val="16"/>
          <w:szCs w:val="16"/>
        </w:rPr>
        <w:t xml:space="preserve">Resultados do ensaio de tração e dureza. 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6"/>
        <w:gridCol w:w="1426"/>
        <w:gridCol w:w="1426"/>
        <w:gridCol w:w="1426"/>
        <w:gridCol w:w="1426"/>
        <w:gridCol w:w="1426"/>
      </w:tblGrid>
      <w:tr w:rsidR="00930F98" w:rsidRPr="00930F98" w14:paraId="09278618" w14:textId="77777777" w:rsidTr="00AB4F92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1426" w:type="dxa"/>
          </w:tcPr>
          <w:p w14:paraId="5DA3B85C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b/>
                <w:bCs/>
                <w:color w:val="211D1E"/>
                <w:sz w:val="15"/>
                <w:szCs w:val="15"/>
              </w:rPr>
              <w:t xml:space="preserve">Amostra </w:t>
            </w:r>
          </w:p>
        </w:tc>
        <w:tc>
          <w:tcPr>
            <w:tcW w:w="1426" w:type="dxa"/>
          </w:tcPr>
          <w:p w14:paraId="6CE4799C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b/>
                <w:bCs/>
                <w:color w:val="211D1E"/>
                <w:sz w:val="15"/>
                <w:szCs w:val="15"/>
              </w:rPr>
              <w:t xml:space="preserve">Tensão de escoamento (MPa) </w:t>
            </w:r>
          </w:p>
        </w:tc>
        <w:tc>
          <w:tcPr>
            <w:tcW w:w="1426" w:type="dxa"/>
          </w:tcPr>
          <w:p w14:paraId="141A4DDC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b/>
                <w:bCs/>
                <w:color w:val="211D1E"/>
                <w:sz w:val="15"/>
                <w:szCs w:val="15"/>
              </w:rPr>
              <w:t xml:space="preserve">Tensão de Ruptura (MPa) </w:t>
            </w:r>
          </w:p>
        </w:tc>
        <w:tc>
          <w:tcPr>
            <w:tcW w:w="1426" w:type="dxa"/>
          </w:tcPr>
          <w:p w14:paraId="5029B1E2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b/>
                <w:bCs/>
                <w:color w:val="211D1E"/>
                <w:sz w:val="15"/>
                <w:szCs w:val="15"/>
              </w:rPr>
              <w:t xml:space="preserve">Módulo de Elasticidade (MPa) </w:t>
            </w:r>
          </w:p>
        </w:tc>
        <w:tc>
          <w:tcPr>
            <w:tcW w:w="1426" w:type="dxa"/>
          </w:tcPr>
          <w:p w14:paraId="6A9A1772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Times" w:hAnsi="Times" w:cs="Times"/>
                <w:color w:val="211D1E"/>
                <w:sz w:val="15"/>
                <w:szCs w:val="15"/>
              </w:rPr>
            </w:pPr>
            <w:proofErr w:type="spellStart"/>
            <w:r w:rsidRPr="00930F98">
              <w:rPr>
                <w:rFonts w:ascii="Times" w:hAnsi="Times" w:cs="Times"/>
                <w:b/>
                <w:bCs/>
                <w:color w:val="211D1E"/>
                <w:sz w:val="15"/>
                <w:szCs w:val="15"/>
              </w:rPr>
              <w:t>Defor</w:t>
            </w:r>
            <w:proofErr w:type="spellEnd"/>
            <w:r w:rsidRPr="00930F98">
              <w:rPr>
                <w:rFonts w:ascii="Times" w:hAnsi="Times" w:cs="Times"/>
                <w:b/>
                <w:bCs/>
                <w:color w:val="211D1E"/>
                <w:sz w:val="15"/>
                <w:szCs w:val="15"/>
              </w:rPr>
              <w:t xml:space="preserve">. Máx. Elástica (%) </w:t>
            </w:r>
          </w:p>
        </w:tc>
        <w:tc>
          <w:tcPr>
            <w:tcW w:w="1426" w:type="dxa"/>
          </w:tcPr>
          <w:p w14:paraId="34826348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b/>
                <w:bCs/>
                <w:color w:val="211D1E"/>
                <w:sz w:val="15"/>
                <w:szCs w:val="15"/>
              </w:rPr>
              <w:t xml:space="preserve">Dureza (Shore D) </w:t>
            </w:r>
          </w:p>
        </w:tc>
      </w:tr>
      <w:tr w:rsidR="00930F98" w:rsidRPr="00930F98" w14:paraId="5B6F1FC7" w14:textId="77777777" w:rsidTr="00AB4F92">
        <w:tblPrEx>
          <w:tblCellMar>
            <w:top w:w="0" w:type="dxa"/>
            <w:bottom w:w="0" w:type="dxa"/>
          </w:tblCellMar>
        </w:tblPrEx>
        <w:trPr>
          <w:trHeight w:val="83"/>
        </w:trPr>
        <w:tc>
          <w:tcPr>
            <w:tcW w:w="1426" w:type="dxa"/>
          </w:tcPr>
          <w:p w14:paraId="4C4FFE64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1 </w:t>
            </w:r>
          </w:p>
        </w:tc>
        <w:tc>
          <w:tcPr>
            <w:tcW w:w="1426" w:type="dxa"/>
          </w:tcPr>
          <w:p w14:paraId="33DF1A98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23,35 ± 1,21 </w:t>
            </w:r>
          </w:p>
        </w:tc>
        <w:tc>
          <w:tcPr>
            <w:tcW w:w="1426" w:type="dxa"/>
          </w:tcPr>
          <w:p w14:paraId="110C1203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13,46 ± 0,81 </w:t>
            </w:r>
          </w:p>
        </w:tc>
        <w:tc>
          <w:tcPr>
            <w:tcW w:w="1426" w:type="dxa"/>
          </w:tcPr>
          <w:p w14:paraId="171BB9EF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1386,23 ± 16,10 </w:t>
            </w:r>
          </w:p>
        </w:tc>
        <w:tc>
          <w:tcPr>
            <w:tcW w:w="1426" w:type="dxa"/>
          </w:tcPr>
          <w:p w14:paraId="1DB8CC2F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3,08 ± 2,26 </w:t>
            </w:r>
          </w:p>
        </w:tc>
        <w:tc>
          <w:tcPr>
            <w:tcW w:w="1426" w:type="dxa"/>
          </w:tcPr>
          <w:p w14:paraId="557DF00E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63,5 ± 1,88 </w:t>
            </w:r>
          </w:p>
        </w:tc>
      </w:tr>
      <w:tr w:rsidR="00930F98" w:rsidRPr="00930F98" w14:paraId="40C2CF14" w14:textId="77777777" w:rsidTr="00AB4F92">
        <w:tblPrEx>
          <w:tblCellMar>
            <w:top w:w="0" w:type="dxa"/>
            <w:bottom w:w="0" w:type="dxa"/>
          </w:tblCellMar>
        </w:tblPrEx>
        <w:trPr>
          <w:trHeight w:val="83"/>
        </w:trPr>
        <w:tc>
          <w:tcPr>
            <w:tcW w:w="1426" w:type="dxa"/>
          </w:tcPr>
          <w:p w14:paraId="5122F533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2 </w:t>
            </w:r>
          </w:p>
        </w:tc>
        <w:tc>
          <w:tcPr>
            <w:tcW w:w="1426" w:type="dxa"/>
          </w:tcPr>
          <w:p w14:paraId="4525928C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37,64 ± 0,43 </w:t>
            </w:r>
          </w:p>
        </w:tc>
        <w:tc>
          <w:tcPr>
            <w:tcW w:w="1426" w:type="dxa"/>
          </w:tcPr>
          <w:p w14:paraId="4D73E9B6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21,49 ± 0,31 </w:t>
            </w:r>
          </w:p>
        </w:tc>
        <w:tc>
          <w:tcPr>
            <w:tcW w:w="1426" w:type="dxa"/>
          </w:tcPr>
          <w:p w14:paraId="72D9D7AF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1588,05 ± 7,30 </w:t>
            </w:r>
          </w:p>
        </w:tc>
        <w:tc>
          <w:tcPr>
            <w:tcW w:w="1426" w:type="dxa"/>
          </w:tcPr>
          <w:p w14:paraId="2A345C59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2,92 ± 0,03 </w:t>
            </w:r>
          </w:p>
        </w:tc>
        <w:tc>
          <w:tcPr>
            <w:tcW w:w="1426" w:type="dxa"/>
          </w:tcPr>
          <w:p w14:paraId="35C77AE7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63,5 ± 2,04 </w:t>
            </w:r>
          </w:p>
        </w:tc>
      </w:tr>
      <w:tr w:rsidR="00930F98" w:rsidRPr="00930F98" w14:paraId="0A896DBC" w14:textId="77777777" w:rsidTr="00AB4F92">
        <w:tblPrEx>
          <w:tblCellMar>
            <w:top w:w="0" w:type="dxa"/>
            <w:bottom w:w="0" w:type="dxa"/>
          </w:tblCellMar>
        </w:tblPrEx>
        <w:trPr>
          <w:trHeight w:val="83"/>
        </w:trPr>
        <w:tc>
          <w:tcPr>
            <w:tcW w:w="1426" w:type="dxa"/>
          </w:tcPr>
          <w:p w14:paraId="0C8EFFF8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3 </w:t>
            </w:r>
          </w:p>
        </w:tc>
        <w:tc>
          <w:tcPr>
            <w:tcW w:w="1426" w:type="dxa"/>
          </w:tcPr>
          <w:p w14:paraId="64FE8E6E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36,14 ± 0,67 </w:t>
            </w:r>
          </w:p>
        </w:tc>
        <w:tc>
          <w:tcPr>
            <w:tcW w:w="1426" w:type="dxa"/>
          </w:tcPr>
          <w:p w14:paraId="14AAFACA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20,58 ± 0,89 </w:t>
            </w:r>
          </w:p>
        </w:tc>
        <w:tc>
          <w:tcPr>
            <w:tcW w:w="1426" w:type="dxa"/>
          </w:tcPr>
          <w:p w14:paraId="7E63CF47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1565,56 ± 16,10 </w:t>
            </w:r>
          </w:p>
        </w:tc>
        <w:tc>
          <w:tcPr>
            <w:tcW w:w="1426" w:type="dxa"/>
          </w:tcPr>
          <w:p w14:paraId="5613C3F6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2,79 ± 0,05 </w:t>
            </w:r>
          </w:p>
        </w:tc>
        <w:tc>
          <w:tcPr>
            <w:tcW w:w="1426" w:type="dxa"/>
          </w:tcPr>
          <w:p w14:paraId="4F51A73B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62,40 ± 2,14 </w:t>
            </w:r>
          </w:p>
        </w:tc>
      </w:tr>
      <w:tr w:rsidR="00930F98" w:rsidRPr="00930F98" w14:paraId="44F2BC3B" w14:textId="77777777" w:rsidTr="00AB4F92">
        <w:tblPrEx>
          <w:tblCellMar>
            <w:top w:w="0" w:type="dxa"/>
            <w:bottom w:w="0" w:type="dxa"/>
          </w:tblCellMar>
        </w:tblPrEx>
        <w:trPr>
          <w:trHeight w:val="83"/>
        </w:trPr>
        <w:tc>
          <w:tcPr>
            <w:tcW w:w="1426" w:type="dxa"/>
          </w:tcPr>
          <w:p w14:paraId="55437CF8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4 </w:t>
            </w:r>
          </w:p>
        </w:tc>
        <w:tc>
          <w:tcPr>
            <w:tcW w:w="1426" w:type="dxa"/>
          </w:tcPr>
          <w:p w14:paraId="191E0E5D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35,64 ± 0,69 </w:t>
            </w:r>
          </w:p>
        </w:tc>
        <w:tc>
          <w:tcPr>
            <w:tcW w:w="1426" w:type="dxa"/>
          </w:tcPr>
          <w:p w14:paraId="3119B837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20,48 ± 0,79 </w:t>
            </w:r>
          </w:p>
        </w:tc>
        <w:tc>
          <w:tcPr>
            <w:tcW w:w="1426" w:type="dxa"/>
          </w:tcPr>
          <w:p w14:paraId="42BCD2D3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1526,45 ± 16,10 </w:t>
            </w:r>
          </w:p>
        </w:tc>
        <w:tc>
          <w:tcPr>
            <w:tcW w:w="1426" w:type="dxa"/>
          </w:tcPr>
          <w:p w14:paraId="60F0AF02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2,88 ± 0,09 </w:t>
            </w:r>
          </w:p>
        </w:tc>
        <w:tc>
          <w:tcPr>
            <w:tcW w:w="1426" w:type="dxa"/>
          </w:tcPr>
          <w:p w14:paraId="0C76CF13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59,08 ± 1,82 </w:t>
            </w:r>
          </w:p>
        </w:tc>
      </w:tr>
      <w:tr w:rsidR="00930F98" w:rsidRPr="00930F98" w14:paraId="53D67097" w14:textId="77777777" w:rsidTr="00AB4F92">
        <w:tblPrEx>
          <w:tblCellMar>
            <w:top w:w="0" w:type="dxa"/>
            <w:bottom w:w="0" w:type="dxa"/>
          </w:tblCellMar>
        </w:tblPrEx>
        <w:trPr>
          <w:trHeight w:val="83"/>
        </w:trPr>
        <w:tc>
          <w:tcPr>
            <w:tcW w:w="1426" w:type="dxa"/>
          </w:tcPr>
          <w:p w14:paraId="2F2C0358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5 </w:t>
            </w:r>
          </w:p>
        </w:tc>
        <w:tc>
          <w:tcPr>
            <w:tcW w:w="1426" w:type="dxa"/>
          </w:tcPr>
          <w:p w14:paraId="46890DA0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36,37 ± 1,25 </w:t>
            </w:r>
          </w:p>
        </w:tc>
        <w:tc>
          <w:tcPr>
            <w:tcW w:w="1426" w:type="dxa"/>
          </w:tcPr>
          <w:p w14:paraId="12DC97FB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20,66 ± 0,99 </w:t>
            </w:r>
          </w:p>
        </w:tc>
        <w:tc>
          <w:tcPr>
            <w:tcW w:w="1426" w:type="dxa"/>
          </w:tcPr>
          <w:p w14:paraId="33BF3E64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1478,87 ± 11,80 </w:t>
            </w:r>
          </w:p>
        </w:tc>
        <w:tc>
          <w:tcPr>
            <w:tcW w:w="1426" w:type="dxa"/>
          </w:tcPr>
          <w:p w14:paraId="4AC963BC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3,11 ± 0,10 </w:t>
            </w:r>
          </w:p>
        </w:tc>
        <w:tc>
          <w:tcPr>
            <w:tcW w:w="1426" w:type="dxa"/>
          </w:tcPr>
          <w:p w14:paraId="2B04023C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58,00 ± 2,57 </w:t>
            </w:r>
          </w:p>
        </w:tc>
      </w:tr>
      <w:tr w:rsidR="00930F98" w:rsidRPr="00930F98" w14:paraId="1346D9E5" w14:textId="77777777" w:rsidTr="00AB4F92">
        <w:tblPrEx>
          <w:tblCellMar>
            <w:top w:w="0" w:type="dxa"/>
            <w:bottom w:w="0" w:type="dxa"/>
          </w:tblCellMar>
        </w:tblPrEx>
        <w:trPr>
          <w:trHeight w:val="83"/>
        </w:trPr>
        <w:tc>
          <w:tcPr>
            <w:tcW w:w="1426" w:type="dxa"/>
          </w:tcPr>
          <w:p w14:paraId="64AA44EB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6 </w:t>
            </w:r>
          </w:p>
        </w:tc>
        <w:tc>
          <w:tcPr>
            <w:tcW w:w="1426" w:type="dxa"/>
          </w:tcPr>
          <w:p w14:paraId="7322D312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38,20 ± 1,08 </w:t>
            </w:r>
          </w:p>
        </w:tc>
        <w:tc>
          <w:tcPr>
            <w:tcW w:w="1426" w:type="dxa"/>
          </w:tcPr>
          <w:p w14:paraId="1A08425E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21,85 ± 1,01 </w:t>
            </w:r>
          </w:p>
        </w:tc>
        <w:tc>
          <w:tcPr>
            <w:tcW w:w="1426" w:type="dxa"/>
          </w:tcPr>
          <w:p w14:paraId="49E6C81F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1567,80 ± 20,90 </w:t>
            </w:r>
          </w:p>
        </w:tc>
        <w:tc>
          <w:tcPr>
            <w:tcW w:w="1426" w:type="dxa"/>
          </w:tcPr>
          <w:p w14:paraId="35981B0A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2,98 ± 0,04 </w:t>
            </w:r>
          </w:p>
        </w:tc>
        <w:tc>
          <w:tcPr>
            <w:tcW w:w="1426" w:type="dxa"/>
          </w:tcPr>
          <w:p w14:paraId="275216F1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58,41 ± 2,54 </w:t>
            </w:r>
          </w:p>
        </w:tc>
      </w:tr>
      <w:tr w:rsidR="00930F98" w:rsidRPr="00930F98" w14:paraId="6F0343D4" w14:textId="77777777" w:rsidTr="00AB4F92">
        <w:tblPrEx>
          <w:tblCellMar>
            <w:top w:w="0" w:type="dxa"/>
            <w:bottom w:w="0" w:type="dxa"/>
          </w:tblCellMar>
        </w:tblPrEx>
        <w:trPr>
          <w:trHeight w:val="83"/>
        </w:trPr>
        <w:tc>
          <w:tcPr>
            <w:tcW w:w="1426" w:type="dxa"/>
          </w:tcPr>
          <w:p w14:paraId="2021DE77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7 </w:t>
            </w:r>
          </w:p>
        </w:tc>
        <w:tc>
          <w:tcPr>
            <w:tcW w:w="1426" w:type="dxa"/>
          </w:tcPr>
          <w:p w14:paraId="4E603E84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36,71 ± 0,81 </w:t>
            </w:r>
          </w:p>
        </w:tc>
        <w:tc>
          <w:tcPr>
            <w:tcW w:w="1426" w:type="dxa"/>
          </w:tcPr>
          <w:p w14:paraId="5D4B2C23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21,66 ± 0,82 </w:t>
            </w:r>
          </w:p>
        </w:tc>
        <w:tc>
          <w:tcPr>
            <w:tcW w:w="1426" w:type="dxa"/>
          </w:tcPr>
          <w:p w14:paraId="27E920EB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1466,20 ± 25,83 </w:t>
            </w:r>
          </w:p>
        </w:tc>
        <w:tc>
          <w:tcPr>
            <w:tcW w:w="1426" w:type="dxa"/>
          </w:tcPr>
          <w:p w14:paraId="35A0A7EC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3,34 ± 0,07 </w:t>
            </w:r>
          </w:p>
        </w:tc>
        <w:tc>
          <w:tcPr>
            <w:tcW w:w="1426" w:type="dxa"/>
          </w:tcPr>
          <w:p w14:paraId="6F56C653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56,50 ± 1,84 </w:t>
            </w:r>
          </w:p>
        </w:tc>
      </w:tr>
      <w:tr w:rsidR="00930F98" w:rsidRPr="00930F98" w14:paraId="3E43BB86" w14:textId="77777777" w:rsidTr="00AB4F92">
        <w:tblPrEx>
          <w:tblCellMar>
            <w:top w:w="0" w:type="dxa"/>
            <w:bottom w:w="0" w:type="dxa"/>
          </w:tblCellMar>
        </w:tblPrEx>
        <w:trPr>
          <w:trHeight w:val="83"/>
        </w:trPr>
        <w:tc>
          <w:tcPr>
            <w:tcW w:w="1426" w:type="dxa"/>
          </w:tcPr>
          <w:p w14:paraId="6B4E0896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8 </w:t>
            </w:r>
          </w:p>
        </w:tc>
        <w:tc>
          <w:tcPr>
            <w:tcW w:w="1426" w:type="dxa"/>
          </w:tcPr>
          <w:p w14:paraId="2BAC43FA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30,46 ± 0,45 </w:t>
            </w:r>
          </w:p>
        </w:tc>
        <w:tc>
          <w:tcPr>
            <w:tcW w:w="1426" w:type="dxa"/>
          </w:tcPr>
          <w:p w14:paraId="0AB88D70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17,47 ± 0,96 </w:t>
            </w:r>
          </w:p>
        </w:tc>
        <w:tc>
          <w:tcPr>
            <w:tcW w:w="1426" w:type="dxa"/>
          </w:tcPr>
          <w:p w14:paraId="6516BD54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1672,73 ± 47,66 </w:t>
            </w:r>
          </w:p>
        </w:tc>
        <w:tc>
          <w:tcPr>
            <w:tcW w:w="1426" w:type="dxa"/>
          </w:tcPr>
          <w:p w14:paraId="346A2FD6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2,07 ± 0,27 </w:t>
            </w:r>
          </w:p>
        </w:tc>
        <w:tc>
          <w:tcPr>
            <w:tcW w:w="1426" w:type="dxa"/>
          </w:tcPr>
          <w:p w14:paraId="68B9E2EE" w14:textId="77777777" w:rsidR="00930F98" w:rsidRPr="00930F98" w:rsidRDefault="00930F98" w:rsidP="00930F98">
            <w:pPr>
              <w:autoSpaceDE w:val="0"/>
              <w:autoSpaceDN w:val="0"/>
              <w:adjustRightInd w:val="0"/>
              <w:spacing w:before="40" w:after="0" w:line="151" w:lineRule="atLeast"/>
              <w:ind w:firstLine="0"/>
              <w:jc w:val="center"/>
              <w:rPr>
                <w:rFonts w:ascii="Times" w:hAnsi="Times" w:cs="Times"/>
                <w:color w:val="211D1E"/>
                <w:sz w:val="15"/>
                <w:szCs w:val="15"/>
              </w:rPr>
            </w:pPr>
            <w:r w:rsidRPr="00930F98">
              <w:rPr>
                <w:rFonts w:ascii="Times" w:hAnsi="Times" w:cs="Times"/>
                <w:color w:val="211D1E"/>
                <w:sz w:val="15"/>
                <w:szCs w:val="15"/>
              </w:rPr>
              <w:t xml:space="preserve">59,80 ± 2,35 </w:t>
            </w:r>
          </w:p>
        </w:tc>
      </w:tr>
    </w:tbl>
    <w:p w14:paraId="3A0E0249" w14:textId="1BE4C7EA" w:rsidR="00930F98" w:rsidRDefault="00930F98" w:rsidP="00947AD3">
      <w:pPr>
        <w:ind w:firstLine="0"/>
      </w:pPr>
    </w:p>
    <w:p w14:paraId="32D61661" w14:textId="24452013" w:rsidR="000F66EB" w:rsidRDefault="0014709E" w:rsidP="00947AD3">
      <w:pPr>
        <w:ind w:firstLine="0"/>
      </w:pPr>
      <w:r>
        <w:tab/>
        <w:t xml:space="preserve">Temos como conclusão </w:t>
      </w:r>
      <w:r w:rsidR="00922BA7">
        <w:t>de que</w:t>
      </w:r>
      <w:r w:rsidR="00433E07">
        <w:t xml:space="preserve"> a reciclagem d</w:t>
      </w:r>
      <w:r w:rsidR="00E01BB0">
        <w:t xml:space="preserve">os resíduos </w:t>
      </w:r>
      <w:r w:rsidR="00C3793D">
        <w:t xml:space="preserve">de carcaças de </w:t>
      </w:r>
      <w:r w:rsidR="00B27298">
        <w:t xml:space="preserve">monitores obsoletos é viável pelo ponto de vista </w:t>
      </w:r>
      <w:r w:rsidR="00D151A9">
        <w:t>das propriedades mecânicas do material</w:t>
      </w:r>
      <w:r w:rsidR="0000696C">
        <w:t xml:space="preserve"> reciclado, a exceção fica pela amostra 8 </w:t>
      </w:r>
      <w:r w:rsidR="00F8430E">
        <w:t>cuja</w:t>
      </w:r>
      <w:r w:rsidR="00215EFA">
        <w:t xml:space="preserve"> deterioração apresentada após reciclagem foi muito superior em relação as outras amostras</w:t>
      </w:r>
      <w:r w:rsidR="00F8430E">
        <w:t xml:space="preserve">, também foi constatado </w:t>
      </w:r>
      <w:r w:rsidR="00777AF2">
        <w:t xml:space="preserve">que a qualidade do material reciclado </w:t>
      </w:r>
      <w:r w:rsidR="00005372">
        <w:t>não é influenciada pela marca fabricante</w:t>
      </w:r>
      <w:r w:rsidR="00A73A6A">
        <w:t xml:space="preserve">, mas as condições de uso e armazenamento </w:t>
      </w:r>
      <w:r w:rsidR="005600D5">
        <w:t>as quais foram expostos durante a vida útil influenciou</w:t>
      </w:r>
      <w:r w:rsidR="003F515C">
        <w:t xml:space="preserve"> em composições específicas, como na amostra 8.</w:t>
      </w:r>
    </w:p>
    <w:p w14:paraId="0AEC4BB4" w14:textId="2E8744F2" w:rsidR="00CE25AD" w:rsidRPr="009C248E" w:rsidRDefault="00CE25AD" w:rsidP="00947AD3">
      <w:pPr>
        <w:ind w:firstLine="0"/>
      </w:pPr>
      <w:r>
        <w:tab/>
        <w:t xml:space="preserve">Também foi concluído que é possível a reutilização do material reciclado na confecção de carcaças </w:t>
      </w:r>
      <w:r w:rsidR="003D1D02">
        <w:t xml:space="preserve">para produtos </w:t>
      </w:r>
      <w:r w:rsidR="00107554">
        <w:t xml:space="preserve">eletrônicos </w:t>
      </w:r>
      <w:r w:rsidR="009779EE">
        <w:t xml:space="preserve">ou em outras </w:t>
      </w:r>
      <w:r w:rsidR="00C52FCA">
        <w:t>indústrias</w:t>
      </w:r>
      <w:r w:rsidR="009779EE">
        <w:t xml:space="preserve"> </w:t>
      </w:r>
      <w:r w:rsidR="00C52FCA">
        <w:t xml:space="preserve">como as de calçado, automobilística, móveis, dentre outras. </w:t>
      </w:r>
    </w:p>
    <w:sectPr w:rsidR="00CE25AD" w:rsidRPr="009C2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8E"/>
    <w:rsid w:val="00000C8E"/>
    <w:rsid w:val="00005372"/>
    <w:rsid w:val="0000696C"/>
    <w:rsid w:val="000E03CF"/>
    <w:rsid w:val="000F66EB"/>
    <w:rsid w:val="00107554"/>
    <w:rsid w:val="0014709E"/>
    <w:rsid w:val="001502B4"/>
    <w:rsid w:val="001E0AB9"/>
    <w:rsid w:val="001E7BC2"/>
    <w:rsid w:val="00202121"/>
    <w:rsid w:val="0020669E"/>
    <w:rsid w:val="00215EFA"/>
    <w:rsid w:val="0027751D"/>
    <w:rsid w:val="002C3493"/>
    <w:rsid w:val="002C38A6"/>
    <w:rsid w:val="00332F73"/>
    <w:rsid w:val="0038147E"/>
    <w:rsid w:val="003D1D02"/>
    <w:rsid w:val="003F515C"/>
    <w:rsid w:val="00433E07"/>
    <w:rsid w:val="00434638"/>
    <w:rsid w:val="00463AA8"/>
    <w:rsid w:val="004B1250"/>
    <w:rsid w:val="00505DCB"/>
    <w:rsid w:val="00526BE2"/>
    <w:rsid w:val="005600D5"/>
    <w:rsid w:val="00561FC4"/>
    <w:rsid w:val="005A133F"/>
    <w:rsid w:val="005B5A38"/>
    <w:rsid w:val="005C66A2"/>
    <w:rsid w:val="005E1ECB"/>
    <w:rsid w:val="006267A9"/>
    <w:rsid w:val="006314F0"/>
    <w:rsid w:val="00670A67"/>
    <w:rsid w:val="006727E9"/>
    <w:rsid w:val="006C1092"/>
    <w:rsid w:val="00752ACC"/>
    <w:rsid w:val="00777AF2"/>
    <w:rsid w:val="007827B8"/>
    <w:rsid w:val="007871FC"/>
    <w:rsid w:val="008136CD"/>
    <w:rsid w:val="00826F58"/>
    <w:rsid w:val="008334FC"/>
    <w:rsid w:val="00844224"/>
    <w:rsid w:val="0084478C"/>
    <w:rsid w:val="008611A0"/>
    <w:rsid w:val="00861337"/>
    <w:rsid w:val="008757F1"/>
    <w:rsid w:val="00895E3A"/>
    <w:rsid w:val="0090443A"/>
    <w:rsid w:val="00922BA7"/>
    <w:rsid w:val="00930F98"/>
    <w:rsid w:val="00947AD3"/>
    <w:rsid w:val="009779EE"/>
    <w:rsid w:val="009C248E"/>
    <w:rsid w:val="009C7E0D"/>
    <w:rsid w:val="009F6180"/>
    <w:rsid w:val="00A14289"/>
    <w:rsid w:val="00A26582"/>
    <w:rsid w:val="00A558E6"/>
    <w:rsid w:val="00A73A6A"/>
    <w:rsid w:val="00AB4F92"/>
    <w:rsid w:val="00AD6B27"/>
    <w:rsid w:val="00B07243"/>
    <w:rsid w:val="00B23A6D"/>
    <w:rsid w:val="00B27298"/>
    <w:rsid w:val="00B73CAA"/>
    <w:rsid w:val="00BB710E"/>
    <w:rsid w:val="00C270D9"/>
    <w:rsid w:val="00C3793D"/>
    <w:rsid w:val="00C47FAA"/>
    <w:rsid w:val="00C52FCA"/>
    <w:rsid w:val="00C604E6"/>
    <w:rsid w:val="00C64B2F"/>
    <w:rsid w:val="00CB2BEC"/>
    <w:rsid w:val="00CE25AD"/>
    <w:rsid w:val="00D068A8"/>
    <w:rsid w:val="00D151A9"/>
    <w:rsid w:val="00D53BC3"/>
    <w:rsid w:val="00D57660"/>
    <w:rsid w:val="00D72539"/>
    <w:rsid w:val="00D92A70"/>
    <w:rsid w:val="00D934F9"/>
    <w:rsid w:val="00DE6B43"/>
    <w:rsid w:val="00DF631B"/>
    <w:rsid w:val="00E00F45"/>
    <w:rsid w:val="00E01BB0"/>
    <w:rsid w:val="00E26821"/>
    <w:rsid w:val="00E33278"/>
    <w:rsid w:val="00E34D2E"/>
    <w:rsid w:val="00E622E9"/>
    <w:rsid w:val="00E738A2"/>
    <w:rsid w:val="00E75E33"/>
    <w:rsid w:val="00E94941"/>
    <w:rsid w:val="00EA4A05"/>
    <w:rsid w:val="00EF5AF1"/>
    <w:rsid w:val="00F27AF7"/>
    <w:rsid w:val="00F3492D"/>
    <w:rsid w:val="00F72F53"/>
    <w:rsid w:val="00F8430E"/>
    <w:rsid w:val="00FA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6C6D"/>
  <w15:chartTrackingRefBased/>
  <w15:docId w15:val="{6D304FB9-499C-43DF-96BB-184908F1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48E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C248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248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248E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248E"/>
    <w:rPr>
      <w:rFonts w:ascii="Times New Roman" w:eastAsiaTheme="majorEastAsia" w:hAnsi="Times New Roman" w:cstheme="majorBidi"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C64B2F"/>
    <w:pPr>
      <w:spacing w:after="0" w:line="48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4B2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orpodetexto">
    <w:name w:val="Body Text"/>
    <w:basedOn w:val="Normal"/>
    <w:link w:val="CorpodetextoChar"/>
    <w:uiPriority w:val="1"/>
    <w:qFormat/>
    <w:rsid w:val="00D934F9"/>
    <w:pPr>
      <w:autoSpaceDE w:val="0"/>
      <w:autoSpaceDN w:val="0"/>
      <w:adjustRightInd w:val="0"/>
      <w:spacing w:after="22" w:line="240" w:lineRule="auto"/>
      <w:ind w:left="100" w:firstLine="0"/>
      <w:jc w:val="left"/>
    </w:pPr>
    <w:rPr>
      <w:rFonts w:cs="Times New Roman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uiPriority w:val="1"/>
    <w:rsid w:val="00D934F9"/>
    <w:rPr>
      <w:rFonts w:ascii="Times New Roman" w:hAnsi="Times New Roman" w:cs="Times New Roman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D934F9"/>
    <w:pPr>
      <w:autoSpaceDE w:val="0"/>
      <w:autoSpaceDN w:val="0"/>
      <w:adjustRightInd w:val="0"/>
      <w:spacing w:before="26" w:after="0" w:line="240" w:lineRule="auto"/>
      <w:ind w:right="92" w:firstLine="0"/>
      <w:jc w:val="center"/>
    </w:pPr>
    <w:rPr>
      <w:rFonts w:cs="Times New Roman"/>
      <w:szCs w:val="24"/>
    </w:rPr>
  </w:style>
  <w:style w:type="paragraph" w:customStyle="1" w:styleId="Default">
    <w:name w:val="Default"/>
    <w:rsid w:val="00930F98"/>
    <w:pPr>
      <w:autoSpaceDE w:val="0"/>
      <w:autoSpaceDN w:val="0"/>
      <w:adjustRightInd w:val="0"/>
      <w:spacing w:after="0" w:line="240" w:lineRule="auto"/>
    </w:pPr>
    <w:rPr>
      <w:rFonts w:ascii="Times" w:hAnsi="Times" w:cs="Times"/>
      <w:color w:val="000000"/>
      <w:sz w:val="24"/>
      <w:szCs w:val="24"/>
    </w:rPr>
  </w:style>
  <w:style w:type="paragraph" w:customStyle="1" w:styleId="Pa13">
    <w:name w:val="Pa13"/>
    <w:basedOn w:val="Default"/>
    <w:next w:val="Default"/>
    <w:uiPriority w:val="99"/>
    <w:rsid w:val="00930F98"/>
    <w:pPr>
      <w:spacing w:line="161" w:lineRule="atLeast"/>
    </w:pPr>
    <w:rPr>
      <w:color w:val="auto"/>
    </w:rPr>
  </w:style>
  <w:style w:type="paragraph" w:customStyle="1" w:styleId="Pa16">
    <w:name w:val="Pa16"/>
    <w:basedOn w:val="Default"/>
    <w:next w:val="Default"/>
    <w:uiPriority w:val="99"/>
    <w:rsid w:val="00930F98"/>
    <w:pPr>
      <w:spacing w:line="151" w:lineRule="atLeast"/>
    </w:pPr>
    <w:rPr>
      <w:color w:val="auto"/>
    </w:rPr>
  </w:style>
  <w:style w:type="paragraph" w:customStyle="1" w:styleId="Padrocapa">
    <w:name w:val="Padrão capa"/>
    <w:basedOn w:val="Normal"/>
    <w:link w:val="PadrocapaChar"/>
    <w:qFormat/>
    <w:rsid w:val="005A133F"/>
    <w:pPr>
      <w:spacing w:before="160" w:line="480" w:lineRule="auto"/>
      <w:ind w:left="567" w:right="567" w:firstLine="0"/>
      <w:jc w:val="center"/>
      <w:textboxTightWrap w:val="allLines"/>
    </w:pPr>
    <w:rPr>
      <w:b/>
    </w:rPr>
  </w:style>
  <w:style w:type="character" w:customStyle="1" w:styleId="PadrocapaChar">
    <w:name w:val="Padrão capa Char"/>
    <w:basedOn w:val="Fontepargpadro"/>
    <w:link w:val="Padrocapa"/>
    <w:rsid w:val="005A133F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48535C99-5DCD-4B2D-9634-01DB6DA67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911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Resenha: Reciclagem de tvs e monitores de tubo: propriedades mecânicas e morfológicas</dc:title>
  <dc:subject/>
  <dc:creator>Alan Henrique Miranda</dc:creator>
  <cp:keywords/>
  <dc:description/>
  <cp:lastModifiedBy>Alan Henrique Miranda</cp:lastModifiedBy>
  <cp:revision>95</cp:revision>
  <dcterms:created xsi:type="dcterms:W3CDTF">2020-09-07T16:23:00Z</dcterms:created>
  <dcterms:modified xsi:type="dcterms:W3CDTF">2020-09-09T00:25:00Z</dcterms:modified>
</cp:coreProperties>
</file>