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data pipeline development, predictive modeling, and actionable insights delivery for operational optimization. Proven ability to translate complex data analysis into business-driven recommendations and automated workflows.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Prompt Engineering, RAG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forecast top 10% bestsellers within 7–14 days of launch; engineered 9 features and achieved strong ROC-AUC and balanced accuracy using stratified k-fold cross-validation, enabling data-driven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workflow into Power Query and DAX reports to automate tracking of late orders and regional fulfillment performance, reducing manual monitoring effort and accelerating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process ~1 million tracks across 50+ regions; performed EDA to identify key popularity drivers and generated 18+ data-backed insights for content strategy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of popularity trends and regional streaming patterns, enabling A&amp;R and content strategy teams to optimize release timing and regional marketing decisions.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team to deliver data-backed insights into public safety trends, achieving a 99% evaluation score; cleaned, merged, and standardized 185,000+ records (29k shootings, 11k emergencies, 143k arrests) using Pandas and NumPy to enable borough-level geospatial analyses.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Presented 15+ visualizations with Matplotlib and Seaborn to stakeholders, translating crime hotspot patterns and response analysis into actionable recommendations for resource reallocation and operational optimization.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to build dashboards and enable seamless engagement between 110+ students and company partners, demonstrating data pipeline and transformation skills.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to establish accuracy benchmarks, accelerating model selection and time-to-production by 2 weeks.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2026-04-02T03:52:08.167Z</dcterms:created>
  <dcterms:modified xsi:type="dcterms:W3CDTF">2026-04-02T03:52:08.167Z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