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proven expertise in social media and streaming data analytics, visualization dashboards, and AI-driven insights for global audiences. Skilled in Python, SQL, and BI tools to transform multi-dimensional data into actionable intelligence for marketing and operations teams.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Matplotlib, Seaborn</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 Scikit-learn</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RAG, Prompt Engineering, Power Query, A/B Testing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Created a complete data pipeline using BigQuery and SQL to merge datasets of ~1 million tracks; performed exploratory data analysis identifying key engagement drivers across 50+ regions and generating 18+ data-backed insights into regional streaming patterns and content performance.</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social listening and streaming data into actionable visualizations (popularity trends, regional engagement patterns, content longevity dynamics), enabling content strategists and marketing teams to optimize release timing, playlist positioning, and regional go-to-market strategies.</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ML models on 113k transactions to identify top 10% performers within 7–14 days; engineered 9 features and achieved strong ROC-AUC using stratified k-fold cross-validation to forecast emerging trends.</w:t>
      </w:r>
    </w:p>
    <w:p>
      <w:pPr>
        <w:pStyle w:val="ListParagraph"/>
        <w:numPr>
          <w:ilvl w:val="0"/>
          <w:numId w:val="2"/>
        </w:numPr>
        <w:spacing w:after="20" w:before="20"/>
      </w:pPr>
      <w:r>
        <w:rPr>
          <w:rFonts w:ascii="Calibri" w:cs="Calibri" w:eastAsia="Calibri" w:hAnsi="Calibri"/>
          <w:color w:val="333333"/>
          <w:sz w:val="20"/>
          <w:szCs w:val="20"/>
        </w:rPr>
        <w:t xml:space="preserve">Segmented user and product trajectories into distinct behavior patterns ('Trending/Front-Loaded' vs. 'Late-Bloomer') and embedded a Power Query and AI-driven workflow to translate model predictions into actionable strategies, enabling faster identification of high-impact content and operational opportunities.</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Led a 5-member multidisciplinary team as Project Manager, cleaning and merging 185,000+ data entries from multiple sources using Pandas and NumPy to enable borough-level statistical and geospatial analyses identifying trends and patterns.</w:t>
      </w:r>
    </w:p>
    <w:p>
      <w:pPr>
        <w:pStyle w:val="ListParagraph"/>
        <w:numPr>
          <w:ilvl w:val="0"/>
          <w:numId w:val="2"/>
        </w:numPr>
        <w:spacing w:after="20" w:before="20"/>
      </w:pPr>
      <w:r>
        <w:rPr>
          <w:rFonts w:ascii="Calibri" w:cs="Calibri" w:eastAsia="Calibri" w:hAnsi="Calibri"/>
          <w:color w:val="333333"/>
          <w:sz w:val="20"/>
          <w:szCs w:val="20"/>
        </w:rPr>
        <w:t xml:space="preserve">Delivered 15+ data-driven visualizations using Matplotlib and Seaborn translating complex multi-source datasets into actionable insights for stakeholders, achieving a 99% evaluation score for analytical rigor and stakeholder impact.</w:t>
      </w:r>
    </w:p>
    <w:p>
      <w:pPr>
        <w:spacing w:after="0" w:before="20"/>
      </w:pPr>
    </w:p>
    <w:p>
      <w:pPr>
        <w:tabs>
          <w:tab w:val="right" w:pos="10512"/>
        </w:tabs>
        <w:spacing w:after="0" w:before="20"/>
      </w:pPr>
      <w:r>
        <w:rPr>
          <w:rFonts w:ascii="Calibri" w:cs="Calibri" w:eastAsia="Calibri" w:hAnsi="Calibri"/>
          <w:b/>
          <w:bCs/>
          <w:color w:val="2E5FA3"/>
          <w:sz w:val="22"/>
          <w:szCs w:val="22"/>
        </w:rPr>
        <w:t xml:space="preserve">Trustworthy AI in Healthcare: A Hospital/Pharmacy Supply-Chain Chatbot</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2026</w:t>
      </w:r>
    </w:p>
    <w:p>
      <w:pPr>
        <w:pStyle w:val="ListParagraph"/>
        <w:numPr>
          <w:ilvl w:val="0"/>
          <w:numId w:val="2"/>
        </w:numPr>
        <w:spacing w:after="20" w:before="20"/>
      </w:pPr>
      <w:r>
        <w:rPr>
          <w:rFonts w:ascii="Calibri" w:cs="Calibri" w:eastAsia="Calibri" w:hAnsi="Calibri"/>
          <w:color w:val="333333"/>
          <w:sz w:val="20"/>
          <w:szCs w:val="20"/>
        </w:rPr>
        <w:t xml:space="preserve">Led development of an AI chatbot integrating 6,383 guideline chunks and 200k+ data points into a single conversational interface using RAG and prompt engineering, reducing manual query resolution time from 15 minutes to under 10 seconds.</w:t>
      </w:r>
    </w:p>
    <w:p>
      <w:pPr>
        <w:pStyle w:val="ListParagraph"/>
        <w:numPr>
          <w:ilvl w:val="0"/>
          <w:numId w:val="2"/>
        </w:numPr>
        <w:spacing w:after="20" w:before="20"/>
      </w:pPr>
      <w:r>
        <w:rPr>
          <w:rFonts w:ascii="Calibri" w:cs="Calibri" w:eastAsia="Calibri" w:hAnsi="Calibri"/>
          <w:color w:val="333333"/>
          <w:sz w:val="20"/>
          <w:szCs w:val="20"/>
        </w:rPr>
        <w:t xml:space="preserve">Evaluated 3 production-style AI modes over 180 adversarial stress test runs with prompt-based optimization, instrumenting safety and accuracy guardrails to ensure trustworthy AI integration for frontline users.</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Extracted, cleaned, and transformed 3 years of industry contact data using Excel and data transformation techniques to build dashboards supporting engagement between 110+ students and 50+ company partners, demonstrating proficiency in data pipeline development and stakeholder support.</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2026-04-02T22:52:03.434Z</dcterms:created>
  <dcterms:modified xsi:type="dcterms:W3CDTF">2026-04-02T22:52:03.434Z</dcterms:modified>
</cp:coreProperties>
</file>

<file path=docProps/custom.xml><?xml version="1.0" encoding="utf-8"?>
<Properties xmlns="http://schemas.openxmlformats.org/officeDocument/2006/custom-properties" xmlns:vt="http://schemas.openxmlformats.org/officeDocument/2006/docPropsVTypes"/>
</file>