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data-driven strategy, stakeholder engagement, and cross-functional collaboration. Skilled at translating complex analyses into actionable insights and strategic recommendations for organizational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A/B Testing, Power Query,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strategic insights into New York City's public safety trends with a 99% evaluation score; presented 15+ data-backed visualizations and actionable recommendations for resource reallocation and operational optimization to key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Synthesized and standardized 185,000+ records across NYPD, EMS, and 911 data sources using Pandas and Python to identify crime hotspots and patterns, enabling borough-level strategic analysis that informed evidence-based recommendations for public safety improvements.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predictive analytics on 113k transactions to identify top 10% performers within 7–14 days, translating model insights into go-to-market strategy and revealing an 80/20 Pareto distribution that informed marketing and operations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 automated Power Query and DAX reporting workflow with Power Automate Teams alerts to track operational bottlenecks, enabling faster cross-functional response and continuous strategy refinement based on real-time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data pipeline merging 1 million+ tracks across 50+ regions using SQL and BigQuery; performed comprehensive exploratory analysis identifying 18+ popularity drivers and strategic insights for content strategy and market positioning.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regional and temporal patterns into actionable insights for content strategists and A&amp;R teams, enabling data-driven optimization of release timing, regional marketing, and playlist strategy.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Compiled and transformed 3 years of industry contact data into strategic dashboards supporting seamless engagement between 110+ students and 50+ company partners, demonstrating ability to bridge organizational stakeholders and translate data into operational impact.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2026-04-03T01:32:44.165Z</dcterms:created>
  <dcterms:modified xsi:type="dcterms:W3CDTF">2026-04-03T01:32:44.165Z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