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A1A2E"/>
          <w:sz w:val="36"/>
          <w:szCs w:val="36"/>
        </w:rPr>
        <w:t xml:space="preserve">Ahrar Karim</w:t>
      </w:r>
    </w:p>
    <w:p>
      <w:pPr>
        <w:spacing w:after="0" w:before="0"/>
        <w:jc w:val="center"/>
      </w:pPr>
      <w:r>
        <w:rPr>
          <w:rFonts w:ascii="Calibri" w:cs="Calibri" w:eastAsia="Calibri" w:hAnsi="Calibri"/>
          <w:color w:val="666666"/>
          <w:sz w:val="18"/>
          <w:szCs w:val="18"/>
        </w:rPr>
        <w:t xml:space="preserve">617-858-9199  |  ahrar@bu.edu  |  Boston, MA  |  linkedin: ahrarkarim  |  github: ahrarkarim</w:t>
      </w:r>
    </w:p>
    <w:p>
      <w:pPr>
        <w:spacing w:after="0" w:before="60"/>
      </w:pPr>
    </w:p>
    <w:p>
      <w:pPr>
        <w:pBdr>
          <w:bottom w:val="single" w:color="2E5FA3" w:sz="8" w:space="2"/>
        </w:pBdr>
        <w:spacing w:after="40" w:before="140"/>
      </w:pPr>
      <w:r>
        <w:rPr>
          <w:rFonts w:ascii="Calibri" w:cs="Calibri" w:eastAsia="Calibri" w:hAnsi="Calibri"/>
          <w:b/>
          <w:bCs/>
          <w:caps w:val="false"/>
          <w:color w:val="1A1A2E"/>
          <w:sz w:val="22"/>
          <w:szCs w:val="22"/>
        </w:rPr>
        <w:t xml:space="preserve">SUMMARY</w:t>
      </w:r>
    </w:p>
    <w:p>
      <w:pPr>
        <w:spacing w:after="20" w:before="60"/>
      </w:pPr>
      <w:r>
        <w:rPr>
          <w:rFonts w:ascii="Calibri" w:cs="Calibri" w:eastAsia="Calibri" w:hAnsi="Calibri"/>
          <w:i/>
          <w:iCs/>
          <w:color w:val="333333"/>
          <w:sz w:val="20"/>
          <w:szCs w:val="20"/>
        </w:rPr>
        <w:t xml:space="preserve">MS Business Analytics student with demonstrated expertise in building predictive ML models, designing data pipelines, and developing AI solutions for real-world business problems. Proven track record of translating complex data science work into actionable insights and production-grade systems.</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EDUCATION</w:t>
      </w:r>
    </w:p>
    <w:p>
      <w:pPr>
        <w:tabs>
          <w:tab w:val="right" w:pos="10512"/>
        </w:tabs>
        <w:spacing w:after="0" w:before="20"/>
      </w:pPr>
      <w:r>
        <w:rPr>
          <w:rFonts w:ascii="Calibri" w:cs="Calibri" w:eastAsia="Calibri" w:hAnsi="Calibri"/>
          <w:b/>
          <w:bCs/>
          <w:color w:val="2E5FA3"/>
          <w:sz w:val="22"/>
          <w:szCs w:val="22"/>
        </w:rPr>
        <w:t xml:space="preserve">Boston University, Questrom School of Business</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January 2027</w:t>
      </w:r>
    </w:p>
    <w:p>
      <w:pPr>
        <w:spacing w:after="20" w:before="0"/>
      </w:pPr>
      <w:r>
        <w:rPr>
          <w:rFonts w:ascii="Calibri" w:cs="Calibri" w:eastAsia="Calibri" w:hAnsi="Calibri"/>
          <w:color w:val="333333"/>
          <w:sz w:val="20"/>
          <w:szCs w:val="20"/>
        </w:rPr>
        <w:t xml:space="preserve">M.S. in Business Analytics  •  Boston, MA</w:t>
      </w:r>
    </w:p>
    <w:p>
      <w:pPr>
        <w:tabs>
          <w:tab w:val="right" w:pos="10512"/>
        </w:tabs>
        <w:spacing w:after="0" w:before="20"/>
      </w:pPr>
      <w:r>
        <w:rPr>
          <w:rFonts w:ascii="Calibri" w:cs="Calibri" w:eastAsia="Calibri" w:hAnsi="Calibri"/>
          <w:b/>
          <w:bCs/>
          <w:color w:val="2E5FA3"/>
          <w:sz w:val="22"/>
          <w:szCs w:val="22"/>
        </w:rPr>
        <w:t xml:space="preserve">VIT University (Vellore Institute of Technology)</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June 2024</w:t>
      </w:r>
    </w:p>
    <w:p>
      <w:pPr>
        <w:spacing w:after="20" w:before="0"/>
      </w:pPr>
      <w:r>
        <w:rPr>
          <w:rFonts w:ascii="Calibri" w:cs="Calibri" w:eastAsia="Calibri" w:hAnsi="Calibri"/>
          <w:color w:val="333333"/>
          <w:sz w:val="20"/>
          <w:szCs w:val="20"/>
        </w:rPr>
        <w:t xml:space="preserve">B.Tech in Computer Science and Engineering  •  Vellore, India</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SKILLS</w:t>
      </w:r>
    </w:p>
    <w:p>
      <w:pPr>
        <w:spacing w:after="20" w:before="30"/>
      </w:pPr>
      <w:r>
        <w:rPr>
          <w:rFonts w:ascii="Calibri" w:cs="Calibri" w:eastAsia="Calibri" w:hAnsi="Calibri"/>
          <w:b/>
          <w:bCs/>
          <w:color w:val="333333"/>
          <w:sz w:val="20"/>
          <w:szCs w:val="20"/>
        </w:rPr>
        <w:t xml:space="preserve">Data Visualization: </w:t>
      </w:r>
      <w:r>
        <w:rPr>
          <w:rFonts w:ascii="Calibri" w:cs="Calibri" w:eastAsia="Calibri" w:hAnsi="Calibri"/>
          <w:color w:val="333333"/>
          <w:sz w:val="20"/>
          <w:szCs w:val="20"/>
        </w:rPr>
        <w:t xml:space="preserve">Tableau, Microsoft Power BI, DAX</w:t>
      </w:r>
    </w:p>
    <w:p>
      <w:pPr>
        <w:spacing w:after="20" w:before="30"/>
      </w:pPr>
      <w:r>
        <w:rPr>
          <w:rFonts w:ascii="Calibri" w:cs="Calibri" w:eastAsia="Calibri" w:hAnsi="Calibri"/>
          <w:b/>
          <w:bCs/>
          <w:color w:val="333333"/>
          <w:sz w:val="20"/>
          <w:szCs w:val="20"/>
        </w:rPr>
        <w:t xml:space="preserve">Programming: </w:t>
      </w:r>
      <w:r>
        <w:rPr>
          <w:rFonts w:ascii="Calibri" w:cs="Calibri" w:eastAsia="Calibri" w:hAnsi="Calibri"/>
          <w:color w:val="333333"/>
          <w:sz w:val="20"/>
          <w:szCs w:val="20"/>
        </w:rPr>
        <w:t xml:space="preserve">Python, Scikit-learn, NumPy, Pandas, SQL, Matplotlib, Seaborn</w:t>
      </w:r>
    </w:p>
    <w:p>
      <w:pPr>
        <w:spacing w:after="20" w:before="30"/>
      </w:pPr>
      <w:r>
        <w:rPr>
          <w:rFonts w:ascii="Calibri" w:cs="Calibri" w:eastAsia="Calibri" w:hAnsi="Calibri"/>
          <w:b/>
          <w:bCs/>
          <w:color w:val="333333"/>
          <w:sz w:val="20"/>
          <w:szCs w:val="20"/>
        </w:rPr>
        <w:t xml:space="preserve">Tools &amp; Methods: </w:t>
      </w:r>
      <w:r>
        <w:rPr>
          <w:rFonts w:ascii="Calibri" w:cs="Calibri" w:eastAsia="Calibri" w:hAnsi="Calibri"/>
          <w:color w:val="333333"/>
          <w:sz w:val="20"/>
          <w:szCs w:val="20"/>
        </w:rPr>
        <w:t xml:space="preserve">GCP BigQuery, RAG, Prompt Engineering, A/B Testing, Power Query, Power Automate</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PROJECTS</w:t>
      </w:r>
    </w:p>
    <w:p>
      <w:pPr>
        <w:tabs>
          <w:tab w:val="right" w:pos="10512"/>
        </w:tabs>
        <w:spacing w:after="0" w:before="20"/>
      </w:pPr>
      <w:r>
        <w:rPr>
          <w:rFonts w:ascii="Calibri" w:cs="Calibri" w:eastAsia="Calibri" w:hAnsi="Calibri"/>
          <w:b/>
          <w:bCs/>
          <w:color w:val="2E5FA3"/>
          <w:sz w:val="22"/>
          <w:szCs w:val="22"/>
        </w:rPr>
        <w:t xml:space="preserve">Trustworthy AI in Healthcare: A Hospital/Pharmacy Supply-Chain Chatbot</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January 2026</w:t>
      </w:r>
    </w:p>
    <w:p>
      <w:pPr>
        <w:pStyle w:val="ListParagraph"/>
        <w:numPr>
          <w:ilvl w:val="0"/>
          <w:numId w:val="2"/>
        </w:numPr>
        <w:spacing w:after="20" w:before="20"/>
      </w:pPr>
      <w:r>
        <w:rPr>
          <w:rFonts w:ascii="Calibri" w:cs="Calibri" w:eastAsia="Calibri" w:hAnsi="Calibri"/>
          <w:color w:val="333333"/>
          <w:sz w:val="20"/>
          <w:szCs w:val="20"/>
        </w:rPr>
        <w:t xml:space="preserve">Developed an AI-powered chatbot integrating 6,383 guideline chunks from FDA Orange Book, ASHP guidelines, and RxNorm API across 80 inventory locations into a single conversational interface using RAG and prompt engineering; reduced manual query resolution time from 15 minutes to under 10 seconds.</w:t>
      </w:r>
    </w:p>
    <w:p>
      <w:pPr>
        <w:pStyle w:val="ListParagraph"/>
        <w:numPr>
          <w:ilvl w:val="0"/>
          <w:numId w:val="2"/>
        </w:numPr>
        <w:spacing w:after="20" w:before="20"/>
      </w:pPr>
      <w:r>
        <w:rPr>
          <w:rFonts w:ascii="Calibri" w:cs="Calibri" w:eastAsia="Calibri" w:hAnsi="Calibri"/>
          <w:color w:val="333333"/>
          <w:sz w:val="20"/>
          <w:szCs w:val="20"/>
        </w:rPr>
        <w:t xml:space="preserve">Evaluated 3 production-style AI modes (retrieval-only, RAG, and LLM-only) across 180 adversarial and ambiguity stress tests with 30 prompts and multiple temperatures, instrumenting safety guardrails for inventory, drug substitution, and cost queries to ensure trustworthy AI deployment for clinical users.</w:t>
      </w:r>
    </w:p>
    <w:p>
      <w:pPr>
        <w:spacing w:after="0" w:before="20"/>
      </w:pPr>
    </w:p>
    <w:p>
      <w:pPr>
        <w:tabs>
          <w:tab w:val="right" w:pos="10512"/>
        </w:tabs>
        <w:spacing w:after="0" w:before="20"/>
      </w:pPr>
      <w:r>
        <w:rPr>
          <w:rFonts w:ascii="Calibri" w:cs="Calibri" w:eastAsia="Calibri" w:hAnsi="Calibri"/>
          <w:b/>
          <w:bCs/>
          <w:color w:val="2E5FA3"/>
          <w:sz w:val="22"/>
          <w:szCs w:val="22"/>
        </w:rPr>
        <w:t xml:space="preserve">Early Momentum Forecasting on Olist e-commerce Marketplace</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December 2025</w:t>
      </w:r>
    </w:p>
    <w:p>
      <w:pPr>
        <w:pStyle w:val="ListParagraph"/>
        <w:numPr>
          <w:ilvl w:val="0"/>
          <w:numId w:val="2"/>
        </w:numPr>
        <w:spacing w:after="20" w:before="20"/>
      </w:pPr>
      <w:r>
        <w:rPr>
          <w:rFonts w:ascii="Calibri" w:cs="Calibri" w:eastAsia="Calibri" w:hAnsi="Calibri"/>
          <w:color w:val="333333"/>
          <w:sz w:val="20"/>
          <w:szCs w:val="20"/>
        </w:rPr>
        <w:t xml:space="preserve">Built 5 predictive machine learning models on 113k transactions to identify top 10% bestsellers within 7–14 days; engineered 9 features and achieved strong ROC-AUC and balanced accuracy using stratified k-fold cross-validation to drive go-to-market strategy.</w:t>
      </w:r>
    </w:p>
    <w:p>
      <w:pPr>
        <w:pStyle w:val="ListParagraph"/>
        <w:numPr>
          <w:ilvl w:val="0"/>
          <w:numId w:val="2"/>
        </w:numPr>
        <w:spacing w:after="20" w:before="20"/>
      </w:pPr>
      <w:r>
        <w:rPr>
          <w:rFonts w:ascii="Calibri" w:cs="Calibri" w:eastAsia="Calibri" w:hAnsi="Calibri"/>
          <w:color w:val="333333"/>
          <w:sz w:val="20"/>
          <w:szCs w:val="20"/>
        </w:rPr>
        <w:t xml:space="preserve">Segmented product trajectories into 'Trending/Front-Loaded' vs. 'Late-Bloomer' patterns and validated business hypothesis by revealing an 80/20 Pareto distribution, translating model predictions into actionable strategies for marketing and operations teams.</w:t>
      </w:r>
    </w:p>
    <w:p>
      <w:pPr>
        <w:spacing w:after="0" w:before="20"/>
      </w:pPr>
    </w:p>
    <w:p>
      <w:pPr>
        <w:tabs>
          <w:tab w:val="right" w:pos="10512"/>
        </w:tabs>
        <w:spacing w:after="0" w:before="20"/>
      </w:pPr>
      <w:r>
        <w:rPr>
          <w:rFonts w:ascii="Calibri" w:cs="Calibri" w:eastAsia="Calibri" w:hAnsi="Calibri"/>
          <w:b/>
          <w:bCs/>
          <w:color w:val="2E5FA3"/>
          <w:sz w:val="22"/>
          <w:szCs w:val="22"/>
        </w:rPr>
        <w:t xml:space="preserve">Spotify Music Streaming Analysis</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November 2025</w:t>
      </w:r>
    </w:p>
    <w:p>
      <w:pPr>
        <w:pStyle w:val="ListParagraph"/>
        <w:numPr>
          <w:ilvl w:val="0"/>
          <w:numId w:val="2"/>
        </w:numPr>
        <w:spacing w:after="20" w:before="20"/>
      </w:pPr>
      <w:r>
        <w:rPr>
          <w:rFonts w:ascii="Calibri" w:cs="Calibri" w:eastAsia="Calibri" w:hAnsi="Calibri"/>
          <w:color w:val="333333"/>
          <w:sz w:val="20"/>
          <w:szCs w:val="20"/>
        </w:rPr>
        <w:t xml:space="preserve">Designed a complete data pipeline using BigQuery and SQL to merge ~1 million tracks; performed exploratory data analysis identifying key popularity drivers across 50+ regions, generating 18+ data-backed insights for content strategy optimization.</w:t>
      </w:r>
    </w:p>
    <w:p>
      <w:pPr>
        <w:pStyle w:val="ListParagraph"/>
        <w:numPr>
          <w:ilvl w:val="0"/>
          <w:numId w:val="2"/>
        </w:numPr>
        <w:spacing w:after="20" w:before="20"/>
      </w:pPr>
      <w:r>
        <w:rPr>
          <w:rFonts w:ascii="Calibri" w:cs="Calibri" w:eastAsia="Calibri" w:hAnsi="Calibri"/>
          <w:color w:val="333333"/>
          <w:sz w:val="20"/>
          <w:szCs w:val="20"/>
        </w:rPr>
        <w:t xml:space="preserve">Built 2 interactive Tableau dashboards translating multi-dimensional analysis into actionable visualizations (popularity trends, regional patterns, chart longevity, content trade-offs), enabling content strategists to optimize release timing and regional marketing decisions.</w:t>
      </w:r>
    </w:p>
    <w:p>
      <w:pPr>
        <w:spacing w:after="0" w:before="20"/>
      </w:pPr>
    </w:p>
    <w:p>
      <w:pPr>
        <w:tabs>
          <w:tab w:val="right" w:pos="10512"/>
        </w:tabs>
        <w:spacing w:after="0" w:before="20"/>
      </w:pPr>
      <w:r>
        <w:rPr>
          <w:rFonts w:ascii="Calibri" w:cs="Calibri" w:eastAsia="Calibri" w:hAnsi="Calibri"/>
          <w:b/>
          <w:bCs/>
          <w:color w:val="2E5FA3"/>
          <w:sz w:val="22"/>
          <w:szCs w:val="22"/>
        </w:rPr>
        <w:t xml:space="preserve">Analysis of Crime and EMS Response Patterns in New York City</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October 2025</w:t>
      </w:r>
    </w:p>
    <w:p>
      <w:pPr>
        <w:pStyle w:val="ListParagraph"/>
        <w:numPr>
          <w:ilvl w:val="0"/>
          <w:numId w:val="2"/>
        </w:numPr>
        <w:spacing w:after="20" w:before="20"/>
      </w:pPr>
      <w:r>
        <w:rPr>
          <w:rFonts w:ascii="Calibri" w:cs="Calibri" w:eastAsia="Calibri" w:hAnsi="Calibri"/>
          <w:color w:val="333333"/>
          <w:sz w:val="20"/>
          <w:szCs w:val="20"/>
        </w:rPr>
        <w:t xml:space="preserve">Cleaned, merged, and standardized 185,000+ records (29k shooting, 11k emergency, 143k arrest entries) using Pandas and NumPy, enabling borough-level statistical and geospatial analyses to identify crime hotspots and uncover underlying public safety patterns.</w:t>
      </w:r>
    </w:p>
    <w:p>
      <w:pPr>
        <w:pStyle w:val="ListParagraph"/>
        <w:numPr>
          <w:ilvl w:val="0"/>
          <w:numId w:val="2"/>
        </w:numPr>
        <w:spacing w:after="20" w:before="20"/>
      </w:pPr>
      <w:r>
        <w:rPr>
          <w:rFonts w:ascii="Calibri" w:cs="Calibri" w:eastAsia="Calibri" w:hAnsi="Calibri"/>
          <w:color w:val="333333"/>
          <w:sz w:val="20"/>
          <w:szCs w:val="20"/>
        </w:rPr>
        <w:t xml:space="preserve">Led a 5-member team to deliver data-backed insights into NYC's public safety trends, presenting 15+ visualizations with Matplotlib and Seaborn to stakeholders and achieving a 99% evaluation score for actionable recommendations on resource reallocation and response optimization.</w:t>
      </w:r>
    </w:p>
    <w:p>
      <w:pPr>
        <w:spacing w:after="0" w:before="20"/>
      </w:pPr>
    </w:p>
    <w:p>
      <w:pPr>
        <w:pBdr>
          <w:bottom w:val="single" w:color="2E5FA3" w:sz="8" w:space="2"/>
        </w:pBdr>
        <w:spacing w:after="40" w:before="140"/>
      </w:pPr>
      <w:r>
        <w:rPr>
          <w:rFonts w:ascii="Calibri" w:cs="Calibri" w:eastAsia="Calibri" w:hAnsi="Calibri"/>
          <w:b/>
          <w:bCs/>
          <w:caps w:val="false"/>
          <w:color w:val="1A1A2E"/>
          <w:sz w:val="22"/>
          <w:szCs w:val="22"/>
        </w:rPr>
        <w:t xml:space="preserve">WORK EXPERIENCE</w:t>
      </w:r>
    </w:p>
    <w:p>
      <w:pPr>
        <w:tabs>
          <w:tab w:val="right" w:pos="10512"/>
        </w:tabs>
        <w:spacing w:after="0" w:before="20"/>
      </w:pPr>
      <w:r>
        <w:rPr>
          <w:rFonts w:ascii="Calibri" w:cs="Calibri" w:eastAsia="Calibri" w:hAnsi="Calibri"/>
          <w:b/>
          <w:bCs/>
          <w:color w:val="2E5FA3"/>
          <w:sz w:val="22"/>
          <w:szCs w:val="22"/>
        </w:rPr>
        <w:t xml:space="preserve">Software Analyst Engineer</w:t>
      </w:r>
      <w:r>
        <w:rPr>
          <w:rFonts w:ascii="Calibri" w:cs="Calibri" w:eastAsia="Calibri" w:hAnsi="Calibri"/>
          <w:color w:val="333333"/>
          <w:sz w:val="22"/>
          <w:szCs w:val="22"/>
        </w:rPr>
        <w:t xml:space="preserve"> – mavQ</w:t>
      </w:r>
      <w:r>
        <w:rPr>
          <w:rFonts w:ascii="Calibri" w:cs="Calibri" w:eastAsia="Calibri" w:hAnsi="Calibri"/>
          <w:sz w:val="20"/>
          <w:szCs w:val="20"/>
        </w:rPr>
        <w:t xml:space="preserve">	</w:t>
      </w:r>
      <w:r>
        <w:rPr>
          <w:rFonts w:ascii="Calibri" w:cs="Calibri" w:eastAsia="Calibri" w:hAnsi="Calibri"/>
          <w:color w:val="666666"/>
          <w:sz w:val="20"/>
          <w:szCs w:val="20"/>
        </w:rPr>
        <w:t xml:space="preserve">January 2024 – November 2024</w:t>
      </w:r>
    </w:p>
    <w:p>
      <w:pPr>
        <w:pStyle w:val="ListParagraph"/>
        <w:numPr>
          <w:ilvl w:val="0"/>
          <w:numId w:val="2"/>
        </w:numPr>
        <w:spacing w:after="20" w:before="20"/>
      </w:pPr>
      <w:r>
        <w:rPr>
          <w:rFonts w:ascii="Calibri" w:cs="Calibri" w:eastAsia="Calibri" w:hAnsi="Calibri"/>
          <w:color w:val="333333"/>
          <w:sz w:val="20"/>
          <w:szCs w:val="20"/>
        </w:rPr>
        <w:t xml:space="preserve">Engineered production-grade test data with 1,000+ annotated samples and implemented validation protocols establishing accuracy benchmarks; guided model selection and accelerated time-to-production by 2 weeks.</w:t>
      </w:r>
    </w:p>
    <w:p>
      <w:pPr>
        <w:spacing w:after="0" w:before="20"/>
      </w:pPr>
    </w:p>
    <w:sectPr>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2026-04-02T22:50:06.051Z</dcterms:created>
  <dcterms:modified xsi:type="dcterms:W3CDTF">2026-04-02T22:50:06.051Z</dcterms:modified>
</cp:coreProperties>
</file>

<file path=docProps/custom.xml><?xml version="1.0" encoding="utf-8"?>
<Properties xmlns="http://schemas.openxmlformats.org/officeDocument/2006/custom-properties" xmlns:vt="http://schemas.openxmlformats.org/officeDocument/2006/docPropsVTypes"/>
</file>