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MS Business Analytics student with demonstrated expertise in data quality frameworks, governance metrics, and executive dashboards across complex multi-domain datasets. Experienced in building data pipelines, establishing trust indicators, and translating governance requirements into actionable business intelligence for cross-functional stakeholders.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DAX, Excel</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Pandas, NumPy</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Power Query, A/B Testing, RAG, Prompt Engineering</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Created a complete data pipeline using BigQuery and SQL to merge datasets of ~1 million tracks and establish data quality standards; performed comprehensive exploratory analysis identifying key quality drivers across 50+ regions and generating 18+ data-backed insights for governance decision-making.</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data quality and trust indicators into executive-ready visualizations (popularity trends, regional patterns, content dynamics), enabling stakeholders to monitor governance metrics, SLA performance, and trust scorecards across commercial data domains.</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Engineered data governance and quality frameworks on 113k transactions by implementing Power Query transformations and DAX calculations to validate data trust; created 9 feature-level data quality checks achieving balanced accuracy through stratified cross-validation.</w:t>
      </w:r>
    </w:p>
    <w:p>
      <w:pPr>
        <w:pStyle w:val="ListParagraph"/>
        <w:numPr>
          <w:ilvl w:val="0"/>
          <w:numId w:val="2"/>
        </w:numPr>
        <w:spacing w:after="20" w:before="20"/>
      </w:pPr>
      <w:r>
        <w:rPr>
          <w:rFonts w:ascii="Calibri" w:cs="Calibri" w:eastAsia="Calibri" w:hAnsi="Calibri"/>
          <w:color w:val="333333"/>
          <w:sz w:val="20"/>
          <w:szCs w:val="20"/>
        </w:rPr>
        <w:t xml:space="preserve">Developed Power Automate-driven governance workflows and executive dashboard using Power BI and DAX to track KPI metrics, identify data quality bottlenecks, and enable real-time SLA monitoring across operations and marketing stakeholders.</w:t>
      </w:r>
    </w:p>
    <w:p>
      <w:pPr>
        <w:spacing w:after="0" w:before="20"/>
      </w:pP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Established data quality and trust frameworks by cleaning, merging, and standardizing 29k shooting, 11k emergency, and 143k arrest records (185k+ total entries) across multiple domains using Pandas and NumPy; achieved 99% evaluation score for delivering governance-backed insights enabling resource optimization and SLA performance improvements.</w:t>
      </w:r>
    </w:p>
    <w:p>
      <w:pPr>
        <w:pStyle w:val="ListParagraph"/>
        <w:numPr>
          <w:ilvl w:val="0"/>
          <w:numId w:val="2"/>
        </w:numPr>
        <w:spacing w:after="20" w:before="20"/>
      </w:pPr>
      <w:r>
        <w:rPr>
          <w:rFonts w:ascii="Calibri" w:cs="Calibri" w:eastAsia="Calibri" w:hAnsi="Calibri"/>
          <w:color w:val="333333"/>
          <w:sz w:val="20"/>
          <w:szCs w:val="20"/>
        </w:rPr>
        <w:t xml:space="preserve">Designed 15+ governance visualizations using Matplotlib and Seaborn to communicate data quality metrics, trust indicators, and domain-specific trends to executive stakeholders, translating complex governance challenges into actionable recommendations.</w:t>
      </w:r>
    </w:p>
    <w:p>
      <w:pPr>
        <w:spacing w:after="0" w:before="20"/>
      </w:pPr>
    </w:p>
    <w:p>
      <w:pPr>
        <w:tabs>
          <w:tab w:val="right" w:pos="10512"/>
        </w:tabs>
        <w:spacing w:after="0" w:before="20"/>
      </w:pPr>
      <w:r>
        <w:rPr>
          <w:rFonts w:ascii="Calibri" w:cs="Calibri" w:eastAsia="Calibri" w:hAnsi="Calibri"/>
          <w:b/>
          <w:bCs/>
          <w:color w:val="2E5FA3"/>
          <w:sz w:val="22"/>
          <w:szCs w:val="22"/>
        </w:rPr>
        <w:t xml:space="preserve">Trustworthy AI in Healthcare: A Hospital/Pharmacy Supply-Chain Chatbot</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2026</w:t>
      </w:r>
    </w:p>
    <w:p>
      <w:pPr>
        <w:pStyle w:val="ListParagraph"/>
        <w:numPr>
          <w:ilvl w:val="0"/>
          <w:numId w:val="2"/>
        </w:numPr>
        <w:spacing w:after="20" w:before="20"/>
      </w:pPr>
      <w:r>
        <w:rPr>
          <w:rFonts w:ascii="Calibri" w:cs="Calibri" w:eastAsia="Calibri" w:hAnsi="Calibri"/>
          <w:color w:val="333333"/>
          <w:sz w:val="20"/>
          <w:szCs w:val="20"/>
        </w:rPr>
        <w:t xml:space="preserve">Advanced AI governance readiness by evaluating 3 production-grade modes over 180 adversarial stress test runs across 30 prompts, instrumenting safety guardrails and data governance controls for inventory, drug substitution, and cost queries while assessing trust frameworks across 6,383 regulatory and operational data assets.</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Built data governance and ETL pipelines by extracting, cleaning, and transforming 3 years of industry contact data; designed dashboards displaying data quality metrics and KPIs on industry-facing platforms, supporting seamless engagement with 110+ students and company partners while establishing data trust and accuracy standards.</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2026-04-02T22:51:31.626Z</dcterms:created>
  <dcterms:modified xsi:type="dcterms:W3CDTF">2026-04-02T22:51:31.626Z</dcterms:modified>
</cp:coreProperties>
</file>

<file path=docProps/custom.xml><?xml version="1.0" encoding="utf-8"?>
<Properties xmlns="http://schemas.openxmlformats.org/officeDocument/2006/custom-properties" xmlns:vt="http://schemas.openxmlformats.org/officeDocument/2006/docPropsVTypes"/>
</file>