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A1A2E"/>
          <w:sz w:val="36"/>
          <w:szCs w:val="36"/>
        </w:rPr>
        <w:t xml:space="preserve">Ahrar Karim</w:t>
      </w:r>
    </w:p>
    <w:p>
      <w:pPr>
        <w:spacing w:after="0" w:before="0"/>
        <w:jc w:val="center"/>
      </w:pPr>
      <w:r>
        <w:rPr>
          <w:rFonts w:ascii="Calibri" w:cs="Calibri" w:eastAsia="Calibri" w:hAnsi="Calibri"/>
          <w:color w:val="666666"/>
          <w:sz w:val="18"/>
          <w:szCs w:val="18"/>
        </w:rPr>
        <w:t xml:space="preserve">617-858-9199  |  ahrar@bu.edu  |  Boston, MA  |  linkedin: ahrarkarim  |  github: ahrarkarim</w:t>
      </w:r>
    </w:p>
    <w:p>
      <w:pPr>
        <w:spacing w:after="0" w:before="60"/>
      </w:pPr>
    </w:p>
    <w:p>
      <w:pPr>
        <w:pBdr>
          <w:bottom w:val="single" w:color="2E5FA3" w:sz="8" w:space="2"/>
        </w:pBdr>
        <w:spacing w:after="40" w:before="140"/>
      </w:pPr>
      <w:r>
        <w:rPr>
          <w:rFonts w:ascii="Calibri" w:cs="Calibri" w:eastAsia="Calibri" w:hAnsi="Calibri"/>
          <w:b/>
          <w:bCs/>
          <w:caps w:val="false"/>
          <w:color w:val="1A1A2E"/>
          <w:sz w:val="22"/>
          <w:szCs w:val="22"/>
        </w:rPr>
        <w:t xml:space="preserve">SUMMARY</w:t>
      </w:r>
    </w:p>
    <w:p>
      <w:pPr>
        <w:spacing w:after="20" w:before="60"/>
      </w:pPr>
      <w:r>
        <w:rPr>
          <w:rFonts w:ascii="Calibri" w:cs="Calibri" w:eastAsia="Calibri" w:hAnsi="Calibri"/>
          <w:i/>
          <w:iCs/>
          <w:color w:val="333333"/>
          <w:sz w:val="20"/>
          <w:szCs w:val="20"/>
        </w:rPr>
        <w:t xml:space="preserve">MS Business Analytics student with expertise in data-driven product strategy, AI safety evaluation, and cross-functional stakeholder engagement. Proven track record building machine learning solutions, designing actionable dashboards, and translating complex data insights into business impact for product and operations teams.</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EDUCATION</w:t>
      </w:r>
    </w:p>
    <w:p>
      <w:pPr>
        <w:tabs>
          <w:tab w:val="right" w:pos="10512"/>
        </w:tabs>
        <w:spacing w:after="0" w:before="20"/>
      </w:pPr>
      <w:r>
        <w:rPr>
          <w:rFonts w:ascii="Calibri" w:cs="Calibri" w:eastAsia="Calibri" w:hAnsi="Calibri"/>
          <w:b/>
          <w:bCs/>
          <w:color w:val="2E5FA3"/>
          <w:sz w:val="22"/>
          <w:szCs w:val="22"/>
        </w:rPr>
        <w:t xml:space="preserve">Boston University, Questrom School of Business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2027</w:t>
      </w:r>
    </w:p>
    <w:p>
      <w:pPr>
        <w:spacing w:after="20" w:before="0"/>
      </w:pPr>
      <w:r>
        <w:rPr>
          <w:rFonts w:ascii="Calibri" w:cs="Calibri" w:eastAsia="Calibri" w:hAnsi="Calibri"/>
          <w:color w:val="333333"/>
          <w:sz w:val="20"/>
          <w:szCs w:val="20"/>
        </w:rPr>
        <w:t xml:space="preserve">M.S. in Business Analytics  •  Boston, MA</w:t>
      </w:r>
    </w:p>
    <w:p>
      <w:pPr>
        <w:tabs>
          <w:tab w:val="right" w:pos="10512"/>
        </w:tabs>
        <w:spacing w:after="0" w:before="20"/>
      </w:pPr>
      <w:r>
        <w:rPr>
          <w:rFonts w:ascii="Calibri" w:cs="Calibri" w:eastAsia="Calibri" w:hAnsi="Calibri"/>
          <w:b/>
          <w:bCs/>
          <w:color w:val="2E5FA3"/>
          <w:sz w:val="22"/>
          <w:szCs w:val="22"/>
        </w:rPr>
        <w:t xml:space="preserve">VIT University (Vellore Institute of Technology)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June 2024</w:t>
      </w:r>
    </w:p>
    <w:p>
      <w:pPr>
        <w:spacing w:after="20" w:before="0"/>
      </w:pPr>
      <w:r>
        <w:rPr>
          <w:rFonts w:ascii="Calibri" w:cs="Calibri" w:eastAsia="Calibri" w:hAnsi="Calibri"/>
          <w:color w:val="333333"/>
          <w:sz w:val="20"/>
          <w:szCs w:val="20"/>
        </w:rPr>
        <w:t xml:space="preserve">B.Tech in Computer Science and Engineering  •  Vellore, India</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SKILLS</w:t>
      </w:r>
    </w:p>
    <w:p>
      <w:pPr>
        <w:spacing w:after="20" w:before="30"/>
      </w:pPr>
      <w:r>
        <w:rPr>
          <w:rFonts w:ascii="Calibri" w:cs="Calibri" w:eastAsia="Calibri" w:hAnsi="Calibri"/>
          <w:b/>
          <w:bCs/>
          <w:color w:val="333333"/>
          <w:sz w:val="20"/>
          <w:szCs w:val="20"/>
        </w:rPr>
        <w:t xml:space="preserve">Data Visualization: </w:t>
      </w:r>
      <w:r>
        <w:rPr>
          <w:rFonts w:ascii="Calibri" w:cs="Calibri" w:eastAsia="Calibri" w:hAnsi="Calibri"/>
          <w:color w:val="333333"/>
          <w:sz w:val="20"/>
          <w:szCs w:val="20"/>
        </w:rPr>
        <w:t xml:space="preserve">Tableau, Microsoft Power BI, DAX, Power Query</w:t>
      </w:r>
    </w:p>
    <w:p>
      <w:pPr>
        <w:spacing w:after="20" w:before="30"/>
      </w:pPr>
      <w:r>
        <w:rPr>
          <w:rFonts w:ascii="Calibri" w:cs="Calibri" w:eastAsia="Calibri" w:hAnsi="Calibri"/>
          <w:b/>
          <w:bCs/>
          <w:color w:val="333333"/>
          <w:sz w:val="20"/>
          <w:szCs w:val="20"/>
        </w:rPr>
        <w:t xml:space="preserve">Programming: </w:t>
      </w:r>
      <w:r>
        <w:rPr>
          <w:rFonts w:ascii="Calibri" w:cs="Calibri" w:eastAsia="Calibri" w:hAnsi="Calibri"/>
          <w:color w:val="333333"/>
          <w:sz w:val="20"/>
          <w:szCs w:val="20"/>
        </w:rPr>
        <w:t xml:space="preserve">Python, SQL, Scikit-learn, Pandas, NumPy</w:t>
      </w:r>
    </w:p>
    <w:p>
      <w:pPr>
        <w:spacing w:after="20" w:before="30"/>
      </w:pPr>
      <w:r>
        <w:rPr>
          <w:rFonts w:ascii="Calibri" w:cs="Calibri" w:eastAsia="Calibri" w:hAnsi="Calibri"/>
          <w:b/>
          <w:bCs/>
          <w:color w:val="333333"/>
          <w:sz w:val="20"/>
          <w:szCs w:val="20"/>
        </w:rPr>
        <w:t xml:space="preserve">Tools &amp; Methods: </w:t>
      </w:r>
      <w:r>
        <w:rPr>
          <w:rFonts w:ascii="Calibri" w:cs="Calibri" w:eastAsia="Calibri" w:hAnsi="Calibri"/>
          <w:color w:val="333333"/>
          <w:sz w:val="20"/>
          <w:szCs w:val="20"/>
        </w:rPr>
        <w:t xml:space="preserve">RAG, Prompt Engineering, A/B Testing, GCP BigQuery, Power Automate</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PROJECTS</w:t>
      </w:r>
    </w:p>
    <w:p>
      <w:pPr>
        <w:tabs>
          <w:tab w:val="right" w:pos="10512"/>
        </w:tabs>
        <w:spacing w:after="0" w:before="20"/>
      </w:pPr>
      <w:r>
        <w:rPr>
          <w:rFonts w:ascii="Calibri" w:cs="Calibri" w:eastAsia="Calibri" w:hAnsi="Calibri"/>
          <w:b/>
          <w:bCs/>
          <w:color w:val="2E5FA3"/>
          <w:sz w:val="22"/>
          <w:szCs w:val="22"/>
        </w:rPr>
        <w:t xml:space="preserve">Trustworthy AI in Healthcare: A Hospital/Pharmacy Supply-Chain Chatbot</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2026</w:t>
      </w:r>
    </w:p>
    <w:p>
      <w:pPr>
        <w:pStyle w:val="ListParagraph"/>
        <w:numPr>
          <w:ilvl w:val="0"/>
          <w:numId w:val="2"/>
        </w:numPr>
        <w:spacing w:after="20" w:before="20"/>
      </w:pPr>
      <w:r>
        <w:rPr>
          <w:rFonts w:ascii="Calibri" w:cs="Calibri" w:eastAsia="Calibri" w:hAnsi="Calibri"/>
          <w:color w:val="333333"/>
          <w:sz w:val="20"/>
          <w:szCs w:val="20"/>
        </w:rPr>
        <w:t xml:space="preserve">Evaluated 3 production-style AI modes (retrieval-only, RAG, and LLM-only) over 180 adversarial and ambiguity stress test runs across 30 prompts and multiple temperatures, instrumenting safety guardrails for guardrails for inventory, drug substitution, and cost queries—directly applicable to monitoring and auditing agentic actions for trusted AI deployments.</w:t>
      </w:r>
    </w:p>
    <w:p>
      <w:pPr>
        <w:pStyle w:val="ListParagraph"/>
        <w:numPr>
          <w:ilvl w:val="0"/>
          <w:numId w:val="2"/>
        </w:numPr>
        <w:spacing w:after="20" w:before="20"/>
      </w:pPr>
      <w:r>
        <w:rPr>
          <w:rFonts w:ascii="Calibri" w:cs="Calibri" w:eastAsia="Calibri" w:hAnsi="Calibri"/>
          <w:color w:val="333333"/>
          <w:sz w:val="20"/>
          <w:szCs w:val="20"/>
        </w:rPr>
        <w:t xml:space="preserve">Led development of a conversational AI interface unifying 6,383 guideline chunks and 200k+ inventory lots across 80 locations, reducing manual query resolution from 15 minutes to under 10 seconds—demonstrating ability to translate complex data systems into user-facing product experiences.</w:t>
      </w:r>
    </w:p>
    <w:p>
      <w:pPr>
        <w:spacing w:after="0" w:before="20"/>
      </w:pPr>
    </w:p>
    <w:p>
      <w:pPr>
        <w:tabs>
          <w:tab w:val="right" w:pos="10512"/>
        </w:tabs>
        <w:spacing w:after="0" w:before="20"/>
      </w:pPr>
      <w:r>
        <w:rPr>
          <w:rFonts w:ascii="Calibri" w:cs="Calibri" w:eastAsia="Calibri" w:hAnsi="Calibri"/>
          <w:b/>
          <w:bCs/>
          <w:color w:val="2E5FA3"/>
          <w:sz w:val="22"/>
          <w:szCs w:val="22"/>
        </w:rPr>
        <w:t xml:space="preserve">Early Momentum Forecasting on Olist e-commerce Marketplace</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December 2025</w:t>
      </w:r>
    </w:p>
    <w:p>
      <w:pPr>
        <w:pStyle w:val="ListParagraph"/>
        <w:numPr>
          <w:ilvl w:val="0"/>
          <w:numId w:val="2"/>
        </w:numPr>
        <w:spacing w:after="20" w:before="20"/>
      </w:pPr>
      <w:r>
        <w:rPr>
          <w:rFonts w:ascii="Calibri" w:cs="Calibri" w:eastAsia="Calibri" w:hAnsi="Calibri"/>
          <w:color w:val="333333"/>
          <w:sz w:val="20"/>
          <w:szCs w:val="20"/>
        </w:rPr>
        <w:t xml:space="preserve">Built 5 predictive ML models on 113k transactions to identify top 10% bestsellers within 7–14 days, engineering 9 features and achieving strong ROC-AUC and balanced accuracy—demonstrating ability to translate machine learning into early-stage product performance signals.</w:t>
      </w:r>
    </w:p>
    <w:p>
      <w:pPr>
        <w:pStyle w:val="ListParagraph"/>
        <w:numPr>
          <w:ilvl w:val="0"/>
          <w:numId w:val="2"/>
        </w:numPr>
        <w:spacing w:after="20" w:before="20"/>
      </w:pPr>
      <w:r>
        <w:rPr>
          <w:rFonts w:ascii="Calibri" w:cs="Calibri" w:eastAsia="Calibri" w:hAnsi="Calibri"/>
          <w:color w:val="333333"/>
          <w:sz w:val="20"/>
          <w:szCs w:val="20"/>
        </w:rPr>
        <w:t xml:space="preserve">Segmented product trajectories into 'Trending/Front-Loaded' vs. 'Late-Bloomer' patterns and validated business hypothesis by revealing an 80/20 Pareto distribution, translating model predictions into actionable go-to-market strategies for marketing and operations teams while embedding Power Automate alerts into dashboards built with Power Query and DAX to enable faster identification of operational bottlenecks.</w:t>
      </w:r>
    </w:p>
    <w:p>
      <w:pPr>
        <w:spacing w:after="0" w:before="20"/>
      </w:pPr>
    </w:p>
    <w:p>
      <w:pPr>
        <w:tabs>
          <w:tab w:val="right" w:pos="10512"/>
        </w:tabs>
        <w:spacing w:after="0" w:before="20"/>
      </w:pPr>
      <w:r>
        <w:rPr>
          <w:rFonts w:ascii="Calibri" w:cs="Calibri" w:eastAsia="Calibri" w:hAnsi="Calibri"/>
          <w:b/>
          <w:bCs/>
          <w:color w:val="2E5FA3"/>
          <w:sz w:val="22"/>
          <w:szCs w:val="22"/>
        </w:rPr>
        <w:t xml:space="preserve">Spotify Music Streaming Analysis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November 2025</w:t>
      </w:r>
    </w:p>
    <w:p>
      <w:pPr>
        <w:pStyle w:val="ListParagraph"/>
        <w:numPr>
          <w:ilvl w:val="0"/>
          <w:numId w:val="2"/>
        </w:numPr>
        <w:spacing w:after="20" w:before="20"/>
      </w:pPr>
      <w:r>
        <w:rPr>
          <w:rFonts w:ascii="Calibri" w:cs="Calibri" w:eastAsia="Calibri" w:hAnsi="Calibri"/>
          <w:color w:val="333333"/>
          <w:sz w:val="20"/>
          <w:szCs w:val="20"/>
        </w:rPr>
        <w:t xml:space="preserve">Created a complete data pipeline using BigQuery and SQL to merge datasets of around 1 million tracks, performing EDA across 50+ regions to identify key drivers and generate 18+ data-backed insights—demonstrating proficiency in cloud-scale data engineering for security and operations analytics.</w:t>
      </w:r>
    </w:p>
    <w:p>
      <w:pPr>
        <w:pStyle w:val="ListParagraph"/>
        <w:numPr>
          <w:ilvl w:val="0"/>
          <w:numId w:val="2"/>
        </w:numPr>
        <w:spacing w:after="20" w:before="20"/>
      </w:pPr>
      <w:r>
        <w:rPr>
          <w:rFonts w:ascii="Calibri" w:cs="Calibri" w:eastAsia="Calibri" w:hAnsi="Calibri"/>
          <w:color w:val="333333"/>
          <w:sz w:val="20"/>
          <w:szCs w:val="20"/>
        </w:rPr>
        <w:t xml:space="preserve">Designed 2 interactive Tableau dashboards translating multi-dimensional analysis into actionable visualizations (popularity trends, regional patterns, chart longevity dynamics), enabling content strategists and A&amp;R teams to optimize release timing and regional strategy—showcasing ability to distill complex product data into executive-ready insights.</w:t>
      </w:r>
    </w:p>
    <w:p>
      <w:pPr>
        <w:spacing w:after="0" w:before="20"/>
      </w:pPr>
    </w:p>
    <w:p>
      <w:pPr>
        <w:pBdr>
          <w:bottom w:val="single" w:color="2E5FA3" w:sz="8" w:space="2"/>
        </w:pBdr>
        <w:spacing w:after="40" w:before="140"/>
      </w:pPr>
      <w:r>
        <w:rPr>
          <w:rFonts w:ascii="Calibri" w:cs="Calibri" w:eastAsia="Calibri" w:hAnsi="Calibri"/>
          <w:b/>
          <w:bCs/>
          <w:caps w:val="false"/>
          <w:color w:val="1A1A2E"/>
          <w:sz w:val="22"/>
          <w:szCs w:val="22"/>
        </w:rPr>
        <w:t xml:space="preserve">WORK EXPERIENCE</w:t>
      </w:r>
    </w:p>
    <w:p>
      <w:pPr>
        <w:tabs>
          <w:tab w:val="right" w:pos="10512"/>
        </w:tabs>
        <w:spacing w:after="0" w:before="20"/>
      </w:pPr>
      <w:r>
        <w:rPr>
          <w:rFonts w:ascii="Calibri" w:cs="Calibri" w:eastAsia="Calibri" w:hAnsi="Calibri"/>
          <w:b/>
          <w:bCs/>
          <w:color w:val="2E5FA3"/>
          <w:sz w:val="22"/>
          <w:szCs w:val="22"/>
        </w:rPr>
        <w:t xml:space="preserve">Software Analyst Engineer</w:t>
      </w:r>
      <w:r>
        <w:rPr>
          <w:rFonts w:ascii="Calibri" w:cs="Calibri" w:eastAsia="Calibri" w:hAnsi="Calibri"/>
          <w:color w:val="333333"/>
          <w:sz w:val="22"/>
          <w:szCs w:val="22"/>
        </w:rPr>
        <w:t xml:space="preserve"> – mavQ</w:t>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2024 – November 2024</w:t>
      </w:r>
    </w:p>
    <w:p>
      <w:pPr>
        <w:pStyle w:val="ListParagraph"/>
        <w:numPr>
          <w:ilvl w:val="0"/>
          <w:numId w:val="2"/>
        </w:numPr>
        <w:spacing w:after="20" w:before="20"/>
      </w:pPr>
      <w:r>
        <w:rPr>
          <w:rFonts w:ascii="Calibri" w:cs="Calibri" w:eastAsia="Calibri" w:hAnsi="Calibri"/>
          <w:color w:val="333333"/>
          <w:sz w:val="20"/>
          <w:szCs w:val="20"/>
        </w:rPr>
        <w:t xml:space="preserve">Engineered production-grade test data with 1,000+ annotated samples and implemented validation protocols establishing accuracy benchmarks, guiding model selection and accelerating time-to-production by 2 weeks—demonstrating hands-on experience with data quality and AI model evaluation in production environments.</w:t>
      </w:r>
    </w:p>
    <w:p>
      <w:pPr>
        <w:spacing w:after="0" w:before="20"/>
      </w:pP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2026-04-03T01:32:31.467Z</dcterms:created>
  <dcterms:modified xsi:type="dcterms:W3CDTF">2026-04-03T01:32:31.467Z</dcterms:modified>
</cp:coreProperties>
</file>

<file path=docProps/custom.xml><?xml version="1.0" encoding="utf-8"?>
<Properties xmlns="http://schemas.openxmlformats.org/officeDocument/2006/custom-properties" xmlns:vt="http://schemas.openxmlformats.org/officeDocument/2006/docPropsVTypes"/>
</file>