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with demonstrated expertise in building predictive models, data pipelines, and simulation-driven insights for complex operational challenges. Proven ability to architect scalable solutions that integrate models into production systems and translate analytical findings into actionable program recommendations.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DAX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SQL, Scikit-learn, NumPy, Pandas, Matplotlib, Seaborn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Prompt Engineering, A/B Testing, Power Automate, Power Query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machine learning models on 113k transactions to identify top 10% bestsellers within 7–14 days, engineering 9 features and achieving strong ROC-AUC and balanced accuracy using stratified k-fold cross-validation—demonstrating core modeling and simulation capabilities required for program management optimization.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Integrated model predictions into a production Power Automate workflow with Power Query and DAX to track operational performance and enable faster identification of bottlenecks, translating analytical outputs into modular, actionable insights for cross-functional teams.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 to deliver data-backed insights into public safety resource allocation and response optimization, achieving a 99% evaluation score by processing and analyzing 185,000+ records from NYPD, EMS, and 911 data.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 to enable borough-level statistical and geospatial analyses; delivered 15+ visualizations with Matplotlib and Seaborn to identify operational patterns and enable stakeholder-driven program recommendations.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~1 million tracks; performed exploratory data analysis across 50+ regions, generating 18+ data-backed insights into key drivers and operational patterns.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visualizations, enabling strategic teams to optimize decision-making through region-specific performance metrics and trend analysis.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weeks, demonstrating experience integrating models into operational systems.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2026-04-03T01:35:18.523Z</dcterms:created>
  <dcterms:modified xsi:type="dcterms:W3CDTF">2026-04-03T01:35:18.523Z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