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979623</wp:posOffset>
                </wp:positionH>
                <wp:positionV relativeFrom="paragraph">
                  <wp:posOffset>22225</wp:posOffset>
                </wp:positionV>
                <wp:extent cx="4253865" cy="593271"/>
                <wp:effectExtent b="0" l="0" r="0" t="0"/>
                <wp:wrapNone/>
                <wp:docPr id="8" name=""/>
                <a:graphic>
                  <a:graphicData uri="http://schemas.microsoft.com/office/word/2010/wordprocessingGroup">
                    <wpg:wgp>
                      <wpg:cNvGrpSpPr/>
                      <wpg:grpSpPr>
                        <a:xfrm>
                          <a:off x="3219050" y="3483350"/>
                          <a:ext cx="4253865" cy="593271"/>
                          <a:chOff x="3219050" y="3483350"/>
                          <a:chExt cx="4253900" cy="593300"/>
                        </a:xfrm>
                      </wpg:grpSpPr>
                      <wpg:grpSp>
                        <wpg:cNvGrpSpPr/>
                        <wpg:grpSpPr>
                          <a:xfrm>
                            <a:off x="3219068" y="3483365"/>
                            <a:ext cx="4253865" cy="593271"/>
                            <a:chOff x="3219050" y="3483350"/>
                            <a:chExt cx="4253900" cy="593300"/>
                          </a:xfrm>
                        </wpg:grpSpPr>
                        <wps:wsp>
                          <wps:cNvSpPr/>
                          <wps:cNvPr id="3" name="Shape 3"/>
                          <wps:spPr>
                            <a:xfrm>
                              <a:off x="3219050" y="3483350"/>
                              <a:ext cx="4253900" cy="59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19068" y="3483365"/>
                              <a:ext cx="4253865" cy="593271"/>
                              <a:chOff x="0" y="0"/>
                              <a:chExt cx="4253865" cy="593271"/>
                            </a:xfrm>
                          </wpg:grpSpPr>
                          <wps:wsp>
                            <wps:cNvSpPr/>
                            <wps:cNvPr id="5" name="Shape 5"/>
                            <wps:spPr>
                              <a:xfrm>
                                <a:off x="0" y="0"/>
                                <a:ext cx="4253850" cy="59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9">
                                <a:alphaModFix/>
                              </a:blip>
                              <a:srcRect b="0" l="0" r="0" t="0"/>
                              <a:stretch/>
                            </pic:blipFill>
                            <pic:spPr>
                              <a:xfrm>
                                <a:off x="0" y="0"/>
                                <a:ext cx="1248410" cy="522605"/>
                              </a:xfrm>
                              <a:prstGeom prst="rect">
                                <a:avLst/>
                              </a:prstGeom>
                              <a:noFill/>
                              <a:ln>
                                <a:noFill/>
                              </a:ln>
                            </pic:spPr>
                          </pic:pic>
                          <pic:pic>
                            <pic:nvPicPr>
                              <pic:cNvPr descr="Splash Image" id="7" name="Shape 7"/>
                              <pic:cNvPicPr preferRelativeResize="0"/>
                            </pic:nvPicPr>
                            <pic:blipFill rotWithShape="1">
                              <a:blip r:embed="rId10">
                                <a:alphaModFix/>
                              </a:blip>
                              <a:srcRect b="854" l="27492" r="1" t="-7343"/>
                              <a:stretch/>
                            </pic:blipFill>
                            <pic:spPr>
                              <a:xfrm>
                                <a:off x="1248410" y="40821"/>
                                <a:ext cx="3005455" cy="55245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979623</wp:posOffset>
                </wp:positionH>
                <wp:positionV relativeFrom="paragraph">
                  <wp:posOffset>22225</wp:posOffset>
                </wp:positionV>
                <wp:extent cx="4253865" cy="593271"/>
                <wp:effectExtent b="0" l="0" r="0" t="0"/>
                <wp:wrapNone/>
                <wp:docPr id="8"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4253865" cy="593271"/>
                        </a:xfrm>
                        <a:prstGeom prst="rect"/>
                        <a:ln/>
                      </pic:spPr>
                    </pic:pic>
                  </a:graphicData>
                </a:graphic>
              </wp:anchor>
            </w:drawing>
          </mc:Fallback>
        </mc:AlternateContent>
      </w:r>
    </w:p>
    <w:p w:rsidR="00000000" w:rsidDel="00000000" w:rsidP="00000000" w:rsidRDefault="00000000" w:rsidRPr="00000000" w14:paraId="00000002">
      <w:pPr>
        <w:spacing w:befor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COE/ELE 70AB Milestones Compliance Report (MCR)</w:t>
      </w:r>
    </w:p>
    <w:tbl>
      <w:tblPr>
        <w:tblStyle w:val="Table1"/>
        <w:tblW w:w="9810.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2"/>
        <w:gridCol w:w="7758"/>
        <w:tblGridChange w:id="0">
          <w:tblGrid>
            <w:gridCol w:w="2052"/>
            <w:gridCol w:w="7758"/>
          </w:tblGrid>
        </w:tblGridChange>
      </w:tblGrid>
      <w:tr>
        <w:trPr>
          <w:cantSplit w:val="0"/>
          <w:tblHeader w:val="0"/>
        </w:trPr>
        <w:tc>
          <w:tcPr>
            <w:shd w:fill="c6d9f1" w:val="clear"/>
          </w:tcPr>
          <w:p w:rsidR="00000000" w:rsidDel="00000000" w:rsidP="00000000" w:rsidRDefault="00000000" w:rsidRPr="00000000" w14:paraId="00000004">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Title</w:t>
            </w:r>
          </w:p>
        </w:tc>
        <w:tc>
          <w:tcPr/>
          <w:p w:rsidR="00000000" w:rsidDel="00000000" w:rsidP="00000000" w:rsidRDefault="00000000" w:rsidRPr="00000000" w14:paraId="00000005">
            <w:pPr>
              <w:spacing w:after="0" w:before="240" w:lineRule="auto"/>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MZ02 - AI-Powered Clinical Decision Support - Predicting Drug–Drug Interactions</w:t>
            </w:r>
          </w:p>
        </w:tc>
      </w:tr>
      <w:tr>
        <w:trPr>
          <w:cantSplit w:val="0"/>
          <w:trHeight w:val="477.978515625" w:hRule="atLeast"/>
          <w:tblHeader w:val="0"/>
        </w:trPr>
        <w:tc>
          <w:tcPr>
            <w:shd w:fill="c6d9f1" w:val="clear"/>
          </w:tcPr>
          <w:p w:rsidR="00000000" w:rsidDel="00000000" w:rsidP="00000000" w:rsidRDefault="00000000" w:rsidRPr="00000000" w14:paraId="0000000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MCR Number</w:t>
            </w:r>
          </w:p>
        </w:tc>
        <w:tc>
          <w:tcPr/>
          <w:p w:rsidR="00000000" w:rsidDel="00000000" w:rsidP="00000000" w:rsidRDefault="00000000" w:rsidRPr="00000000" w14:paraId="00000007">
            <w:pPr>
              <w:spacing w:after="0" w:before="240" w:lineRule="auto"/>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II (weeks 6 &amp; 7)</w:t>
            </w:r>
          </w:p>
        </w:tc>
      </w:tr>
      <w:tr>
        <w:trPr>
          <w:cantSplit w:val="0"/>
          <w:tblHeader w:val="0"/>
        </w:trPr>
        <w:tc>
          <w:tcPr>
            <w:shd w:fill="c6d9f1" w:val="clear"/>
          </w:tcPr>
          <w:p w:rsidR="00000000" w:rsidDel="00000000" w:rsidP="00000000" w:rsidRDefault="00000000" w:rsidRPr="00000000" w14:paraId="00000008">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for the MCR period</w:t>
            </w:r>
          </w:p>
        </w:tc>
        <w:tc>
          <w:tcPr/>
          <w:p w:rsidR="00000000" w:rsidDel="00000000" w:rsidP="00000000" w:rsidRDefault="00000000" w:rsidRPr="00000000" w14:paraId="00000009">
            <w:pPr>
              <w:spacing w:after="0" w:before="240" w:lineRule="auto"/>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Ahraz Kibria, “Student C”, responsible for weeks 6 &amp; 7 activities and report in Week 7,   Friday afternoon)</w:t>
            </w:r>
          </w:p>
        </w:tc>
      </w:tr>
      <w:tr>
        <w:trPr>
          <w:cantSplit w:val="0"/>
          <w:tblHeader w:val="0"/>
        </w:trPr>
        <w:tc>
          <w:tcPr>
            <w:shd w:fill="c6d9f1" w:val="clear"/>
          </w:tcPr>
          <w:p w:rsidR="00000000" w:rsidDel="00000000" w:rsidP="00000000" w:rsidRDefault="00000000" w:rsidRPr="00000000" w14:paraId="0000000A">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Players for the MCR period</w:t>
            </w:r>
          </w:p>
        </w:tc>
        <w:tc>
          <w:tcPr/>
          <w:p w:rsidR="00000000" w:rsidDel="00000000" w:rsidP="00000000" w:rsidRDefault="00000000" w:rsidRPr="00000000" w14:paraId="0000000B">
            <w:pPr>
              <w:spacing w:after="0" w:before="240" w:lineRule="auto"/>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Taha Ghori, Ahraz Kibria, Raidah Nazimuddin, Kartike Chaudhari </w:t>
            </w:r>
          </w:p>
        </w:tc>
      </w:tr>
      <w:tr>
        <w:trPr>
          <w:cantSplit w:val="0"/>
          <w:tblHeader w:val="0"/>
        </w:trPr>
        <w:tc>
          <w:tcPr>
            <w:shd w:fill="c6d9f1" w:val="clear"/>
          </w:tcPr>
          <w:p w:rsidR="00000000" w:rsidDel="00000000" w:rsidP="00000000" w:rsidRDefault="00000000" w:rsidRPr="00000000" w14:paraId="0000000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Supervisor</w:t>
            </w:r>
          </w:p>
        </w:tc>
        <w:tc>
          <w:tcPr/>
          <w:p w:rsidR="00000000" w:rsidDel="00000000" w:rsidP="00000000" w:rsidRDefault="00000000" w:rsidRPr="00000000" w14:paraId="0000000D">
            <w:pPr>
              <w:spacing w:after="0" w:before="240" w:lineRule="auto"/>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Muhammad Rehman Zafar</w:t>
            </w:r>
          </w:p>
        </w:tc>
      </w:tr>
    </w:tbl>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1"/>
        <w:numPr>
          <w:ilvl w:val="0"/>
          <w:numId w:val="11"/>
        </w:numPr>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Tasks Outlined for the Reporting Period: MCR I – Weeks 6 &amp; 7</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bookmarkStart w:colFirst="0" w:colLast="0" w:name="bookmark=id.if9svw13ff11" w:id="0"/>
    <w:bookmarkEnd w:id="0"/>
    <w:bookmarkStart w:colFirst="0" w:colLast="0" w:name="bookmark=id.gaty2s276wd" w:id="1"/>
    <w:bookmarkEnd w:id="1"/>
    <w:bookmarkStart w:colFirst="0" w:colLast="0" w:name="bookmark=id.aq29scbdh9b9" w:id="2"/>
    <w:bookmarkEnd w:id="2"/>
    <w:p w:rsidR="00000000" w:rsidDel="00000000" w:rsidP="00000000" w:rsidRDefault="00000000" w:rsidRPr="00000000" w14:paraId="00000011">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Group:</w:t>
      </w:r>
      <w:r w:rsidDel="00000000" w:rsidR="00000000" w:rsidRPr="00000000">
        <w:rPr>
          <w:rFonts w:ascii="Times New Roman" w:cs="Times New Roman" w:eastAsia="Times New Roman" w:hAnsi="Times New Roman"/>
          <w:b w:val="0"/>
          <w:sz w:val="24"/>
          <w:szCs w:val="24"/>
          <w:rtl w:val="0"/>
        </w:rPr>
        <w:t xml:space="preserve"> Formalize the selection of the primary dataset, model architecture, and target platform. Synthesize individual design components into a preliminary, integrated project design</w:t>
      </w:r>
    </w:p>
    <w:p w:rsidR="00000000" w:rsidDel="00000000" w:rsidP="00000000" w:rsidRDefault="00000000" w:rsidRPr="00000000" w14:paraId="00000012">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shd w:fill="fff2cc" w:val="clear"/>
          <w:rtl w:val="0"/>
        </w:rPr>
        <w:t xml:space="preserve">Student A: </w:t>
      </w:r>
      <w:r w:rsidDel="00000000" w:rsidR="00000000" w:rsidRPr="00000000">
        <w:rPr>
          <w:rFonts w:ascii="Times New Roman" w:cs="Times New Roman" w:eastAsia="Times New Roman" w:hAnsi="Times New Roman"/>
          <w:b w:val="0"/>
          <w:sz w:val="24"/>
          <w:szCs w:val="24"/>
          <w:shd w:fill="fff2cc" w:val="clear"/>
          <w:rtl w:val="0"/>
        </w:rPr>
        <w:t xml:space="preserve">Design the complete data preprocessing pipeline.</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shd w:fill="d9ead3" w:val="clear"/>
          <w:rtl w:val="0"/>
        </w:rPr>
        <w:t xml:space="preserve">Student B: </w:t>
      </w:r>
      <w:r w:rsidDel="00000000" w:rsidR="00000000" w:rsidRPr="00000000">
        <w:rPr>
          <w:rFonts w:ascii="Times New Roman" w:cs="Times New Roman" w:eastAsia="Times New Roman" w:hAnsi="Times New Roman"/>
          <w:b w:val="0"/>
          <w:sz w:val="24"/>
          <w:szCs w:val="24"/>
          <w:shd w:fill="d9ead3" w:val="clear"/>
          <w:rtl w:val="0"/>
        </w:rPr>
        <w:t xml:space="preserve">Draft the theoretical design document for the selected AI 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shd w:fill="ead1dc" w:val="clear"/>
          <w:rtl w:val="0"/>
        </w:rPr>
        <w:t xml:space="preserve">Student C: </w:t>
      </w:r>
      <w:r w:rsidDel="00000000" w:rsidR="00000000" w:rsidRPr="00000000">
        <w:rPr>
          <w:rFonts w:ascii="Times New Roman" w:cs="Times New Roman" w:eastAsia="Times New Roman" w:hAnsi="Times New Roman"/>
          <w:b w:val="0"/>
          <w:sz w:val="24"/>
          <w:szCs w:val="24"/>
          <w:shd w:fill="ead1dc" w:val="clear"/>
          <w:rtl w:val="0"/>
        </w:rPr>
        <w:t xml:space="preserve">Draft a high-level system architecture diagram.</w:t>
      </w:r>
      <w:r w:rsidDel="00000000" w:rsidR="00000000" w:rsidRPr="00000000">
        <w:rPr>
          <w:rFonts w:ascii="Times New Roman" w:cs="Times New Roman" w:eastAsia="Times New Roman" w:hAnsi="Times New Roman"/>
          <w:b w:val="0"/>
          <w:rtl w:val="0"/>
        </w:rPr>
        <w:t xml:space="preserve">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shd w:fill="c9daf8" w:val="clear"/>
          <w:rtl w:val="0"/>
        </w:rPr>
        <w:t xml:space="preserve">Student D: </w:t>
      </w:r>
      <w:r w:rsidDel="00000000" w:rsidR="00000000" w:rsidRPr="00000000">
        <w:rPr>
          <w:rFonts w:ascii="Times New Roman" w:cs="Times New Roman" w:eastAsia="Times New Roman" w:hAnsi="Times New Roman"/>
          <w:b w:val="0"/>
          <w:sz w:val="24"/>
          <w:szCs w:val="24"/>
          <w:shd w:fill="c9daf8" w:val="clear"/>
          <w:rtl w:val="0"/>
        </w:rPr>
        <w:t xml:space="preserve">Design the high-level logic for the risk-scoring system.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1B">
      <w:pPr>
        <w:pStyle w:val="Heading1"/>
        <w:numPr>
          <w:ilvl w:val="0"/>
          <w:numId w:val="11"/>
        </w:numPr>
        <w:ind w:left="360" w:hanging="360"/>
        <w:jc w:val="both"/>
        <w:rPr/>
      </w:pPr>
      <w:r w:rsidDel="00000000" w:rsidR="00000000" w:rsidRPr="00000000">
        <w:rPr>
          <w:rFonts w:ascii="Times New Roman" w:cs="Times New Roman" w:eastAsia="Times New Roman" w:hAnsi="Times New Roman"/>
          <w:b w:val="1"/>
          <w:rtl w:val="0"/>
        </w:rPr>
        <w:t xml:space="preserve">Progress Made in Reporting Period</w:t>
      </w:r>
      <w:r w:rsidDel="00000000" w:rsidR="00000000" w:rsidRPr="00000000">
        <w:rPr>
          <w:rFonts w:ascii="Times New Roman" w:cs="Times New Roman" w:eastAsia="Times New Roman" w:hAnsi="Times New Roman"/>
          <w:color w:val="073763"/>
          <w:rtl w:val="0"/>
        </w:rPr>
        <w:t xml:space="preserve">(Provide detailed information on the progress that you (as a group and individual) made during the reporting period. You can include figures, datasheets, flowcharts, etc. and additional information as requested by your FLC. You should use your progress to justify compliance with the tasks outlined for the reporting period, as per the milestones submitted to your FLC in Week 3.</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w:t>
      </w:r>
    </w:p>
    <w:p w:rsidR="00000000" w:rsidDel="00000000" w:rsidP="00000000" w:rsidRDefault="00000000" w:rsidRPr="00000000" w14:paraId="0000001E">
      <w:pPr>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fff2cc" w:val="clear"/>
          <w:rtl w:val="0"/>
        </w:rPr>
        <w:t xml:space="preserve">Student 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321295</wp:posOffset>
            </wp:positionV>
            <wp:extent cx="2757488" cy="6054483"/>
            <wp:effectExtent b="0" l="0" r="0" t="0"/>
            <wp:wrapSquare wrapText="bothSides" distB="114300" distT="114300" distL="114300" distR="114300"/>
            <wp:docPr id="10"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757488" cy="6054483"/>
                    </a:xfrm>
                    <a:prstGeom prst="rect"/>
                    <a:ln/>
                  </pic:spPr>
                </pic:pic>
              </a:graphicData>
            </a:graphic>
          </wp:anchor>
        </w:drawing>
      </w:r>
    </w:p>
    <w:p w:rsidR="00000000" w:rsidDel="00000000" w:rsidP="00000000" w:rsidRDefault="00000000" w:rsidRPr="00000000" w14:paraId="0000001F">
      <w:pPr>
        <w:jc w:val="center"/>
        <w:rPr>
          <w:rFonts w:ascii="Times New Roman" w:cs="Times New Roman" w:eastAsia="Times New Roman" w:hAnsi="Times New Roman"/>
          <w:b w:val="0"/>
          <w:sz w:val="24"/>
          <w:szCs w:val="24"/>
        </w:rPr>
      </w:pPr>
      <w:sdt>
        <w:sdtPr>
          <w:id w:val="-1030172996"/>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Figure 1: </w:t>
      </w:r>
      <w:r w:rsidDel="00000000" w:rsidR="00000000" w:rsidRPr="00000000">
        <w:rPr>
          <w:rFonts w:ascii="Times New Roman" w:cs="Times New Roman" w:eastAsia="Times New Roman" w:hAnsi="Times New Roman"/>
          <w:b w:val="0"/>
          <w:sz w:val="24"/>
          <w:szCs w:val="24"/>
          <w:rtl w:val="0"/>
        </w:rPr>
        <w:t xml:space="preserve">This flowchart illustrates the complete, multi-step data pipeline designed to transform the raw DDIExtraction 2013 XML corpus into structured, model-ready tensors for training, validation, and testing.</w:t>
      </w:r>
      <w:commentRangeEnd w:id="0"/>
      <w:r w:rsidDel="00000000" w:rsidR="00000000" w:rsidRPr="00000000">
        <w:commentReference w:id="0"/>
      </w:r>
      <w:r w:rsidDel="00000000" w:rsidR="00000000" w:rsidRPr="00000000">
        <w:rPr>
          <w:rFonts w:ascii="Times New Roman" w:cs="Times New Roman" w:eastAsia="Times New Roman" w:hAnsi="Times New Roman"/>
          <w:b w:val="0"/>
          <w:sz w:val="24"/>
          <w:szCs w:val="24"/>
          <w:rtl w:val="0"/>
        </w:rPr>
        <w:t xml:space="preserve"> (Subject to change, link: </w:t>
      </w:r>
      <w:hyperlink r:id="rId13">
        <w:r w:rsidDel="00000000" w:rsidR="00000000" w:rsidRPr="00000000">
          <w:rPr>
            <w:rFonts w:ascii="Times New Roman" w:cs="Times New Roman" w:eastAsia="Times New Roman" w:hAnsi="Times New Roman"/>
            <w:b w:val="0"/>
            <w:color w:val="1155cc"/>
            <w:sz w:val="24"/>
            <w:szCs w:val="24"/>
            <w:u w:val="single"/>
            <w:rtl w:val="0"/>
          </w:rPr>
          <w:t xml:space="preserve">Drawio Link</w:t>
        </w:r>
      </w:hyperlink>
      <w:r w:rsidDel="00000000" w:rsidR="00000000" w:rsidRPr="00000000">
        <w:rPr>
          <w:rFonts w:ascii="Times New Roman" w:cs="Times New Roman" w:eastAsia="Times New Roman" w:hAnsi="Times New Roman"/>
          <w:b w:val="0"/>
          <w:sz w:val="24"/>
          <w:szCs w:val="24"/>
          <w:rtl w:val="0"/>
        </w:rPr>
        <w:t xml:space="preserve">, </w:t>
      </w:r>
      <w:hyperlink r:id="rId14">
        <w:r w:rsidDel="00000000" w:rsidR="00000000" w:rsidRPr="00000000">
          <w:rPr>
            <w:rFonts w:ascii="Times New Roman" w:cs="Times New Roman" w:eastAsia="Times New Roman" w:hAnsi="Times New Roman"/>
            <w:b w:val="0"/>
            <w:color w:val="1155cc"/>
            <w:sz w:val="24"/>
            <w:szCs w:val="24"/>
            <w:u w:val="single"/>
            <w:rtl w:val="0"/>
          </w:rPr>
          <w:t xml:space="preserve">Drive Link</w:t>
        </w:r>
      </w:hyperlink>
      <w:r w:rsidDel="00000000" w:rsidR="00000000" w:rsidRPr="00000000">
        <w:rPr>
          <w:rFonts w:ascii="Times New Roman" w:cs="Times New Roman" w:eastAsia="Times New Roman" w:hAnsi="Times New Roman"/>
          <w:b w:val="0"/>
          <w:sz w:val="24"/>
          <w:szCs w:val="24"/>
          <w:rtl w:val="0"/>
        </w:rPr>
        <w:t xml:space="preserve"> )</w:t>
      </w:r>
    </w:p>
    <w:p w:rsidR="00000000" w:rsidDel="00000000" w:rsidP="00000000" w:rsidRDefault="00000000" w:rsidRPr="00000000" w14:paraId="00000020">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During this period, I successfully completed my assigned tasks for weeks 6 and 7 by finalizing the data acquisition strategy and designing the complete preprocessing pipeline needed to feed data into our AI model. I formally selected the </w:t>
      </w:r>
      <w:r w:rsidDel="00000000" w:rsidR="00000000" w:rsidRPr="00000000">
        <w:rPr>
          <w:rFonts w:ascii="Times New Roman" w:cs="Times New Roman" w:eastAsia="Times New Roman" w:hAnsi="Times New Roman"/>
          <w:sz w:val="24"/>
          <w:szCs w:val="24"/>
          <w:rtl w:val="0"/>
        </w:rPr>
        <w:t xml:space="preserve">DDIExtraction 2013 corpus</w:t>
      </w:r>
      <w:r w:rsidDel="00000000" w:rsidR="00000000" w:rsidRPr="00000000">
        <w:rPr>
          <w:rFonts w:ascii="Times New Roman" w:cs="Times New Roman" w:eastAsia="Times New Roman" w:hAnsi="Times New Roman"/>
          <w:b w:val="0"/>
          <w:sz w:val="24"/>
          <w:szCs w:val="24"/>
          <w:rtl w:val="0"/>
        </w:rPr>
        <w:t xml:space="preserve">, reviewed in the previous MCR period, and documented its schema, noting its use of an XML format to annotate drug entities and their interaction types within text from DrugBank and MedLine.</w:t>
      </w:r>
    </w:p>
    <w:p w:rsidR="00000000" w:rsidDel="00000000" w:rsidP="00000000" w:rsidRDefault="00000000" w:rsidRPr="00000000" w14:paraId="00000022">
      <w:pPr>
        <w:spacing w:after="240" w:befor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My primary deliverable is the complete data preprocessing pipeline, illustrated in </w:t>
      </w:r>
      <w:r w:rsidDel="00000000" w:rsidR="00000000" w:rsidRPr="00000000">
        <w:rPr>
          <w:rFonts w:ascii="Times New Roman" w:cs="Times New Roman" w:eastAsia="Times New Roman" w:hAnsi="Times New Roman"/>
          <w:sz w:val="24"/>
          <w:szCs w:val="24"/>
          <w:rtl w:val="0"/>
        </w:rPr>
        <w:t xml:space="preserve">Figure 1</w:t>
      </w:r>
      <w:r w:rsidDel="00000000" w:rsidR="00000000" w:rsidRPr="00000000">
        <w:rPr>
          <w:rFonts w:ascii="Times New Roman" w:cs="Times New Roman" w:eastAsia="Times New Roman" w:hAnsi="Times New Roman"/>
          <w:b w:val="0"/>
          <w:sz w:val="24"/>
          <w:szCs w:val="24"/>
          <w:rtl w:val="0"/>
        </w:rPr>
        <w:t xml:space="preserve">. This pipeline consists of several key steps: (1) Parsing the raw XML files, (2) Structuring the data into a tabular Pandas DataFrame, (3) Applying typed entity markers to the text (e.g., </w:t>
      </w:r>
      <w:r w:rsidDel="00000000" w:rsidR="00000000" w:rsidRPr="00000000">
        <w:rPr>
          <w:rFonts w:ascii="Times New Roman" w:cs="Times New Roman" w:eastAsia="Times New Roman" w:hAnsi="Times New Roman"/>
          <w:b w:val="0"/>
          <w:color w:val="188038"/>
          <w:sz w:val="24"/>
          <w:szCs w:val="24"/>
          <w:rtl w:val="0"/>
        </w:rPr>
        <w:t xml:space="preserve">&lt;d1&gt;DrugA&lt;/d1</w:t>
      </w:r>
      <w:r w:rsidDel="00000000" w:rsidR="00000000" w:rsidRPr="00000000">
        <w:rPr>
          <w:rFonts w:ascii="Roboto Mono" w:cs="Roboto Mono" w:eastAsia="Roboto Mono" w:hAnsi="Roboto Mono"/>
          <w:b w:val="0"/>
          <w:color w:val="188038"/>
          <w:sz w:val="24"/>
          <w:szCs w:val="24"/>
          <w:rtl w:val="0"/>
        </w:rPr>
        <w:t xml:space="preserve">&gt;</w:t>
      </w:r>
      <w:r w:rsidDel="00000000" w:rsidR="00000000" w:rsidRPr="00000000">
        <w:rPr>
          <w:rFonts w:ascii="Times New Roman" w:cs="Times New Roman" w:eastAsia="Times New Roman" w:hAnsi="Times New Roman"/>
          <w:b w:val="0"/>
          <w:sz w:val="24"/>
          <w:szCs w:val="24"/>
          <w:rtl w:val="0"/>
        </w:rPr>
        <w:t xml:space="preserve">), (4) Tokenizing sentences with a PubMedBERT-compatible WordPiece tokenizer, (5) Formatting the data into the required input tensors (</w:t>
      </w:r>
      <w:r w:rsidDel="00000000" w:rsidR="00000000" w:rsidRPr="00000000">
        <w:rPr>
          <w:rFonts w:ascii="Times New Roman" w:cs="Times New Roman" w:eastAsia="Times New Roman" w:hAnsi="Times New Roman"/>
          <w:b w:val="0"/>
          <w:color w:val="188038"/>
          <w:sz w:val="24"/>
          <w:szCs w:val="24"/>
          <w:rtl w:val="0"/>
        </w:rPr>
        <w:t xml:space="preserve">input_ids</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b w:val="0"/>
          <w:color w:val="188038"/>
          <w:sz w:val="24"/>
          <w:szCs w:val="24"/>
          <w:rtl w:val="0"/>
        </w:rPr>
        <w:t xml:space="preserve">attention_mask</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b w:val="0"/>
          <w:color w:val="188038"/>
          <w:sz w:val="24"/>
          <w:szCs w:val="24"/>
          <w:rtl w:val="0"/>
        </w:rPr>
        <w:t xml:space="preserve">labels</w:t>
      </w:r>
      <w:r w:rsidDel="00000000" w:rsidR="00000000" w:rsidRPr="00000000">
        <w:rPr>
          <w:rFonts w:ascii="Times New Roman" w:cs="Times New Roman" w:eastAsia="Times New Roman" w:hAnsi="Times New Roman"/>
          <w:b w:val="0"/>
          <w:sz w:val="24"/>
          <w:szCs w:val="24"/>
          <w:rtl w:val="0"/>
        </w:rPr>
        <w:t xml:space="preserve">), and finally (6) Splitting the dataset into training (80%), validation (10%), and testing (10%) sets to ensure robust model evaluation.</w:t>
      </w:r>
    </w:p>
    <w:p w:rsidR="00000000" w:rsidDel="00000000" w:rsidP="00000000" w:rsidRDefault="00000000" w:rsidRPr="00000000" w14:paraId="00000023">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shd w:fill="d9ead3" w:val="clear"/>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Student B:</w:t>
      </w:r>
    </w:p>
    <w:p w:rsidR="00000000" w:rsidDel="00000000" w:rsidP="00000000" w:rsidRDefault="00000000" w:rsidRPr="00000000" w14:paraId="00000026">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During this reporting period, my focus was on drafting the theoretical design document for our selected AI model, as required by my milestone tasks. I designed a multi-component transformer-based architecture that leverages both PubMedBERT and ClinicalBERT encoders to process diverse biomedical texts. The following points detail the specific design of the model's relation head, the use of auxiliary heads for improved training, and a comprehensive fine-tuning and relation extraction strategy.</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Architecture design:</w:t>
      </w:r>
    </w:p>
    <w:p w:rsidR="00000000" w:rsidDel="00000000" w:rsidP="00000000" w:rsidRDefault="00000000" w:rsidRPr="00000000" w14:paraId="00000028">
      <w:pPr>
        <w:rPr>
          <w:rFonts w:ascii="Times New Roman" w:cs="Times New Roman" w:eastAsia="Times New Roman" w:hAnsi="Times New Roman"/>
          <w:b w:val="0"/>
        </w:rPr>
      </w:pPr>
      <w:sdt>
        <w:sdtPr>
          <w:id w:val="2106003092"/>
          <w:tag w:val="goog_rdk_1"/>
        </w:sdtPr>
        <w:sdtContent>
          <w:r w:rsidDel="00000000" w:rsidR="00000000" w:rsidRPr="00000000">
            <w:rPr>
              <w:rFonts w:ascii="Cardo" w:cs="Cardo" w:eastAsia="Cardo" w:hAnsi="Cardo"/>
              <w:b w:val="0"/>
              <w:rtl w:val="0"/>
            </w:rPr>
            <w:t xml:space="preserve">Input Text → Tokenization + Markers → PubMedBERT Encoder + ClinicalBERT branch (better for EHR data) → Relation Head + Auxiliary Heads → Output</w:t>
          </w:r>
        </w:sdtContent>
      </w:sdt>
    </w:p>
    <w:p w:rsidR="00000000" w:rsidDel="00000000" w:rsidP="00000000" w:rsidRDefault="00000000" w:rsidRPr="00000000" w14:paraId="00000029">
      <w:pPr>
        <w:numPr>
          <w:ilvl w:val="0"/>
          <w:numId w:val="14"/>
        </w:numPr>
        <w:spacing w:after="0" w:afterAutospacing="0"/>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Encoder: PubMedBERT &amp; ClinicalBERT</w:t>
      </w:r>
    </w:p>
    <w:p w:rsidR="00000000" w:rsidDel="00000000" w:rsidP="00000000" w:rsidRDefault="00000000" w:rsidRPr="00000000" w14:paraId="0000002A">
      <w:pPr>
        <w:numPr>
          <w:ilvl w:val="1"/>
          <w:numId w:val="14"/>
        </w:numPr>
        <w:spacing w:after="0" w:afterAutospacing="0"/>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Each source will be processed separately, and then fused later at the relation head of the model</w:t>
      </w:r>
    </w:p>
    <w:p w:rsidR="00000000" w:rsidDel="00000000" w:rsidP="00000000" w:rsidRDefault="00000000" w:rsidRPr="00000000" w14:paraId="0000002B">
      <w:pPr>
        <w:numPr>
          <w:ilvl w:val="0"/>
          <w:numId w:val="14"/>
        </w:numPr>
        <w:spacing w:after="0" w:afterAutospacing="0"/>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Relation / Head interaction</w:t>
      </w:r>
    </w:p>
    <w:p w:rsidR="00000000" w:rsidDel="00000000" w:rsidP="00000000" w:rsidRDefault="00000000" w:rsidRPr="00000000" w14:paraId="0000002C">
      <w:pPr>
        <w:numPr>
          <w:ilvl w:val="1"/>
          <w:numId w:val="14"/>
        </w:numPr>
        <w:spacing w:after="0" w:afterAutospacing="0"/>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Create a vector</w:t>
      </w:r>
    </w:p>
    <w:p w:rsidR="00000000" w:rsidDel="00000000" w:rsidP="00000000" w:rsidRDefault="00000000" w:rsidRPr="00000000" w14:paraId="0000002D">
      <w:pPr>
        <w:numPr>
          <w:ilvl w:val="1"/>
          <w:numId w:val="14"/>
        </w:numPr>
        <w:spacing w:after="0" w:afterAutospacing="0"/>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Dense layer activation: Gaussian Error Linear Unit (GELU)</w:t>
      </w:r>
    </w:p>
    <w:p w:rsidR="00000000" w:rsidDel="00000000" w:rsidP="00000000" w:rsidRDefault="00000000" w:rsidRPr="00000000" w14:paraId="0000002E">
      <w:pPr>
        <w:numPr>
          <w:ilvl w:val="1"/>
          <w:numId w:val="14"/>
        </w:numPr>
        <w:spacing w:after="0" w:afterAutospacing="0"/>
        <w:ind w:left="1440" w:hanging="360"/>
        <w:rPr>
          <w:rFonts w:ascii="Times New Roman" w:cs="Times New Roman" w:eastAsia="Times New Roman" w:hAnsi="Times New Roman"/>
          <w:b w:val="0"/>
        </w:rPr>
      </w:pPr>
      <w:sdt>
        <w:sdtPr>
          <w:id w:val="-530189755"/>
          <w:tag w:val="goog_rdk_2"/>
        </w:sdtPr>
        <w:sdtContent>
          <w:r w:rsidDel="00000000" w:rsidR="00000000" w:rsidRPr="00000000">
            <w:rPr>
              <w:rFonts w:ascii="Cardo" w:cs="Cardo" w:eastAsia="Cardo" w:hAnsi="Cardo"/>
              <w:b w:val="0"/>
              <w:rtl w:val="0"/>
            </w:rPr>
            <w:t xml:space="preserve">Output: multi-class (interaction types) → k neurons + softmax </w:t>
          </w:r>
        </w:sdtContent>
      </w:sdt>
    </w:p>
    <w:p w:rsidR="00000000" w:rsidDel="00000000" w:rsidP="00000000" w:rsidRDefault="00000000" w:rsidRPr="00000000" w14:paraId="0000002F">
      <w:pPr>
        <w:numPr>
          <w:ilvl w:val="2"/>
          <w:numId w:val="14"/>
        </w:numPr>
        <w:spacing w:after="0" w:afterAutospacing="0"/>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Will give more than just binary insights if DDI</w:t>
      </w:r>
    </w:p>
    <w:p w:rsidR="00000000" w:rsidDel="00000000" w:rsidP="00000000" w:rsidRDefault="00000000" w:rsidRPr="00000000" w14:paraId="00000030">
      <w:pPr>
        <w:numPr>
          <w:ilvl w:val="1"/>
          <w:numId w:val="14"/>
        </w:numPr>
        <w:spacing w:after="0" w:afterAutospacing="0"/>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Auxiliary heads</w:t>
      </w:r>
    </w:p>
    <w:p w:rsidR="00000000" w:rsidDel="00000000" w:rsidP="00000000" w:rsidRDefault="00000000" w:rsidRPr="00000000" w14:paraId="00000031">
      <w:pPr>
        <w:numPr>
          <w:ilvl w:val="2"/>
          <w:numId w:val="14"/>
        </w:numPr>
        <w:spacing w:after="0" w:afterAutospacing="0"/>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Classification Head: To determine if a token is a drug, an adverse event, or other, etc.</w:t>
      </w:r>
    </w:p>
    <w:p w:rsidR="00000000" w:rsidDel="00000000" w:rsidP="00000000" w:rsidRDefault="00000000" w:rsidRPr="00000000" w14:paraId="00000032">
      <w:pPr>
        <w:numPr>
          <w:ilvl w:val="2"/>
          <w:numId w:val="14"/>
        </w:numPr>
        <w:spacing w:after="0" w:afterAutospacing="0"/>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Subtype classification head: mechanism of positive interaction</w:t>
      </w:r>
    </w:p>
    <w:p w:rsidR="00000000" w:rsidDel="00000000" w:rsidP="00000000" w:rsidRDefault="00000000" w:rsidRPr="00000000" w14:paraId="00000033">
      <w:pPr>
        <w:numPr>
          <w:ilvl w:val="2"/>
          <w:numId w:val="14"/>
        </w:numPr>
        <w:spacing w:after="0" w:afterAutospacing="0"/>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Contrastive/embedding consistency head: for positive vs negative interactions. Helps with consistency in the model.</w:t>
      </w:r>
    </w:p>
    <w:p w:rsidR="00000000" w:rsidDel="00000000" w:rsidP="00000000" w:rsidRDefault="00000000" w:rsidRPr="00000000" w14:paraId="00000034">
      <w:pPr>
        <w:numPr>
          <w:ilvl w:val="0"/>
          <w:numId w:val="14"/>
        </w:numPr>
        <w:spacing w:after="0" w:afterAutospacing="0"/>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Training</w:t>
      </w:r>
    </w:p>
    <w:p w:rsidR="00000000" w:rsidDel="00000000" w:rsidP="00000000" w:rsidRDefault="00000000" w:rsidRPr="00000000" w14:paraId="00000035">
      <w:pPr>
        <w:numPr>
          <w:ilvl w:val="1"/>
          <w:numId w:val="14"/>
        </w:numPr>
        <w:spacing w:after="0" w:afterAutospacing="0"/>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Use Masked Language Modelling to help train the model better to adapt to our needs</w:t>
      </w:r>
    </w:p>
    <w:p w:rsidR="00000000" w:rsidDel="00000000" w:rsidP="00000000" w:rsidRDefault="00000000" w:rsidRPr="00000000" w14:paraId="00000036">
      <w:pPr>
        <w:numPr>
          <w:ilvl w:val="2"/>
          <w:numId w:val="14"/>
        </w:numPr>
        <w:spacing w:after="0" w:afterAutospacing="0"/>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Possibly use sub-domain adaptation to help the model become more sensitive to keywords and terminology. This technique is supported in the literature (Su &amp; Vijay-Shanker, 2022)</w:t>
      </w:r>
    </w:p>
    <w:p w:rsidR="00000000" w:rsidDel="00000000" w:rsidP="00000000" w:rsidRDefault="00000000" w:rsidRPr="00000000" w14:paraId="00000037">
      <w:pPr>
        <w:numPr>
          <w:ilvl w:val="0"/>
          <w:numId w:val="14"/>
        </w:numPr>
        <w:spacing w:after="0" w:afterAutospacing="0"/>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Fine-Tuning and Relation Extraction</w:t>
      </w:r>
    </w:p>
    <w:p w:rsidR="00000000" w:rsidDel="00000000" w:rsidP="00000000" w:rsidRDefault="00000000" w:rsidRPr="00000000" w14:paraId="00000038">
      <w:pPr>
        <w:numPr>
          <w:ilvl w:val="1"/>
          <w:numId w:val="14"/>
        </w:numPr>
        <w:spacing w:after="0" w:afterAutospacing="0"/>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Prepare dataset</w:t>
      </w:r>
    </w:p>
    <w:p w:rsidR="00000000" w:rsidDel="00000000" w:rsidP="00000000" w:rsidRDefault="00000000" w:rsidRPr="00000000" w14:paraId="00000039">
      <w:pPr>
        <w:numPr>
          <w:ilvl w:val="2"/>
          <w:numId w:val="14"/>
        </w:numPr>
        <w:spacing w:after="0" w:afterAutospacing="0"/>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Use DDI annotated Corpora (Jia et al., 2024)</w:t>
      </w:r>
    </w:p>
    <w:p w:rsidR="00000000" w:rsidDel="00000000" w:rsidP="00000000" w:rsidRDefault="00000000" w:rsidRPr="00000000" w14:paraId="0000003A">
      <w:pPr>
        <w:numPr>
          <w:ilvl w:val="2"/>
          <w:numId w:val="14"/>
        </w:numPr>
        <w:spacing w:after="0" w:afterAutospacing="0"/>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Create negative samples as well</w:t>
      </w:r>
    </w:p>
    <w:p w:rsidR="00000000" w:rsidDel="00000000" w:rsidP="00000000" w:rsidRDefault="00000000" w:rsidRPr="00000000" w14:paraId="0000003B">
      <w:pPr>
        <w:numPr>
          <w:ilvl w:val="1"/>
          <w:numId w:val="14"/>
        </w:numPr>
        <w:spacing w:after="0" w:afterAutospacing="0"/>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categorical cross-entropy for relation classification head</w:t>
      </w:r>
    </w:p>
    <w:p w:rsidR="00000000" w:rsidDel="00000000" w:rsidP="00000000" w:rsidRDefault="00000000" w:rsidRPr="00000000" w14:paraId="0000003C">
      <w:pPr>
        <w:numPr>
          <w:ilvl w:val="1"/>
          <w:numId w:val="14"/>
        </w:numPr>
        <w:spacing w:after="0" w:afterAutospacing="0"/>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Auxiliary losses:</w:t>
      </w:r>
    </w:p>
    <w:p w:rsidR="00000000" w:rsidDel="00000000" w:rsidP="00000000" w:rsidRDefault="00000000" w:rsidRPr="00000000" w14:paraId="0000003D">
      <w:pPr>
        <w:numPr>
          <w:ilvl w:val="2"/>
          <w:numId w:val="14"/>
        </w:numPr>
        <w:spacing w:after="0" w:afterAutospacing="0"/>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Token classification</w:t>
      </w:r>
    </w:p>
    <w:p w:rsidR="00000000" w:rsidDel="00000000" w:rsidP="00000000" w:rsidRDefault="00000000" w:rsidRPr="00000000" w14:paraId="0000003E">
      <w:pPr>
        <w:numPr>
          <w:ilvl w:val="2"/>
          <w:numId w:val="14"/>
        </w:numPr>
        <w:spacing w:after="0" w:afterAutospacing="0"/>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Subtype</w:t>
      </w:r>
    </w:p>
    <w:p w:rsidR="00000000" w:rsidDel="00000000" w:rsidP="00000000" w:rsidRDefault="00000000" w:rsidRPr="00000000" w14:paraId="0000003F">
      <w:pPr>
        <w:numPr>
          <w:ilvl w:val="1"/>
          <w:numId w:val="14"/>
        </w:numPr>
        <w:spacing w:after="0" w:afterAutospacing="0"/>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Weight the positive class heavily for learning</w:t>
      </w:r>
    </w:p>
    <w:p w:rsidR="00000000" w:rsidDel="00000000" w:rsidP="00000000" w:rsidRDefault="00000000" w:rsidRPr="00000000" w14:paraId="00000040">
      <w:pPr>
        <w:numPr>
          <w:ilvl w:val="1"/>
          <w:numId w:val="14"/>
        </w:numPr>
        <w:spacing w:after="0" w:afterAutospacing="0"/>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Optimizer: AdamW</w:t>
      </w:r>
    </w:p>
    <w:p w:rsidR="00000000" w:rsidDel="00000000" w:rsidP="00000000" w:rsidRDefault="00000000" w:rsidRPr="00000000" w14:paraId="00000041">
      <w:pPr>
        <w:numPr>
          <w:ilvl w:val="1"/>
          <w:numId w:val="14"/>
        </w:numPr>
        <w:spacing w:after="0" w:afterAutospacing="0"/>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Learning rate decay: linear or cosine schedule</w:t>
      </w:r>
    </w:p>
    <w:p w:rsidR="00000000" w:rsidDel="00000000" w:rsidP="00000000" w:rsidRDefault="00000000" w:rsidRPr="00000000" w14:paraId="00000042">
      <w:pPr>
        <w:numPr>
          <w:ilvl w:val="1"/>
          <w:numId w:val="14"/>
        </w:numPr>
        <w:spacing w:after="0" w:afterAutospacing="0"/>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Calibrate softmax outputs with possibly temperature scaling</w:t>
      </w:r>
    </w:p>
    <w:p w:rsidR="00000000" w:rsidDel="00000000" w:rsidP="00000000" w:rsidRDefault="00000000" w:rsidRPr="00000000" w14:paraId="00000043">
      <w:pPr>
        <w:numPr>
          <w:ilvl w:val="1"/>
          <w:numId w:val="14"/>
        </w:numPr>
        <w:ind w:left="1440" w:hanging="360"/>
        <w:rPr>
          <w:rFonts w:ascii="Times New Roman" w:cs="Times New Roman" w:eastAsia="Times New Roman" w:hAnsi="Times New Roman"/>
          <w:b w:val="0"/>
          <w:sz w:val="24"/>
          <w:szCs w:val="24"/>
          <w:u w:val="none"/>
        </w:rPr>
      </w:pPr>
      <w:r w:rsidDel="00000000" w:rsidR="00000000" w:rsidRPr="00000000">
        <w:rPr>
          <w:rFonts w:ascii="Times New Roman" w:cs="Times New Roman" w:eastAsia="Times New Roman" w:hAnsi="Times New Roman"/>
          <w:b w:val="0"/>
          <w:rtl w:val="0"/>
        </w:rPr>
        <w:t xml:space="preserve">Assign a threshold for probability conversion</w:t>
      </w:r>
      <w:r w:rsidDel="00000000" w:rsidR="00000000" w:rsidRPr="00000000">
        <w:rPr>
          <w:rFonts w:ascii="Times New Roman" w:cs="Times New Roman" w:eastAsia="Times New Roman" w:hAnsi="Times New Roman"/>
          <w:b w:val="0"/>
          <w:sz w:val="24"/>
          <w:szCs w:val="24"/>
          <w:rtl w:val="0"/>
        </w:rPr>
        <w:t xml:space="preserve"> </w:t>
      </w:r>
    </w:p>
    <w:p w:rsidR="00000000" w:rsidDel="00000000" w:rsidP="00000000" w:rsidRDefault="00000000" w:rsidRPr="00000000" w14:paraId="00000044">
      <w:pPr>
        <w:rPr>
          <w:rFonts w:ascii="Times New Roman" w:cs="Times New Roman" w:eastAsia="Times New Roman" w:hAnsi="Times New Roman"/>
          <w:sz w:val="24"/>
          <w:szCs w:val="24"/>
          <w:shd w:fill="ead1dc" w:val="clear"/>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shd w:fill="ead1dc" w:val="clear"/>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shd w:fill="ead1dc" w:val="clear"/>
          <w:rtl w:val="0"/>
        </w:rPr>
        <w:t xml:space="preserve">Student C:</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352425</wp:posOffset>
            </wp:positionV>
            <wp:extent cx="4833938" cy="6253907"/>
            <wp:effectExtent b="12700" l="12700" r="12700" t="12700"/>
            <wp:wrapTopAndBottom distB="114300" distT="11430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833938" cy="6253907"/>
                    </a:xfrm>
                    <a:prstGeom prst="rect"/>
                    <a:ln w="12700">
                      <a:solidFill>
                        <a:srgbClr val="000000"/>
                      </a:solidFill>
                      <a:prstDash val="solid"/>
                    </a:ln>
                  </pic:spPr>
                </pic:pic>
              </a:graphicData>
            </a:graphic>
          </wp:anchor>
        </w:drawing>
      </w:r>
    </w:p>
    <w:p w:rsidR="00000000" w:rsidDel="00000000" w:rsidP="00000000" w:rsidRDefault="00000000" w:rsidRPr="00000000" w14:paraId="00000047">
      <w:pPr>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Figure 2:</w:t>
      </w:r>
      <w:r w:rsidDel="00000000" w:rsidR="00000000" w:rsidRPr="00000000">
        <w:rPr>
          <w:rFonts w:ascii="Times New Roman" w:cs="Times New Roman" w:eastAsia="Times New Roman" w:hAnsi="Times New Roman"/>
          <w:b w:val="0"/>
          <w:sz w:val="24"/>
          <w:szCs w:val="24"/>
          <w:rtl w:val="0"/>
        </w:rPr>
        <w:t xml:space="preserve"> The diagram illustrates the end-to-end Machine Learning Operations (MLOps) pipeline. It details the linear workflow from raw data ingestion and preprocessing to the training, experimentation, and eventual deployment of the core AI model as a scalable endpoint. (Subject to change, link: </w:t>
      </w:r>
      <w:hyperlink r:id="rId16">
        <w:r w:rsidDel="00000000" w:rsidR="00000000" w:rsidRPr="00000000">
          <w:rPr>
            <w:rFonts w:ascii="Times New Roman" w:cs="Times New Roman" w:eastAsia="Times New Roman" w:hAnsi="Times New Roman"/>
            <w:b w:val="0"/>
            <w:color w:val="1155cc"/>
            <w:sz w:val="24"/>
            <w:szCs w:val="24"/>
            <w:u w:val="single"/>
            <w:rtl w:val="0"/>
          </w:rPr>
          <w:t xml:space="preserve">Drawio Link</w:t>
        </w:r>
      </w:hyperlink>
      <w:r w:rsidDel="00000000" w:rsidR="00000000" w:rsidRPr="00000000">
        <w:rPr>
          <w:rFonts w:ascii="Times New Roman" w:cs="Times New Roman" w:eastAsia="Times New Roman" w:hAnsi="Times New Roman"/>
          <w:b w:val="0"/>
          <w:sz w:val="24"/>
          <w:szCs w:val="24"/>
          <w:rtl w:val="0"/>
        </w:rPr>
        <w:t xml:space="preserve">, </w:t>
      </w:r>
      <w:hyperlink r:id="rId17">
        <w:r w:rsidDel="00000000" w:rsidR="00000000" w:rsidRPr="00000000">
          <w:rPr>
            <w:rFonts w:ascii="Times New Roman" w:cs="Times New Roman" w:eastAsia="Times New Roman" w:hAnsi="Times New Roman"/>
            <w:b w:val="0"/>
            <w:color w:val="1155cc"/>
            <w:sz w:val="24"/>
            <w:szCs w:val="24"/>
            <w:u w:val="single"/>
            <w:rtl w:val="0"/>
          </w:rPr>
          <w:t xml:space="preserve">Drive Link</w:t>
        </w:r>
      </w:hyperlink>
      <w:r w:rsidDel="00000000" w:rsidR="00000000" w:rsidRPr="00000000">
        <w:rPr>
          <w:rFonts w:ascii="Times New Roman" w:cs="Times New Roman" w:eastAsia="Times New Roman" w:hAnsi="Times New Roman"/>
          <w:b w:val="0"/>
          <w:sz w:val="24"/>
          <w:szCs w:val="24"/>
          <w:rtl w:val="0"/>
        </w:rPr>
        <w:t xml:space="preserve"> )</w:t>
      </w:r>
    </w:p>
    <w:p w:rsidR="00000000" w:rsidDel="00000000" w:rsidP="00000000" w:rsidRDefault="00000000" w:rsidRPr="00000000" w14:paraId="00000048">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114300</wp:posOffset>
            </wp:positionV>
            <wp:extent cx="4416133" cy="6615113"/>
            <wp:effectExtent b="12700" l="12700" r="12700" t="12700"/>
            <wp:wrapTopAndBottom distB="114300" distT="114300"/>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416133" cy="6615113"/>
                    </a:xfrm>
                    <a:prstGeom prst="rect"/>
                    <a:ln w="12700">
                      <a:solidFill>
                        <a:srgbClr val="000000"/>
                      </a:solidFill>
                      <a:prstDash val="solid"/>
                    </a:ln>
                  </pic:spPr>
                </pic:pic>
              </a:graphicData>
            </a:graphic>
          </wp:anchor>
        </w:drawing>
      </w:r>
    </w:p>
    <w:p w:rsidR="00000000" w:rsidDel="00000000" w:rsidP="00000000" w:rsidRDefault="00000000" w:rsidRPr="00000000" w14:paraId="0000004A">
      <w:pPr>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Figure 3:</w:t>
      </w:r>
      <w:r w:rsidDel="00000000" w:rsidR="00000000" w:rsidRPr="00000000">
        <w:rPr>
          <w:rFonts w:ascii="Times New Roman" w:cs="Times New Roman" w:eastAsia="Times New Roman" w:hAnsi="Times New Roman"/>
          <w:b w:val="0"/>
          <w:sz w:val="24"/>
          <w:szCs w:val="24"/>
          <w:rtl w:val="0"/>
        </w:rPr>
        <w:t xml:space="preserve"> This diagram presents the complete software architecture of the Clinical Decision Support System. It details how the various independent microservices, including the AI model from the MLOps pipeline, collaborate to deliver a cohesive, real-time experience to the clinician. Worked with student B. (Subject to change, most likely not going to use all features, link: </w:t>
      </w:r>
      <w:hyperlink r:id="rId19">
        <w:r w:rsidDel="00000000" w:rsidR="00000000" w:rsidRPr="00000000">
          <w:rPr>
            <w:rFonts w:ascii="Times New Roman" w:cs="Times New Roman" w:eastAsia="Times New Roman" w:hAnsi="Times New Roman"/>
            <w:b w:val="0"/>
            <w:color w:val="1155cc"/>
            <w:sz w:val="24"/>
            <w:szCs w:val="24"/>
            <w:u w:val="single"/>
            <w:rtl w:val="0"/>
          </w:rPr>
          <w:t xml:space="preserve">Drawio Link</w:t>
        </w:r>
      </w:hyperlink>
      <w:r w:rsidDel="00000000" w:rsidR="00000000" w:rsidRPr="00000000">
        <w:rPr>
          <w:rFonts w:ascii="Times New Roman" w:cs="Times New Roman" w:eastAsia="Times New Roman" w:hAnsi="Times New Roman"/>
          <w:b w:val="0"/>
          <w:sz w:val="24"/>
          <w:szCs w:val="24"/>
          <w:rtl w:val="0"/>
        </w:rPr>
        <w:t xml:space="preserve">, </w:t>
      </w:r>
      <w:hyperlink r:id="rId20">
        <w:r w:rsidDel="00000000" w:rsidR="00000000" w:rsidRPr="00000000">
          <w:rPr>
            <w:rFonts w:ascii="Times New Roman" w:cs="Times New Roman" w:eastAsia="Times New Roman" w:hAnsi="Times New Roman"/>
            <w:b w:val="0"/>
            <w:color w:val="1155cc"/>
            <w:sz w:val="24"/>
            <w:szCs w:val="24"/>
            <w:u w:val="single"/>
            <w:rtl w:val="0"/>
          </w:rPr>
          <w:t xml:space="preserve">Drive Link</w:t>
        </w:r>
      </w:hyperlink>
      <w:r w:rsidDel="00000000" w:rsidR="00000000" w:rsidRPr="00000000">
        <w:rPr>
          <w:rFonts w:ascii="Times New Roman" w:cs="Times New Roman" w:eastAsia="Times New Roman" w:hAnsi="Times New Roman"/>
          <w:b w:val="0"/>
          <w:sz w:val="24"/>
          <w:szCs w:val="24"/>
          <w:rtl w:val="0"/>
        </w:rPr>
        <w:t xml:space="preserve"> )</w:t>
      </w:r>
    </w:p>
    <w:p w:rsidR="00000000" w:rsidDel="00000000" w:rsidP="00000000" w:rsidRDefault="00000000" w:rsidRPr="00000000" w14:paraId="0000004B">
      <w:pPr>
        <w:spacing w:after="240" w:befor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For this reporting period, I finalized the high-level system architecture for the project. My progress is represented by two distinct but complementary diagrams that define both the overall software structure and the specialized machine learning lifecycle.</w:t>
      </w:r>
    </w:p>
    <w:p w:rsidR="00000000" w:rsidDel="00000000" w:rsidP="00000000" w:rsidRDefault="00000000" w:rsidRPr="00000000" w14:paraId="0000004C">
      <w:pPr>
        <w:spacing w:after="240" w:befor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1. System Architecture Design (Microservices)</w:t>
      </w:r>
      <w:r w:rsidDel="00000000" w:rsidR="00000000" w:rsidRPr="00000000">
        <w:rPr>
          <w:rFonts w:ascii="Times New Roman" w:cs="Times New Roman" w:eastAsia="Times New Roman" w:hAnsi="Times New Roman"/>
          <w:b w:val="0"/>
          <w:sz w:val="24"/>
          <w:szCs w:val="24"/>
          <w:rtl w:val="0"/>
        </w:rPr>
        <w:t xml:space="preserve"> We designed a comprehensive (but rough version), system-wide microservices architecture, as detailed in the "System-Wide Microservices Architecture" diagram. This architecture is layered to separate concerns: a frontend client, a secure API gateway, a central orchestrator, and a suite of specialized backend microservices. This design ensures that each component of our system (e.g., AI inference, database lookups, literature search) is an independent, scalable, and maintainable service. This modularity is essential for building a complex and reliable clinical tool.</w:t>
      </w:r>
    </w:p>
    <w:p w:rsidR="00000000" w:rsidDel="00000000" w:rsidP="00000000" w:rsidRDefault="00000000" w:rsidRPr="00000000" w14:paraId="0000004D">
      <w:pPr>
        <w:spacing w:after="240" w:befor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2. MLOps Pipeline Design</w:t>
      </w:r>
      <w:r w:rsidDel="00000000" w:rsidR="00000000" w:rsidRPr="00000000">
        <w:rPr>
          <w:rFonts w:ascii="Times New Roman" w:cs="Times New Roman" w:eastAsia="Times New Roman" w:hAnsi="Times New Roman"/>
          <w:b w:val="0"/>
          <w:sz w:val="24"/>
          <w:szCs w:val="24"/>
          <w:rtl w:val="0"/>
        </w:rPr>
        <w:t xml:space="preserve"> To detail the specific lifecycle of our core AI model, I also designed the "MLOps Pipeline for Model Training and Deployment" diagram. This provides a focused view on how we will manage our machine learning assets, from raw data ingestion in Google Cloud Storage (GCS) to automated training with Vertex AI and deployment as a production-ready API endpoint. This MLOps pipeline serves as the "factory" that builds and maintains the </w:t>
      </w:r>
      <w:r w:rsidDel="00000000" w:rsidR="00000000" w:rsidRPr="00000000">
        <w:rPr>
          <w:rFonts w:ascii="Times New Roman" w:cs="Times New Roman" w:eastAsia="Times New Roman" w:hAnsi="Times New Roman"/>
          <w:sz w:val="24"/>
          <w:szCs w:val="24"/>
          <w:rtl w:val="0"/>
        </w:rPr>
        <w:t xml:space="preserve">NLP Inference Service</w:t>
      </w:r>
      <w:r w:rsidDel="00000000" w:rsidR="00000000" w:rsidRPr="00000000">
        <w:rPr>
          <w:rFonts w:ascii="Times New Roman" w:cs="Times New Roman" w:eastAsia="Times New Roman" w:hAnsi="Times New Roman"/>
          <w:b w:val="0"/>
          <w:sz w:val="24"/>
          <w:szCs w:val="24"/>
          <w:rtl w:val="0"/>
        </w:rPr>
        <w:t xml:space="preserve"> used within our main microservices architecture.</w:t>
      </w:r>
    </w:p>
    <w:p w:rsidR="00000000" w:rsidDel="00000000" w:rsidP="00000000" w:rsidRDefault="00000000" w:rsidRPr="00000000" w14:paraId="0000004E">
      <w:pPr>
        <w:spacing w:after="240" w:befor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3. Cloud Platform Justification (GCP)</w:t>
      </w:r>
      <w:r w:rsidDel="00000000" w:rsidR="00000000" w:rsidRPr="00000000">
        <w:rPr>
          <w:rFonts w:ascii="Times New Roman" w:cs="Times New Roman" w:eastAsia="Times New Roman" w:hAnsi="Times New Roman"/>
          <w:b w:val="0"/>
          <w:sz w:val="24"/>
          <w:szCs w:val="24"/>
          <w:rtl w:val="0"/>
        </w:rPr>
        <w:t xml:space="preserve"> The group has formally selected </w:t>
      </w:r>
      <w:r w:rsidDel="00000000" w:rsidR="00000000" w:rsidRPr="00000000">
        <w:rPr>
          <w:rFonts w:ascii="Times New Roman" w:cs="Times New Roman" w:eastAsia="Times New Roman" w:hAnsi="Times New Roman"/>
          <w:sz w:val="24"/>
          <w:szCs w:val="24"/>
          <w:rtl w:val="0"/>
        </w:rPr>
        <w:t xml:space="preserve">Google Cloud Platform (GCP)</w:t>
      </w:r>
      <w:r w:rsidDel="00000000" w:rsidR="00000000" w:rsidRPr="00000000">
        <w:rPr>
          <w:rFonts w:ascii="Times New Roman" w:cs="Times New Roman" w:eastAsia="Times New Roman" w:hAnsi="Times New Roman"/>
          <w:b w:val="0"/>
          <w:sz w:val="24"/>
          <w:szCs w:val="24"/>
          <w:rtl w:val="0"/>
        </w:rPr>
        <w:t xml:space="preserve">. Our architecture strongly justifies this choice:</w:t>
      </w:r>
    </w:p>
    <w:p w:rsidR="00000000" w:rsidDel="00000000" w:rsidP="00000000" w:rsidRDefault="00000000" w:rsidRPr="00000000" w14:paraId="0000004F">
      <w:pPr>
        <w:numPr>
          <w:ilvl w:val="0"/>
          <w:numId w:val="17"/>
        </w:numPr>
        <w:spacing w:after="0" w:afterAutospacing="0" w:before="240" w:lineRule="auto"/>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Vertex AI:</w:t>
      </w:r>
      <w:r w:rsidDel="00000000" w:rsidR="00000000" w:rsidRPr="00000000">
        <w:rPr>
          <w:rFonts w:ascii="Times New Roman" w:cs="Times New Roman" w:eastAsia="Times New Roman" w:hAnsi="Times New Roman"/>
          <w:b w:val="0"/>
          <w:sz w:val="24"/>
          <w:szCs w:val="24"/>
          <w:rtl w:val="0"/>
        </w:rPr>
        <w:t xml:space="preserve"> It provides the fully managed infrastructure needed to execute our MLOps pipeline, specifically for training and deploying the NLP Inference Service as a scalable endpoint.</w:t>
      </w:r>
    </w:p>
    <w:p w:rsidR="00000000" w:rsidDel="00000000" w:rsidP="00000000" w:rsidRDefault="00000000" w:rsidRPr="00000000" w14:paraId="00000050">
      <w:pPr>
        <w:numPr>
          <w:ilvl w:val="0"/>
          <w:numId w:val="17"/>
        </w:numPr>
        <w:spacing w:after="0" w:afterAutospacing="0" w:before="0" w:beforeAutospacing="0" w:lineRule="auto"/>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Google Kubernetes Engine (GKE):</w:t>
      </w:r>
      <w:r w:rsidDel="00000000" w:rsidR="00000000" w:rsidRPr="00000000">
        <w:rPr>
          <w:rFonts w:ascii="Times New Roman" w:cs="Times New Roman" w:eastAsia="Times New Roman" w:hAnsi="Times New Roman"/>
          <w:b w:val="0"/>
          <w:sz w:val="24"/>
          <w:szCs w:val="24"/>
          <w:rtl w:val="0"/>
        </w:rPr>
        <w:t xml:space="preserve"> GKE is the ideal platform to deploy and manage our entire suite of containerized microservices, offering auto-scaling and resilience.</w:t>
      </w:r>
    </w:p>
    <w:p w:rsidR="00000000" w:rsidDel="00000000" w:rsidP="00000000" w:rsidRDefault="00000000" w:rsidRPr="00000000" w14:paraId="00000051">
      <w:pPr>
        <w:numPr>
          <w:ilvl w:val="0"/>
          <w:numId w:val="17"/>
        </w:numPr>
        <w:spacing w:after="240" w:before="0" w:beforeAutospacing="0" w:lineRule="auto"/>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Managed Databases &amp; Storage:</w:t>
      </w:r>
      <w:r w:rsidDel="00000000" w:rsidR="00000000" w:rsidRPr="00000000">
        <w:rPr>
          <w:rFonts w:ascii="Times New Roman" w:cs="Times New Roman" w:eastAsia="Times New Roman" w:hAnsi="Times New Roman"/>
          <w:b w:val="0"/>
          <w:sz w:val="24"/>
          <w:szCs w:val="24"/>
          <w:rtl w:val="0"/>
        </w:rPr>
        <w:t xml:space="preserve"> GCP offers a rich ecosystem of managed storage solutions that map directly to our needs, including Cloud SQL for our relational database, and GCS for our data lake and model artifacts.</w:t>
      </w:r>
    </w:p>
    <w:p w:rsidR="00000000" w:rsidDel="00000000" w:rsidP="00000000" w:rsidRDefault="00000000" w:rsidRPr="00000000" w14:paraId="00000052">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shd w:fill="cfe2f3" w:val="clear"/>
          <w:rtl w:val="0"/>
        </w:rPr>
        <w:t xml:space="preserve">Student D:</w:t>
      </w:r>
      <w:r w:rsidDel="00000000" w:rsidR="00000000" w:rsidRPr="00000000">
        <w:rPr>
          <w:rFonts w:ascii="Times New Roman" w:cs="Times New Roman" w:eastAsia="Times New Roman" w:hAnsi="Times New Roman"/>
          <w:b w:val="0"/>
          <w:sz w:val="24"/>
          <w:szCs w:val="24"/>
          <w:rtl w:val="0"/>
        </w:rPr>
        <w:t xml:space="preserve"> </w:t>
      </w:r>
    </w:p>
    <w:p w:rsidR="00000000" w:rsidDel="00000000" w:rsidP="00000000" w:rsidRDefault="00000000" w:rsidRPr="00000000" w14:paraId="0000005D">
      <w:pPr>
        <w:spacing w:after="240" w:befor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In line with my milestone task to design the high-level logic for the risk-scoring system, I have developed a complete workflow for this reporting period. The purpose of this system is to translate the AI model's raw probability outputs into a clear, clinically significant risk level that a healthcare professional can act upon. The following workflow details the methodology for normalizing the model's predictions, the weighted calculation used to compute a final risk score, and the thresholds for categorizing that score into low, moderate, or high-risk levels.</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Risk-Scoring Workflow:</w:t>
      </w:r>
    </w:p>
    <w:p w:rsidR="00000000" w:rsidDel="00000000" w:rsidP="00000000" w:rsidRDefault="00000000" w:rsidRPr="00000000" w14:paraId="0000005F">
      <w:pPr>
        <w:numPr>
          <w:ilvl w:val="0"/>
          <w:numId w:val="10"/>
        </w:numPr>
        <w:spacing w:after="0" w:afterAutospacing="0" w:before="240" w:lineRule="auto"/>
        <w:ind w:left="720" w:hanging="360"/>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sz w:val="20"/>
          <w:szCs w:val="20"/>
          <w:rtl w:val="0"/>
        </w:rPr>
        <w:t xml:space="preserve">Input:</w:t>
      </w:r>
      <w:r w:rsidDel="00000000" w:rsidR="00000000" w:rsidRPr="00000000">
        <w:rPr>
          <w:rFonts w:ascii="Times New Roman" w:cs="Times New Roman" w:eastAsia="Times New Roman" w:hAnsi="Times New Roman"/>
          <w:b w:val="0"/>
          <w:sz w:val="20"/>
          <w:szCs w:val="20"/>
          <w:rtl w:val="0"/>
        </w:rPr>
        <w:t xml:space="preserve"> Model output probabilities (synergistic, antagonistic, adverse, neutral)</w:t>
        <w:br w:type="textWrapping"/>
      </w:r>
    </w:p>
    <w:p w:rsidR="00000000" w:rsidDel="00000000" w:rsidP="00000000" w:rsidRDefault="00000000" w:rsidRPr="00000000" w14:paraId="00000060">
      <w:pPr>
        <w:numPr>
          <w:ilvl w:val="0"/>
          <w:numId w:val="10"/>
        </w:numPr>
        <w:spacing w:after="0" w:afterAutospacing="0" w:before="0" w:beforeAutospacing="0" w:lineRule="auto"/>
        <w:ind w:left="720" w:hanging="360"/>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sz w:val="20"/>
          <w:szCs w:val="20"/>
          <w:rtl w:val="0"/>
        </w:rPr>
        <w:t xml:space="preserve">Normalization:</w:t>
      </w:r>
      <w:r w:rsidDel="00000000" w:rsidR="00000000" w:rsidRPr="00000000">
        <w:rPr>
          <w:rFonts w:ascii="Times New Roman" w:cs="Times New Roman" w:eastAsia="Times New Roman" w:hAnsi="Times New Roman"/>
          <w:b w:val="0"/>
          <w:sz w:val="20"/>
          <w:szCs w:val="20"/>
          <w:rtl w:val="0"/>
        </w:rPr>
        <w:t xml:space="preserve"> Scale probabilities 0–1; apply temperature scaling (Su &amp; Vijay-Shanker, 2022)</w:t>
        <w:br w:type="textWrapping"/>
      </w:r>
    </w:p>
    <w:p w:rsidR="00000000" w:rsidDel="00000000" w:rsidP="00000000" w:rsidRDefault="00000000" w:rsidRPr="00000000" w14:paraId="00000061">
      <w:pPr>
        <w:numPr>
          <w:ilvl w:val="0"/>
          <w:numId w:val="10"/>
        </w:numPr>
        <w:spacing w:after="0" w:afterAutospacing="0" w:before="0" w:beforeAutospacing="0" w:lineRule="auto"/>
        <w:ind w:left="720" w:hanging="360"/>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sz w:val="20"/>
          <w:szCs w:val="20"/>
          <w:rtl w:val="0"/>
        </w:rPr>
        <w:t xml:space="preserve">Weighted Risk Calculation: </w:t>
      </w:r>
      <w:r w:rsidDel="00000000" w:rsidR="00000000" w:rsidRPr="00000000">
        <w:rPr>
          <w:rFonts w:ascii="Times New Roman" w:cs="Times New Roman" w:eastAsia="Times New Roman" w:hAnsi="Times New Roman"/>
          <w:b w:val="0"/>
          <w:sz w:val="20"/>
          <w:szCs w:val="20"/>
          <w:rtl w:val="0"/>
        </w:rPr>
        <w:t xml:space="preserve">final risk score </w:t>
      </w:r>
      <m:oMath>
        <m:r>
          <w:rPr>
            <w:rFonts w:ascii="Times New Roman" w:cs="Times New Roman" w:eastAsia="Times New Roman" w:hAnsi="Times New Roman"/>
            <w:b w:val="0"/>
            <w:sz w:val="20"/>
            <w:szCs w:val="20"/>
          </w:rPr>
          <m:t xml:space="preserve">R</m:t>
        </m:r>
      </m:oMath>
      <w:r w:rsidDel="00000000" w:rsidR="00000000" w:rsidRPr="00000000">
        <w:rPr>
          <w:rFonts w:ascii="Times New Roman" w:cs="Times New Roman" w:eastAsia="Times New Roman" w:hAnsi="Times New Roman"/>
          <w:b w:val="0"/>
          <w:sz w:val="20"/>
          <w:szCs w:val="20"/>
          <w:rtl w:val="0"/>
        </w:rPr>
        <w:t xml:space="preserve"> is computed as:</w:t>
        <w:br w:type="textWrapping"/>
      </w:r>
      <m:oMath>
        <m:r>
          <w:rPr>
            <w:rFonts w:ascii="Times New Roman" w:cs="Times New Roman" w:eastAsia="Times New Roman" w:hAnsi="Times New Roman"/>
            <w:b w:val="0"/>
            <w:sz w:val="20"/>
            <w:szCs w:val="20"/>
          </w:rPr>
          <m:t xml:space="preserve">R=</m:t>
        </m:r>
        <m:nary>
          <m:naryPr>
            <m:chr m:val="∑"/>
            <m:ctrlPr>
              <w:rPr>
                <w:rFonts w:ascii="Times New Roman" w:cs="Times New Roman" w:eastAsia="Times New Roman" w:hAnsi="Times New Roman"/>
                <w:b w:val="0"/>
                <w:sz w:val="20"/>
                <w:szCs w:val="20"/>
              </w:rPr>
            </m:ctrlPr>
          </m:naryPr>
          <m:sub>
            <m:r>
              <w:rPr>
                <w:rFonts w:ascii="Times New Roman" w:cs="Times New Roman" w:eastAsia="Times New Roman" w:hAnsi="Times New Roman"/>
                <w:b w:val="0"/>
                <w:sz w:val="20"/>
                <w:szCs w:val="20"/>
              </w:rPr>
              <m:t xml:space="preserve">i=1</m:t>
            </m:r>
          </m:sub>
          <m:sup/>
        </m:nary>
        <m:sSub>
          <m:sSubPr>
            <m:ctrlPr>
              <w:rPr>
                <w:rFonts w:ascii="Times New Roman" w:cs="Times New Roman" w:eastAsia="Times New Roman" w:hAnsi="Times New Roman"/>
                <w:b w:val="0"/>
                <w:sz w:val="20"/>
                <w:szCs w:val="20"/>
              </w:rPr>
            </m:ctrlPr>
          </m:sSubPr>
          <m:e>
            <m:r>
              <w:rPr>
                <w:rFonts w:ascii="Times New Roman" w:cs="Times New Roman" w:eastAsia="Times New Roman" w:hAnsi="Times New Roman"/>
                <w:b w:val="0"/>
                <w:sz w:val="20"/>
                <w:szCs w:val="20"/>
              </w:rPr>
              <m:t xml:space="preserve">P</m:t>
            </m:r>
          </m:e>
          <m:sub>
            <m:r>
              <w:rPr>
                <w:rFonts w:ascii="Times New Roman" w:cs="Times New Roman" w:eastAsia="Times New Roman" w:hAnsi="Times New Roman"/>
                <w:b w:val="0"/>
                <w:sz w:val="20"/>
                <w:szCs w:val="20"/>
              </w:rPr>
              <m:t xml:space="preserve">i</m:t>
            </m:r>
          </m:sub>
        </m:sSub>
        <m:r>
          <w:rPr>
            <w:rFonts w:ascii="Times New Roman" w:cs="Times New Roman" w:eastAsia="Times New Roman" w:hAnsi="Times New Roman"/>
            <w:b w:val="0"/>
            <w:sz w:val="20"/>
            <w:szCs w:val="20"/>
          </w:rPr>
          <m:t xml:space="preserve"> </m:t>
        </m:r>
        <m:r>
          <w:rPr>
            <w:rFonts w:ascii="Times New Roman" w:cs="Times New Roman" w:eastAsia="Times New Roman" w:hAnsi="Times New Roman"/>
            <w:b w:val="0"/>
            <w:sz w:val="20"/>
            <w:szCs w:val="20"/>
          </w:rPr>
          <m:t>×</m:t>
        </m:r>
        <m:sSub>
          <m:sSubPr>
            <m:ctrlPr>
              <w:rPr>
                <w:rFonts w:ascii="Times New Roman" w:cs="Times New Roman" w:eastAsia="Times New Roman" w:hAnsi="Times New Roman"/>
                <w:b w:val="0"/>
                <w:sz w:val="20"/>
                <w:szCs w:val="20"/>
              </w:rPr>
            </m:ctrlPr>
          </m:sSubPr>
          <m:e>
            <m:r>
              <w:rPr>
                <w:rFonts w:ascii="Times New Roman" w:cs="Times New Roman" w:eastAsia="Times New Roman" w:hAnsi="Times New Roman"/>
                <w:b w:val="0"/>
                <w:sz w:val="20"/>
                <w:szCs w:val="20"/>
              </w:rPr>
              <m:t xml:space="preserve"> W</m:t>
            </m:r>
          </m:e>
          <m:sub>
            <m:r>
              <w:rPr>
                <w:rFonts w:ascii="Times New Roman" w:cs="Times New Roman" w:eastAsia="Times New Roman" w:hAnsi="Times New Roman"/>
                <w:b w:val="0"/>
                <w:sz w:val="20"/>
                <w:szCs w:val="20"/>
              </w:rPr>
              <m:t xml:space="preserve">i</m:t>
            </m:r>
          </m:sub>
        </m:sSub>
        <m:r>
          <w:rPr>
            <w:rFonts w:ascii="Times New Roman" w:cs="Times New Roman" w:eastAsia="Times New Roman" w:hAnsi="Times New Roman"/>
            <w:b w:val="0"/>
            <w:sz w:val="20"/>
            <w:szCs w:val="20"/>
          </w:rPr>
          <m:t xml:space="preserve">​</m:t>
        </m:r>
      </m:oMath>
      <w:r w:rsidDel="00000000" w:rsidR="00000000" w:rsidRPr="00000000">
        <w:rPr>
          <w:rFonts w:ascii="Times New Roman" w:cs="Times New Roman" w:eastAsia="Times New Roman" w:hAnsi="Times New Roman"/>
          <w:b w:val="0"/>
          <w:sz w:val="20"/>
          <w:szCs w:val="20"/>
          <w:rtl w:val="0"/>
        </w:rPr>
        <w:t xml:space="preserve">  </w:t>
      </w:r>
    </w:p>
    <w:p w:rsidR="00000000" w:rsidDel="00000000" w:rsidP="00000000" w:rsidRDefault="00000000" w:rsidRPr="00000000" w14:paraId="00000062">
      <w:pPr>
        <w:numPr>
          <w:ilvl w:val="0"/>
          <w:numId w:val="10"/>
        </w:numPr>
        <w:spacing w:after="0" w:afterAutospacing="0" w:before="0" w:beforeAutospacing="0" w:lineRule="auto"/>
        <w:ind w:left="720" w:hanging="360"/>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Where </w:t>
      </w:r>
      <m:oMath>
        <m:sSub>
          <m:e>
            <m:sSub>
              <m:sSubPr>
                <m:ctrlPr>
                  <w:rPr>
                    <w:rFonts w:ascii="Times New Roman" w:cs="Times New Roman" w:eastAsia="Times New Roman" w:hAnsi="Times New Roman"/>
                    <w:b w:val="0"/>
                    <w:sz w:val="20"/>
                    <w:szCs w:val="20"/>
                  </w:rPr>
                </m:ctrlPr>
              </m:sSubPr>
              <m:e>
                <m:r>
                  <w:rPr>
                    <w:rFonts w:ascii="Times New Roman" w:cs="Times New Roman" w:eastAsia="Times New Roman" w:hAnsi="Times New Roman"/>
                    <w:b w:val="0"/>
                    <w:sz w:val="20"/>
                    <w:szCs w:val="20"/>
                  </w:rPr>
                  <m:t xml:space="preserve">P</m:t>
                </m:r>
              </m:e>
              <m:sub>
                <m:r>
                  <w:rPr>
                    <w:rFonts w:ascii="Times New Roman" w:cs="Times New Roman" w:eastAsia="Times New Roman" w:hAnsi="Times New Roman"/>
                    <w:b w:val="0"/>
                    <w:sz w:val="20"/>
                    <w:szCs w:val="20"/>
                  </w:rPr>
                  <m:t xml:space="preserve">i</m:t>
                </m:r>
              </m:sub>
            </m:sSub>
          </m:e>
          <m:sub/>
        </m:sSub>
      </m:oMath>
      <w:r w:rsidDel="00000000" w:rsidR="00000000" w:rsidRPr="00000000">
        <w:rPr>
          <w:rFonts w:ascii="Times New Roman" w:cs="Times New Roman" w:eastAsia="Times New Roman" w:hAnsi="Times New Roman"/>
          <w:b w:val="0"/>
          <w:sz w:val="20"/>
          <w:szCs w:val="20"/>
          <w:rtl w:val="0"/>
        </w:rPr>
        <w:t xml:space="preserve">​ = normalized probability of interaction type </w:t>
      </w:r>
      <m:oMath>
        <m:r>
          <w:rPr>
            <w:rFonts w:ascii="Times New Roman" w:cs="Times New Roman" w:eastAsia="Times New Roman" w:hAnsi="Times New Roman"/>
            <w:b w:val="0"/>
            <w:sz w:val="20"/>
            <w:szCs w:val="20"/>
          </w:rPr>
          <m:t xml:space="preserve">i</m:t>
        </m:r>
      </m:oMath>
      <w:r w:rsidDel="00000000" w:rsidR="00000000" w:rsidRPr="00000000">
        <w:rPr>
          <w:rFonts w:ascii="Times New Roman" w:cs="Times New Roman" w:eastAsia="Times New Roman" w:hAnsi="Times New Roman"/>
          <w:b w:val="0"/>
          <w:sz w:val="20"/>
          <w:szCs w:val="20"/>
          <w:rtl w:val="0"/>
        </w:rPr>
        <w:t xml:space="preserve">, and </w:t>
      </w:r>
      <m:oMath>
        <m:sSub>
          <m:sSubPr>
            <m:ctrlPr>
              <w:rPr>
                <w:rFonts w:ascii="Times New Roman" w:cs="Times New Roman" w:eastAsia="Times New Roman" w:hAnsi="Times New Roman"/>
                <w:b w:val="0"/>
                <w:sz w:val="20"/>
                <w:szCs w:val="20"/>
              </w:rPr>
            </m:ctrlPr>
          </m:sSubPr>
          <m:e>
            <m:r>
              <w:rPr>
                <w:rFonts w:ascii="Times New Roman" w:cs="Times New Roman" w:eastAsia="Times New Roman" w:hAnsi="Times New Roman"/>
                <w:b w:val="0"/>
                <w:sz w:val="20"/>
                <w:szCs w:val="20"/>
              </w:rPr>
              <m:t xml:space="preserve">W</m:t>
            </m:r>
          </m:e>
          <m:sub>
            <m:r>
              <w:rPr>
                <w:rFonts w:ascii="Times New Roman" w:cs="Times New Roman" w:eastAsia="Times New Roman" w:hAnsi="Times New Roman"/>
                <w:b w:val="0"/>
                <w:sz w:val="20"/>
                <w:szCs w:val="20"/>
              </w:rPr>
              <m:t xml:space="preserve">i</m:t>
            </m:r>
          </m:sub>
        </m:sSub>
      </m:oMath>
      <w:r w:rsidDel="00000000" w:rsidR="00000000" w:rsidRPr="00000000">
        <w:rPr>
          <w:rFonts w:ascii="Times New Roman" w:cs="Times New Roman" w:eastAsia="Times New Roman" w:hAnsi="Times New Roman"/>
          <w:b w:val="0"/>
          <w:sz w:val="20"/>
          <w:szCs w:val="20"/>
          <w:rtl w:val="0"/>
        </w:rPr>
        <w:t xml:space="preserve">​ = corresponding severity weight</w:t>
      </w:r>
    </w:p>
    <w:p w:rsidR="00000000" w:rsidDel="00000000" w:rsidP="00000000" w:rsidRDefault="00000000" w:rsidRPr="00000000" w14:paraId="00000063">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Categorization:</w:t>
      </w:r>
    </w:p>
    <w:p w:rsidR="00000000" w:rsidDel="00000000" w:rsidP="00000000" w:rsidRDefault="00000000" w:rsidRPr="00000000" w14:paraId="00000064">
      <w:pPr>
        <w:numPr>
          <w:ilvl w:val="0"/>
          <w:numId w:val="3"/>
        </w:numPr>
        <w:spacing w:after="0" w:afterAutospacing="0" w:before="0" w:beforeAutospacing="0" w:lineRule="auto"/>
        <w:ind w:left="720" w:hanging="360"/>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Scores are mapped to categorical risk levels:</w:t>
        <w:br w:type="textWrapping"/>
      </w:r>
    </w:p>
    <w:p w:rsidR="00000000" w:rsidDel="00000000" w:rsidP="00000000" w:rsidRDefault="00000000" w:rsidRPr="00000000" w14:paraId="00000065">
      <w:pPr>
        <w:numPr>
          <w:ilvl w:val="1"/>
          <w:numId w:val="3"/>
        </w:numPr>
        <w:spacing w:after="0" w:afterAutospacing="0" w:before="0" w:beforeAutospacing="0" w:lineRule="auto"/>
        <w:ind w:left="1440" w:hanging="360"/>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sz w:val="20"/>
          <w:szCs w:val="20"/>
          <w:rtl w:val="0"/>
        </w:rPr>
        <w:t xml:space="preserve">Low Risk (R &lt; 0.3)</w:t>
      </w:r>
      <w:r w:rsidDel="00000000" w:rsidR="00000000" w:rsidRPr="00000000">
        <w:rPr>
          <w:rFonts w:ascii="Times New Roman" w:cs="Times New Roman" w:eastAsia="Times New Roman" w:hAnsi="Times New Roman"/>
          <w:b w:val="0"/>
          <w:sz w:val="20"/>
          <w:szCs w:val="20"/>
          <w:rtl w:val="0"/>
        </w:rPr>
        <w:t xml:space="preserve"> – minor or unlikely clinical impact</w:t>
        <w:br w:type="textWrapping"/>
      </w:r>
    </w:p>
    <w:p w:rsidR="00000000" w:rsidDel="00000000" w:rsidP="00000000" w:rsidRDefault="00000000" w:rsidRPr="00000000" w14:paraId="00000066">
      <w:pPr>
        <w:numPr>
          <w:ilvl w:val="1"/>
          <w:numId w:val="3"/>
        </w:numPr>
        <w:spacing w:after="0" w:afterAutospacing="0" w:before="0" w:beforeAutospacing="0" w:lineRule="auto"/>
        <w:ind w:left="1440" w:hanging="360"/>
        <w:rPr>
          <w:rFonts w:ascii="Times New Roman" w:cs="Times New Roman" w:eastAsia="Times New Roman" w:hAnsi="Times New Roman"/>
          <w:b w:val="0"/>
          <w:sz w:val="20"/>
          <w:szCs w:val="20"/>
        </w:rPr>
      </w:pPr>
      <w:sdt>
        <w:sdtPr>
          <w:id w:val="434597455"/>
          <w:tag w:val="goog_rdk_3"/>
        </w:sdtPr>
        <w:sdtContent>
          <w:r w:rsidDel="00000000" w:rsidR="00000000" w:rsidRPr="00000000">
            <w:rPr>
              <w:rFonts w:ascii="Gungsuh" w:cs="Gungsuh" w:eastAsia="Gungsuh" w:hAnsi="Gungsuh"/>
              <w:sz w:val="20"/>
              <w:szCs w:val="20"/>
              <w:rtl w:val="0"/>
            </w:rPr>
            <w:t xml:space="preserve">Moderate Risk (0.3 ≤ R &lt; 0.7)</w:t>
          </w:r>
        </w:sdtContent>
      </w:sdt>
      <w:r w:rsidDel="00000000" w:rsidR="00000000" w:rsidRPr="00000000">
        <w:rPr>
          <w:rFonts w:ascii="Times New Roman" w:cs="Times New Roman" w:eastAsia="Times New Roman" w:hAnsi="Times New Roman"/>
          <w:b w:val="0"/>
          <w:sz w:val="20"/>
          <w:szCs w:val="20"/>
          <w:rtl w:val="0"/>
        </w:rPr>
        <w:t xml:space="preserve"> – possible or context-dependent interaction</w:t>
        <w:br w:type="textWrapping"/>
      </w:r>
    </w:p>
    <w:p w:rsidR="00000000" w:rsidDel="00000000" w:rsidP="00000000" w:rsidRDefault="00000000" w:rsidRPr="00000000" w14:paraId="00000067">
      <w:pPr>
        <w:numPr>
          <w:ilvl w:val="1"/>
          <w:numId w:val="3"/>
        </w:numPr>
        <w:spacing w:after="240" w:before="0" w:beforeAutospacing="0" w:lineRule="auto"/>
        <w:ind w:left="1440" w:hanging="360"/>
        <w:rPr>
          <w:rFonts w:ascii="Times New Roman" w:cs="Times New Roman" w:eastAsia="Times New Roman" w:hAnsi="Times New Roman"/>
          <w:b w:val="0"/>
          <w:sz w:val="20"/>
          <w:szCs w:val="20"/>
        </w:rPr>
      </w:pPr>
      <w:sdt>
        <w:sdtPr>
          <w:id w:val="-708358339"/>
          <w:tag w:val="goog_rdk_4"/>
        </w:sdtPr>
        <w:sdtContent>
          <w:r w:rsidDel="00000000" w:rsidR="00000000" w:rsidRPr="00000000">
            <w:rPr>
              <w:rFonts w:ascii="Gungsuh" w:cs="Gungsuh" w:eastAsia="Gungsuh" w:hAnsi="Gungsuh"/>
              <w:sz w:val="20"/>
              <w:szCs w:val="20"/>
              <w:rtl w:val="0"/>
            </w:rPr>
            <w:t xml:space="preserve">High Risk (R ≥ 0.7)</w:t>
          </w:r>
        </w:sdtContent>
      </w:sdt>
      <w:r w:rsidDel="00000000" w:rsidR="00000000" w:rsidRPr="00000000">
        <w:rPr>
          <w:rFonts w:ascii="Times New Roman" w:cs="Times New Roman" w:eastAsia="Times New Roman" w:hAnsi="Times New Roman"/>
          <w:b w:val="0"/>
          <w:sz w:val="20"/>
          <w:szCs w:val="20"/>
          <w:rtl w:val="0"/>
        </w:rPr>
        <w:t xml:space="preserve"> – clinically significant; requires caution (Luo et al., 2022)</w:t>
      </w:r>
    </w:p>
    <w:sdt>
      <w:sdtPr>
        <w:lock w:val="contentLocked"/>
        <w:id w:val="-1523818508"/>
        <w:tag w:val="goog_rdk_9"/>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Rule="auto"/>
                  <w:jc w:val="cente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Model Output Probabilities</w:t>
                </w:r>
              </w:p>
              <w:p w:rsidR="00000000" w:rsidDel="00000000" w:rsidP="00000000" w:rsidRDefault="00000000" w:rsidRPr="00000000" w14:paraId="00000069">
                <w:pPr>
                  <w:widowControl w:val="0"/>
                  <w:spacing w:after="0" w:lineRule="auto"/>
                  <w:jc w:val="center"/>
                  <w:rPr>
                    <w:rFonts w:ascii="Times New Roman" w:cs="Times New Roman" w:eastAsia="Times New Roman" w:hAnsi="Times New Roman"/>
                    <w:b w:val="0"/>
                    <w:sz w:val="20"/>
                    <w:szCs w:val="20"/>
                  </w:rPr>
                </w:pPr>
                <w:sdt>
                  <w:sdtPr>
                    <w:id w:val="1044432520"/>
                    <w:tag w:val="goog_rdk_5"/>
                  </w:sdtPr>
                  <w:sdtContent>
                    <w:r w:rsidDel="00000000" w:rsidR="00000000" w:rsidRPr="00000000">
                      <w:rPr>
                        <w:rFonts w:ascii="Cardo" w:cs="Cardo" w:eastAsia="Cardo" w:hAnsi="Cardo"/>
                        <w:b w:val="0"/>
                        <w:sz w:val="20"/>
                        <w:szCs w:val="20"/>
                        <w:rtl w:val="0"/>
                      </w:rPr>
                      <w:t xml:space="preserve">          ↓</w:t>
                    </w:r>
                  </w:sdtContent>
                </w:sdt>
              </w:p>
              <w:p w:rsidR="00000000" w:rsidDel="00000000" w:rsidP="00000000" w:rsidRDefault="00000000" w:rsidRPr="00000000" w14:paraId="0000006A">
                <w:pPr>
                  <w:widowControl w:val="0"/>
                  <w:spacing w:after="0" w:lineRule="auto"/>
                  <w:jc w:val="cente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     Normalization</w:t>
                </w:r>
              </w:p>
              <w:p w:rsidR="00000000" w:rsidDel="00000000" w:rsidP="00000000" w:rsidRDefault="00000000" w:rsidRPr="00000000" w14:paraId="0000006B">
                <w:pPr>
                  <w:widowControl w:val="0"/>
                  <w:spacing w:after="0" w:lineRule="auto"/>
                  <w:jc w:val="center"/>
                  <w:rPr>
                    <w:rFonts w:ascii="Times New Roman" w:cs="Times New Roman" w:eastAsia="Times New Roman" w:hAnsi="Times New Roman"/>
                    <w:b w:val="0"/>
                    <w:sz w:val="20"/>
                    <w:szCs w:val="20"/>
                  </w:rPr>
                </w:pPr>
                <w:sdt>
                  <w:sdtPr>
                    <w:id w:val="1552174505"/>
                    <w:tag w:val="goog_rdk_6"/>
                  </w:sdtPr>
                  <w:sdtContent>
                    <w:r w:rsidDel="00000000" w:rsidR="00000000" w:rsidRPr="00000000">
                      <w:rPr>
                        <w:rFonts w:ascii="Cardo" w:cs="Cardo" w:eastAsia="Cardo" w:hAnsi="Cardo"/>
                        <w:b w:val="0"/>
                        <w:sz w:val="20"/>
                        <w:szCs w:val="20"/>
                        <w:rtl w:val="0"/>
                      </w:rPr>
                      <w:t xml:space="preserve">          ↓</w:t>
                    </w:r>
                  </w:sdtContent>
                </w:sdt>
              </w:p>
              <w:p w:rsidR="00000000" w:rsidDel="00000000" w:rsidP="00000000" w:rsidRDefault="00000000" w:rsidRPr="00000000" w14:paraId="0000006C">
                <w:pPr>
                  <w:widowControl w:val="0"/>
                  <w:spacing w:after="0" w:lineRule="auto"/>
                  <w:jc w:val="cente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 Weighted Risk Calculation</w:t>
                </w:r>
              </w:p>
              <w:p w:rsidR="00000000" w:rsidDel="00000000" w:rsidP="00000000" w:rsidRDefault="00000000" w:rsidRPr="00000000" w14:paraId="0000006D">
                <w:pPr>
                  <w:widowControl w:val="0"/>
                  <w:spacing w:after="0" w:lineRule="auto"/>
                  <w:jc w:val="center"/>
                  <w:rPr>
                    <w:rFonts w:ascii="Times New Roman" w:cs="Times New Roman" w:eastAsia="Times New Roman" w:hAnsi="Times New Roman"/>
                    <w:b w:val="0"/>
                    <w:sz w:val="20"/>
                    <w:szCs w:val="20"/>
                  </w:rPr>
                </w:pPr>
                <w:sdt>
                  <w:sdtPr>
                    <w:id w:val="-1990319038"/>
                    <w:tag w:val="goog_rdk_7"/>
                  </w:sdtPr>
                  <w:sdtContent>
                    <w:r w:rsidDel="00000000" w:rsidR="00000000" w:rsidRPr="00000000">
                      <w:rPr>
                        <w:rFonts w:ascii="Cardo" w:cs="Cardo" w:eastAsia="Cardo" w:hAnsi="Cardo"/>
                        <w:b w:val="0"/>
                        <w:sz w:val="20"/>
                        <w:szCs w:val="20"/>
                        <w:rtl w:val="0"/>
                      </w:rPr>
                      <w:t xml:space="preserve">          ↓</w:t>
                    </w:r>
                  </w:sdtContent>
                </w:sdt>
              </w:p>
              <w:p w:rsidR="00000000" w:rsidDel="00000000" w:rsidP="00000000" w:rsidRDefault="00000000" w:rsidRPr="00000000" w14:paraId="0000006E">
                <w:pPr>
                  <w:widowControl w:val="0"/>
                  <w:spacing w:after="0" w:lineRule="auto"/>
                  <w:jc w:val="cente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     Risk Categorization</w:t>
                </w:r>
              </w:p>
              <w:p w:rsidR="00000000" w:rsidDel="00000000" w:rsidP="00000000" w:rsidRDefault="00000000" w:rsidRPr="00000000" w14:paraId="0000006F">
                <w:pPr>
                  <w:widowControl w:val="0"/>
                  <w:spacing w:after="0" w:lineRule="auto"/>
                  <w:jc w:val="center"/>
                  <w:rPr>
                    <w:rFonts w:ascii="Times New Roman" w:cs="Times New Roman" w:eastAsia="Times New Roman" w:hAnsi="Times New Roman"/>
                    <w:b w:val="0"/>
                    <w:sz w:val="20"/>
                    <w:szCs w:val="20"/>
                  </w:rPr>
                </w:pPr>
                <w:sdt>
                  <w:sdtPr>
                    <w:id w:val="553556506"/>
                    <w:tag w:val="goog_rdk_8"/>
                  </w:sdtPr>
                  <w:sdtContent>
                    <w:r w:rsidDel="00000000" w:rsidR="00000000" w:rsidRPr="00000000">
                      <w:rPr>
                        <w:rFonts w:ascii="Cardo" w:cs="Cardo" w:eastAsia="Cardo" w:hAnsi="Cardo"/>
                        <w:b w:val="0"/>
                        <w:sz w:val="20"/>
                        <w:szCs w:val="20"/>
                        <w:rtl w:val="0"/>
                      </w:rPr>
                      <w:t xml:space="preserve">          ↓</w:t>
                    </w:r>
                  </w:sdtContent>
                </w:sdt>
              </w:p>
              <w:p w:rsidR="00000000" w:rsidDel="00000000" w:rsidP="00000000" w:rsidRDefault="00000000" w:rsidRPr="00000000" w14:paraId="00000070">
                <w:pPr>
                  <w:widowControl w:val="0"/>
                  <w:spacing w:after="0" w:lineRule="auto"/>
                  <w:jc w:val="cente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   Final Risk Level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sz w:val="16"/>
                    <w:szCs w:val="16"/>
                  </w:rPr>
                </w:pPr>
                <w:r w:rsidDel="00000000" w:rsidR="00000000" w:rsidRPr="00000000">
                  <w:rPr>
                    <w:rFonts w:ascii="Times New Roman" w:cs="Times New Roman" w:eastAsia="Times New Roman" w:hAnsi="Times New Roman"/>
                    <w:i w:val="1"/>
                    <w:sz w:val="16"/>
                    <w:szCs w:val="16"/>
                    <w:rtl w:val="0"/>
                  </w:rPr>
                  <w:t xml:space="preserve">Figure 4:</w:t>
                </w:r>
                <w:r w:rsidDel="00000000" w:rsidR="00000000" w:rsidRPr="00000000">
                  <w:rPr>
                    <w:rFonts w:ascii="Times New Roman" w:cs="Times New Roman" w:eastAsia="Times New Roman" w:hAnsi="Times New Roman"/>
                    <w:b w:val="0"/>
                    <w:sz w:val="16"/>
                    <w:szCs w:val="16"/>
                    <w:rtl w:val="0"/>
                  </w:rPr>
                  <w:t xml:space="preserve"> High-Level Flow Diagram of the Risk Scoring System</w:t>
                </w:r>
              </w:p>
            </w:tc>
          </w:tr>
        </w:tbl>
      </w:sdtContent>
    </w:sdt>
    <w:p w:rsidR="00000000" w:rsidDel="00000000" w:rsidP="00000000" w:rsidRDefault="00000000" w:rsidRPr="00000000" w14:paraId="000000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with Model:</w:t>
      </w:r>
    </w:p>
    <w:p w:rsidR="00000000" w:rsidDel="00000000" w:rsidP="00000000" w:rsidRDefault="00000000" w:rsidRPr="00000000" w14:paraId="00000073">
      <w:pPr>
        <w:numPr>
          <w:ilvl w:val="0"/>
          <w:numId w:val="7"/>
        </w:numPr>
        <w:spacing w:after="0" w:afterAutospacing="0" w:before="240" w:lineRule="auto"/>
        <w:ind w:left="720" w:hanging="360"/>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Post-processing layer after relation-classification head</w:t>
      </w:r>
    </w:p>
    <w:p w:rsidR="00000000" w:rsidDel="00000000" w:rsidP="00000000" w:rsidRDefault="00000000" w:rsidRPr="00000000" w14:paraId="00000074">
      <w:pPr>
        <w:numPr>
          <w:ilvl w:val="0"/>
          <w:numId w:val="7"/>
        </w:numPr>
        <w:spacing w:after="240" w:before="0" w:beforeAutospacing="0" w:lineRule="auto"/>
        <w:ind w:left="720" w:hanging="360"/>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Modular design allows adaptation for additional interaction types</w:t>
      </w:r>
    </w:p>
    <w:p w:rsidR="00000000" w:rsidDel="00000000" w:rsidP="00000000" w:rsidRDefault="00000000" w:rsidRPr="00000000" w14:paraId="0000007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Handling:</w:t>
      </w:r>
    </w:p>
    <w:p w:rsidR="00000000" w:rsidDel="00000000" w:rsidP="00000000" w:rsidRDefault="00000000" w:rsidRPr="00000000" w14:paraId="00000076">
      <w:pPr>
        <w:numPr>
          <w:ilvl w:val="0"/>
          <w:numId w:val="2"/>
        </w:numPr>
        <w:spacing w:after="0" w:afterAutospacing="0" w:before="240" w:lineRule="auto"/>
        <w:ind w:left="720" w:hanging="360"/>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Low-confidence predictions (&lt;0.2) flagged for manual review</w:t>
      </w:r>
    </w:p>
    <w:p w:rsidR="00000000" w:rsidDel="00000000" w:rsidP="00000000" w:rsidRDefault="00000000" w:rsidRPr="00000000" w14:paraId="00000077">
      <w:pPr>
        <w:numPr>
          <w:ilvl w:val="0"/>
          <w:numId w:val="2"/>
        </w:numPr>
        <w:spacing w:after="0" w:afterAutospacing="0" w:before="0" w:beforeAutospacing="0" w:lineRule="auto"/>
        <w:ind w:left="720" w:hanging="360"/>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Improves reliability and interpretability</w:t>
      </w:r>
      <w:r w:rsidDel="00000000" w:rsidR="00000000" w:rsidRPr="00000000">
        <w:rPr>
          <w:rtl w:val="0"/>
        </w:rPr>
      </w:r>
    </w:p>
    <w:p w:rsidR="00000000" w:rsidDel="00000000" w:rsidP="00000000" w:rsidRDefault="00000000" w:rsidRPr="00000000" w14:paraId="00000078">
      <w:pPr>
        <w:pStyle w:val="Heading1"/>
        <w:numPr>
          <w:ilvl w:val="0"/>
          <w:numId w:val="11"/>
        </w:numPr>
        <w:spacing w:before="0" w:beforeAutospacing="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Difficulties Encountered in Reporting Period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73763"/>
          <w:rtl w:val="0"/>
        </w:rPr>
        <w:t xml:space="preserve">(Provide detailed information on the difficulties and issues that you encountered during the reporting period and how you plan to address these in the following periods)</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w:t>
      </w:r>
    </w:p>
    <w:p w:rsidR="00000000" w:rsidDel="00000000" w:rsidP="00000000" w:rsidRDefault="00000000" w:rsidRPr="00000000" w14:paraId="0000007B">
      <w:pP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Student A: </w:t>
      </w:r>
    </w:p>
    <w:p w:rsidR="00000000" w:rsidDel="00000000" w:rsidP="00000000" w:rsidRDefault="00000000" w:rsidRPr="00000000" w14:paraId="0000007C">
      <w:pPr>
        <w:numPr>
          <w:ilvl w:val="0"/>
          <w:numId w:val="15"/>
        </w:numPr>
        <w:ind w:left="720" w:hanging="360"/>
        <w:rPr>
          <w:rFonts w:ascii="Times New Roman" w:cs="Times New Roman" w:eastAsia="Times New Roman" w:hAnsi="Times New Roman"/>
          <w:b w:val="0"/>
          <w:sz w:val="24"/>
          <w:szCs w:val="24"/>
          <w:u w:val="none"/>
        </w:rPr>
      </w:pPr>
      <w:r w:rsidDel="00000000" w:rsidR="00000000" w:rsidRPr="00000000">
        <w:rPr>
          <w:rFonts w:ascii="Times New Roman" w:cs="Times New Roman" w:eastAsia="Times New Roman" w:hAnsi="Times New Roman"/>
          <w:b w:val="0"/>
          <w:sz w:val="24"/>
          <w:szCs w:val="24"/>
          <w:rtl w:val="0"/>
        </w:rPr>
        <w:t xml:space="preserve">The primary difficulty was designing a robust parsing script for the DDIExtraction 2013 XML data. I discovered that the corpus contains some structural inconsistencies and occasional annotation errors. This required building a more complex parser with significant validation and error-handling logic to ensure the integrity of the extracted data, which was more time-consuming than initially anticipated.</w:t>
      </w:r>
    </w:p>
    <w:p w:rsidR="00000000" w:rsidDel="00000000" w:rsidP="00000000" w:rsidRDefault="00000000" w:rsidRPr="00000000" w14:paraId="0000007D">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Student B:</w:t>
      </w:r>
    </w:p>
    <w:p w:rsidR="00000000" w:rsidDel="00000000" w:rsidP="00000000" w:rsidRDefault="00000000" w:rsidRPr="00000000" w14:paraId="0000007F">
      <w:pPr>
        <w:numPr>
          <w:ilvl w:val="0"/>
          <w:numId w:val="13"/>
        </w:numPr>
        <w:ind w:left="720" w:hanging="360"/>
        <w:rPr>
          <w:rFonts w:ascii="Times New Roman" w:cs="Times New Roman" w:eastAsia="Times New Roman" w:hAnsi="Times New Roman"/>
          <w:b w:val="0"/>
          <w:sz w:val="24"/>
          <w:szCs w:val="24"/>
          <w:u w:val="none"/>
        </w:rPr>
      </w:pPr>
      <w:r w:rsidDel="00000000" w:rsidR="00000000" w:rsidRPr="00000000">
        <w:rPr>
          <w:rFonts w:ascii="Times New Roman" w:cs="Times New Roman" w:eastAsia="Times New Roman" w:hAnsi="Times New Roman"/>
          <w:b w:val="0"/>
          <w:sz w:val="24"/>
          <w:szCs w:val="24"/>
          <w:rtl w:val="0"/>
        </w:rPr>
        <w:t xml:space="preserve">Researching and developing a model takes a lot of time. This, combined with the ongoing midterm season + assignments, makes it difficult to keep up and plan a correct approach. Will use online AI to help with more tedious tasks and speed up the process, allowing for a more efficient use of time.</w:t>
      </w:r>
    </w:p>
    <w:p w:rsidR="00000000" w:rsidDel="00000000" w:rsidP="00000000" w:rsidRDefault="00000000" w:rsidRPr="00000000" w14:paraId="00000080">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Student C:</w:t>
      </w:r>
    </w:p>
    <w:p w:rsidR="00000000" w:rsidDel="00000000" w:rsidP="00000000" w:rsidRDefault="00000000" w:rsidRPr="00000000" w14:paraId="00000082">
      <w:pPr>
        <w:numPr>
          <w:ilvl w:val="0"/>
          <w:numId w:val="1"/>
        </w:numPr>
        <w:ind w:left="720" w:hanging="360"/>
        <w:rPr>
          <w:rFonts w:ascii="Times New Roman" w:cs="Times New Roman" w:eastAsia="Times New Roman" w:hAnsi="Times New Roman"/>
          <w:b w:val="0"/>
          <w:sz w:val="24"/>
          <w:szCs w:val="24"/>
          <w:u w:val="none"/>
        </w:rPr>
      </w:pPr>
      <w:r w:rsidDel="00000000" w:rsidR="00000000" w:rsidRPr="00000000">
        <w:rPr>
          <w:rFonts w:ascii="Times New Roman" w:cs="Times New Roman" w:eastAsia="Times New Roman" w:hAnsi="Times New Roman"/>
          <w:b w:val="0"/>
          <w:sz w:val="24"/>
          <w:szCs w:val="24"/>
          <w:rtl w:val="0"/>
        </w:rPr>
        <w:t xml:space="preserve">The primary challenge was effectively designing and communicating two separate but related architectures. It required careful thought to ensure that the detailed MLOps pipeline (the "how" the model is built) logically fits into the broader microservices architecture (the "what" the final application does) as a single, deployable service. Creating two clear diagrams was essential to prevent confusion and show that they represent two different levels of detail for the same cohesive system.</w:t>
      </w:r>
    </w:p>
    <w:p w:rsidR="00000000" w:rsidDel="00000000" w:rsidP="00000000" w:rsidRDefault="00000000" w:rsidRPr="00000000" w14:paraId="00000083">
      <w:pPr>
        <w:rPr>
          <w:rFonts w:ascii="Times New Roman" w:cs="Times New Roman" w:eastAsia="Times New Roman" w:hAnsi="Times New Roman"/>
          <w:sz w:val="24"/>
          <w:szCs w:val="24"/>
          <w:shd w:fill="ead1dc" w:val="clear"/>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Student D:</w:t>
      </w:r>
    </w:p>
    <w:p w:rsidR="00000000" w:rsidDel="00000000" w:rsidP="00000000" w:rsidRDefault="00000000" w:rsidRPr="00000000" w14:paraId="00000085">
      <w:pPr>
        <w:numPr>
          <w:ilvl w:val="0"/>
          <w:numId w:val="6"/>
        </w:numPr>
        <w:spacing w:after="0" w:afterAutospacing="0" w:before="240" w:lineRule="auto"/>
        <w:ind w:left="720" w:hanging="360"/>
        <w:rPr>
          <w:rFonts w:ascii="Times New Roman" w:cs="Times New Roman" w:eastAsia="Times New Roman" w:hAnsi="Times New Roman"/>
          <w:b w:val="0"/>
          <w:sz w:val="24"/>
          <w:szCs w:val="24"/>
          <w:u w:val="none"/>
        </w:rPr>
      </w:pPr>
      <w:r w:rsidDel="00000000" w:rsidR="00000000" w:rsidRPr="00000000">
        <w:rPr>
          <w:rFonts w:ascii="Times New Roman" w:cs="Times New Roman" w:eastAsia="Times New Roman" w:hAnsi="Times New Roman"/>
          <w:b w:val="0"/>
          <w:sz w:val="24"/>
          <w:szCs w:val="24"/>
          <w:rtl w:val="0"/>
        </w:rPr>
        <w:t xml:space="preserve">One difficulty was choosing appropriate severity weights for each DDI category, because different sources define risk levels differently. To address this, the plan is to align the weights with DrugBank’s standardized annotations and validate them using examples from the DDIExtraction 2013 dataset.</w:t>
      </w:r>
    </w:p>
    <w:p w:rsidR="00000000" w:rsidDel="00000000" w:rsidP="00000000" w:rsidRDefault="00000000" w:rsidRPr="00000000" w14:paraId="00000086">
      <w:pPr>
        <w:numPr>
          <w:ilvl w:val="0"/>
          <w:numId w:val="6"/>
        </w:numPr>
        <w:spacing w:after="240" w:before="0" w:beforeAutospacing="0" w:lineRule="auto"/>
        <w:ind w:left="720" w:hanging="360"/>
        <w:rPr>
          <w:rFonts w:ascii="Times New Roman" w:cs="Times New Roman" w:eastAsia="Times New Roman" w:hAnsi="Times New Roman"/>
          <w:b w:val="0"/>
          <w:sz w:val="24"/>
          <w:szCs w:val="24"/>
          <w:u w:val="none"/>
        </w:rPr>
      </w:pPr>
      <w:r w:rsidDel="00000000" w:rsidR="00000000" w:rsidRPr="00000000">
        <w:rPr>
          <w:rFonts w:ascii="Times New Roman" w:cs="Times New Roman" w:eastAsia="Times New Roman" w:hAnsi="Times New Roman"/>
          <w:b w:val="0"/>
          <w:sz w:val="24"/>
          <w:szCs w:val="24"/>
          <w:rtl w:val="0"/>
        </w:rPr>
        <w:t xml:space="preserve">Another challenge was making the risk scores understandable for clinicians. To improve interpretability, explanatory labels, threshold rationales, and visualizations of the score distributions will be added.</w:t>
      </w:r>
    </w:p>
    <w:p w:rsidR="00000000" w:rsidDel="00000000" w:rsidP="00000000" w:rsidRDefault="00000000" w:rsidRPr="00000000" w14:paraId="00000087">
      <w:pPr>
        <w:ind w:left="0" w:firstLine="0"/>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89">
      <w:pPr>
        <w:pStyle w:val="Heading1"/>
        <w:numPr>
          <w:ilvl w:val="0"/>
          <w:numId w:val="11"/>
        </w:numPr>
        <w:ind w:left="360" w:hanging="360"/>
        <w:rPr/>
      </w:pPr>
      <w:r w:rsidDel="00000000" w:rsidR="00000000" w:rsidRPr="00000000">
        <w:rPr>
          <w:rFonts w:ascii="Times New Roman" w:cs="Times New Roman" w:eastAsia="Times New Roman" w:hAnsi="Times New Roman"/>
          <w:b w:val="1"/>
          <w:rtl w:val="0"/>
        </w:rPr>
        <w:t xml:space="preserve">Tasks to Be Completed in the Next Reporting Period</w:t>
      </w:r>
      <w:r w:rsidDel="00000000" w:rsidR="00000000" w:rsidRPr="00000000">
        <w:rPr>
          <w:rFonts w:ascii="Times New Roman" w:cs="Times New Roman" w:eastAsia="Times New Roman" w:hAnsi="Times New Roman"/>
          <w:b w:val="1"/>
          <w:color w:val="073763"/>
          <w:rtl w:val="0"/>
        </w:rPr>
        <w:t xml:space="preserve"> </w:t>
      </w:r>
      <w:r w:rsidDel="00000000" w:rsidR="00000000" w:rsidRPr="00000000">
        <w:rPr>
          <w:rFonts w:ascii="Times New Roman" w:cs="Times New Roman" w:eastAsia="Times New Roman" w:hAnsi="Times New Roman"/>
          <w:color w:val="073763"/>
          <w:rtl w:val="0"/>
        </w:rPr>
        <w:t xml:space="preserve">(Outline the tasks to be completed in the next reporting period. Please note this should match with your milestones submitted to your FLC in Week 3; however, in consultation with (and approval of) your FLC, you can modify this to accommodate incomplete tasks from the previous period. Here, you should also identify the Project Manager for the next period.</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w:t>
      </w:r>
    </w:p>
    <w:p w:rsidR="00000000" w:rsidDel="00000000" w:rsidP="00000000" w:rsidRDefault="00000000" w:rsidRPr="00000000" w14:paraId="0000008B">
      <w:pP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Student A: </w:t>
      </w:r>
    </w:p>
    <w:p w:rsidR="00000000" w:rsidDel="00000000" w:rsidP="00000000" w:rsidRDefault="00000000" w:rsidRPr="00000000" w14:paraId="0000008C">
      <w:pPr>
        <w:numPr>
          <w:ilvl w:val="0"/>
          <w:numId w:val="5"/>
        </w:numPr>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I will finalize our data strategy to ensure robust model training, as outlined in the project milestones. My main task will be to design and document a formal plan for handling the significant class imbalance within the dataset. This plan will specify the implementation details for techniques such as a weighted loss function, justifying the choice based on established biomedical NLP research to prevent model bias. Finally, I will consolidate all data-related designs into the final “Data Management and Preprocessing Plan” document.</w:t>
      </w:r>
    </w:p>
    <w:p w:rsidR="00000000" w:rsidDel="00000000" w:rsidP="00000000" w:rsidRDefault="00000000" w:rsidRPr="00000000" w14:paraId="0000008D">
      <w:pPr>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Student B:</w:t>
      </w:r>
    </w:p>
    <w:p w:rsidR="00000000" w:rsidDel="00000000" w:rsidP="00000000" w:rsidRDefault="00000000" w:rsidRPr="00000000" w14:paraId="0000008E">
      <w:pPr>
        <w:numPr>
          <w:ilvl w:val="0"/>
          <w:numId w:val="8"/>
        </w:numPr>
        <w:ind w:left="720" w:hanging="360"/>
        <w:rPr>
          <w:rFonts w:ascii="Times New Roman" w:cs="Times New Roman" w:eastAsia="Times New Roman" w:hAnsi="Times New Roman"/>
          <w:b w:val="0"/>
          <w:sz w:val="24"/>
          <w:szCs w:val="24"/>
          <w:u w:val="none"/>
        </w:rPr>
      </w:pPr>
      <w:r w:rsidDel="00000000" w:rsidR="00000000" w:rsidRPr="00000000">
        <w:rPr>
          <w:rFonts w:ascii="Times New Roman" w:cs="Times New Roman" w:eastAsia="Times New Roman" w:hAnsi="Times New Roman"/>
          <w:b w:val="0"/>
          <w:sz w:val="24"/>
          <w:szCs w:val="24"/>
          <w:rtl w:val="0"/>
        </w:rPr>
        <w:t xml:space="preserve">In the next reporting period, I will finalize the "AI Model Architecture and Training Plan" document. This involves moving from the theoretical design to a concrete implementation plan. I will specify the exact model layers, activation functions, and output neuron configuration. Critically, I will also document the definitive hyperparameter tuning strategy, defining the ranges for parameters like learning rate and batch size that will be optimized using Vertex AI Vizier. This document will serve as the final blueprint for the model's implementation.</w:t>
      </w:r>
    </w:p>
    <w:p w:rsidR="00000000" w:rsidDel="00000000" w:rsidP="00000000" w:rsidRDefault="00000000" w:rsidRPr="00000000" w14:paraId="0000008F">
      <w:pPr>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Student C:</w:t>
      </w:r>
    </w:p>
    <w:p w:rsidR="00000000" w:rsidDel="00000000" w:rsidP="00000000" w:rsidRDefault="00000000" w:rsidRPr="00000000" w14:paraId="00000090">
      <w:pPr>
        <w:numPr>
          <w:ilvl w:val="0"/>
          <w:numId w:val="18"/>
        </w:numPr>
        <w:spacing w:after="0" w:afterAutospacing="0"/>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I will finalize the infrastructure design by creating a detailed sequence diagram that maps the precise API call flow between all microservices. In parallel, I will develop a comprehensive cost estimation model for deploying on GCP, working with Student B to determine the most cost-effective AI training strategy by analyzing hardware options and leveraging Preemptible VMs.</w:t>
      </w:r>
    </w:p>
    <w:p w:rsidR="00000000" w:rsidDel="00000000" w:rsidP="00000000" w:rsidRDefault="00000000" w:rsidRPr="00000000" w14:paraId="00000091">
      <w:pPr>
        <w:numPr>
          <w:ilvl w:val="0"/>
          <w:numId w:val="18"/>
        </w:numPr>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I will consolidate these plans into the "Infrastructure Design and Cost Analysis Document.".</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shd w:fill="c9daf8" w:val="clear"/>
        </w:rPr>
      </w:pPr>
      <w:r w:rsidDel="00000000" w:rsidR="00000000" w:rsidRPr="00000000">
        <w:rPr>
          <w:rFonts w:ascii="Times New Roman" w:cs="Times New Roman" w:eastAsia="Times New Roman" w:hAnsi="Times New Roman"/>
          <w:sz w:val="24"/>
          <w:szCs w:val="24"/>
          <w:shd w:fill="c9daf8" w:val="clear"/>
          <w:rtl w:val="0"/>
        </w:rPr>
        <w:t xml:space="preserve">Student D:</w:t>
      </w:r>
    </w:p>
    <w:p w:rsidR="00000000" w:rsidDel="00000000" w:rsidP="00000000" w:rsidRDefault="00000000" w:rsidRPr="00000000" w14:paraId="00000093">
      <w:pPr>
        <w:numPr>
          <w:ilvl w:val="0"/>
          <w:numId w:val="12"/>
        </w:numPr>
        <w:spacing w:after="0" w:afterAutospacing="0"/>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My focus will be on transitioning from design to practical implementation and formalizing our evaluation strategy. First, I will implement a functional Python prototype of the Risk-Scoring Algorithm. This will involve finalizing the severity weights for each DDI category by cross-referencing DrugBank standards and validating them with examples from our dataset. Second, I will draft the formal "Evaluation Metrics and Testing Methodology" document. This will detail our k-fold cross-validation strategy, specify our primary performance metrics (Precision, Recall, F1-Score), and outline the initial plan for clinical relevance testing and error analysis.</w:t>
      </w:r>
    </w:p>
    <w:p w:rsidR="00000000" w:rsidDel="00000000" w:rsidP="00000000" w:rsidRDefault="00000000" w:rsidRPr="00000000" w14:paraId="00000094">
      <w:pPr>
        <w:numPr>
          <w:ilvl w:val="0"/>
          <w:numId w:val="12"/>
        </w:numPr>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Draft evaluation metrics and testing methodology, including cross-validation and initial error analysis plans.</w:t>
      </w:r>
      <w:r w:rsidDel="00000000" w:rsidR="00000000" w:rsidRPr="00000000">
        <w:rPr>
          <w:rtl w:val="0"/>
        </w:rPr>
      </w:r>
    </w:p>
    <w:p w:rsidR="00000000" w:rsidDel="00000000" w:rsidP="00000000" w:rsidRDefault="00000000" w:rsidRPr="00000000" w14:paraId="00000095">
      <w:pPr>
        <w:pStyle w:val="Heading3"/>
        <w:keepNext w:val="0"/>
        <w:keepLines w:val="0"/>
        <w:shd w:fill="ffffff" w:val="clear"/>
        <w:spacing w:line="360" w:lineRule="auto"/>
        <w:rPr>
          <w:rFonts w:ascii="Times New Roman" w:cs="Times New Roman" w:eastAsia="Times New Roman" w:hAnsi="Times New Roman"/>
          <w:sz w:val="26"/>
          <w:szCs w:val="26"/>
        </w:rPr>
      </w:pPr>
      <w:bookmarkStart w:colFirst="0" w:colLast="0" w:name="_heading=h.5j3np38cmpha" w:id="3"/>
      <w:bookmarkEnd w:id="3"/>
      <w:r w:rsidDel="00000000" w:rsidR="00000000" w:rsidRPr="00000000">
        <w:rPr>
          <w:rFonts w:ascii="Times New Roman" w:cs="Times New Roman" w:eastAsia="Times New Roman" w:hAnsi="Times New Roman"/>
          <w:sz w:val="26"/>
          <w:szCs w:val="26"/>
          <w:rtl w:val="0"/>
        </w:rPr>
        <w:t xml:space="preserve">Bibliography (APA 7)</w:t>
      </w:r>
    </w:p>
    <w:p w:rsidR="00000000" w:rsidDel="00000000" w:rsidP="00000000" w:rsidRDefault="00000000" w:rsidRPr="00000000" w14:paraId="00000096">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Devlin, J., Chang, M.-W., Lee, K., &amp; Toutanova, K. (2019). BERT: Pre-training of deep bidirectional transformers for language understanding. </w:t>
      </w:r>
      <w:r w:rsidDel="00000000" w:rsidR="00000000" w:rsidRPr="00000000">
        <w:rPr>
          <w:rFonts w:ascii="Times New Roman" w:cs="Times New Roman" w:eastAsia="Times New Roman" w:hAnsi="Times New Roman"/>
          <w:b w:val="0"/>
          <w:i w:val="1"/>
          <w:rtl w:val="0"/>
        </w:rPr>
        <w:t xml:space="preserve">Proceedings of the 2019 Conference of the North American Chapter of the Association for Computational Linguistics: Human Language Technologies, Volume 1 (Long and Short Papers)</w:t>
      </w:r>
      <w:r w:rsidDel="00000000" w:rsidR="00000000" w:rsidRPr="00000000">
        <w:rPr>
          <w:rFonts w:ascii="Times New Roman" w:cs="Times New Roman" w:eastAsia="Times New Roman" w:hAnsi="Times New Roman"/>
          <w:b w:val="0"/>
          <w:rtl w:val="0"/>
        </w:rPr>
        <w:t xml:space="preserve">, 4171–4186.</w:t>
      </w:r>
      <w:hyperlink r:id="rId21">
        <w:r w:rsidDel="00000000" w:rsidR="00000000" w:rsidRPr="00000000">
          <w:rPr>
            <w:rFonts w:ascii="Times New Roman" w:cs="Times New Roman" w:eastAsia="Times New Roman" w:hAnsi="Times New Roman"/>
            <w:b w:val="0"/>
            <w:rtl w:val="0"/>
          </w:rPr>
          <w:t xml:space="preserve"> </w:t>
        </w:r>
      </w:hyperlink>
      <w:hyperlink r:id="rId22">
        <w:r w:rsidDel="00000000" w:rsidR="00000000" w:rsidRPr="00000000">
          <w:rPr>
            <w:rFonts w:ascii="Times New Roman" w:cs="Times New Roman" w:eastAsia="Times New Roman" w:hAnsi="Times New Roman"/>
            <w:b w:val="0"/>
            <w:color w:val="1155cc"/>
            <w:u w:val="single"/>
            <w:rtl w:val="0"/>
          </w:rPr>
          <w:t xml:space="preserve">https://doi.org/10.18653/v1/N19-1423</w:t>
        </w:r>
      </w:hyperlink>
      <w:r w:rsidDel="00000000" w:rsidR="00000000" w:rsidRPr="00000000">
        <w:rPr>
          <w:rtl w:val="0"/>
        </w:rPr>
      </w:r>
    </w:p>
    <w:p w:rsidR="00000000" w:rsidDel="00000000" w:rsidP="00000000" w:rsidRDefault="00000000" w:rsidRPr="00000000" w14:paraId="00000097">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DrugBank Online. (2024). </w:t>
      </w:r>
      <w:r w:rsidDel="00000000" w:rsidR="00000000" w:rsidRPr="00000000">
        <w:rPr>
          <w:rFonts w:ascii="Times New Roman" w:cs="Times New Roman" w:eastAsia="Times New Roman" w:hAnsi="Times New Roman"/>
          <w:b w:val="0"/>
          <w:i w:val="1"/>
          <w:rtl w:val="0"/>
        </w:rPr>
        <w:t xml:space="preserve">Drug-Drug Interactions classification and severity scale</w:t>
      </w:r>
      <w:r w:rsidDel="00000000" w:rsidR="00000000" w:rsidRPr="00000000">
        <w:rPr>
          <w:rFonts w:ascii="Times New Roman" w:cs="Times New Roman" w:eastAsia="Times New Roman" w:hAnsi="Times New Roman"/>
          <w:b w:val="0"/>
          <w:rtl w:val="0"/>
        </w:rPr>
        <w:t xml:space="preserve">.</w:t>
      </w:r>
      <w:hyperlink r:id="rId23">
        <w:r w:rsidDel="00000000" w:rsidR="00000000" w:rsidRPr="00000000">
          <w:rPr>
            <w:rFonts w:ascii="Times New Roman" w:cs="Times New Roman" w:eastAsia="Times New Roman" w:hAnsi="Times New Roman"/>
            <w:b w:val="0"/>
            <w:rtl w:val="0"/>
          </w:rPr>
          <w:t xml:space="preserve"> </w:t>
        </w:r>
      </w:hyperlink>
      <w:hyperlink r:id="rId24">
        <w:r w:rsidDel="00000000" w:rsidR="00000000" w:rsidRPr="00000000">
          <w:rPr>
            <w:rFonts w:ascii="Times New Roman" w:cs="Times New Roman" w:eastAsia="Times New Roman" w:hAnsi="Times New Roman"/>
            <w:b w:val="0"/>
            <w:color w:val="1155cc"/>
            <w:u w:val="single"/>
            <w:rtl w:val="0"/>
          </w:rPr>
          <w:t xml:space="preserve">https://go.drugbank.com/</w:t>
        </w:r>
      </w:hyperlink>
      <w:r w:rsidDel="00000000" w:rsidR="00000000" w:rsidRPr="00000000">
        <w:rPr>
          <w:rtl w:val="0"/>
        </w:rPr>
      </w:r>
    </w:p>
    <w:p w:rsidR="00000000" w:rsidDel="00000000" w:rsidP="00000000" w:rsidRDefault="00000000" w:rsidRPr="00000000" w14:paraId="00000098">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Herrero-Zazo, M., Segura-Bedmar, I., Martel, P., &amp; de la Peña, V. (2013). The DDI task: Extraction of drug-drug interactions from biomedical texts. In </w:t>
      </w:r>
      <w:r w:rsidDel="00000000" w:rsidR="00000000" w:rsidRPr="00000000">
        <w:rPr>
          <w:rFonts w:ascii="Times New Roman" w:cs="Times New Roman" w:eastAsia="Times New Roman" w:hAnsi="Times New Roman"/>
          <w:b w:val="0"/>
          <w:i w:val="1"/>
          <w:rtl w:val="0"/>
        </w:rPr>
        <w:t xml:space="preserve">Proceedings of the 7th International Workshop on Semantic Evaluation (SemEval 2013)</w:t>
      </w:r>
      <w:r w:rsidDel="00000000" w:rsidR="00000000" w:rsidRPr="00000000">
        <w:rPr>
          <w:rFonts w:ascii="Times New Roman" w:cs="Times New Roman" w:eastAsia="Times New Roman" w:hAnsi="Times New Roman"/>
          <w:b w:val="0"/>
          <w:rtl w:val="0"/>
        </w:rPr>
        <w:t xml:space="preserve"> (pp. 375–385). Association for Computational Linguistics.</w:t>
      </w:r>
      <w:hyperlink r:id="rId25">
        <w:r w:rsidDel="00000000" w:rsidR="00000000" w:rsidRPr="00000000">
          <w:rPr>
            <w:rFonts w:ascii="Times New Roman" w:cs="Times New Roman" w:eastAsia="Times New Roman" w:hAnsi="Times New Roman"/>
            <w:b w:val="0"/>
            <w:rtl w:val="0"/>
          </w:rPr>
          <w:t xml:space="preserve"> </w:t>
        </w:r>
      </w:hyperlink>
      <w:hyperlink r:id="rId26">
        <w:r w:rsidDel="00000000" w:rsidR="00000000" w:rsidRPr="00000000">
          <w:rPr>
            <w:rFonts w:ascii="Times New Roman" w:cs="Times New Roman" w:eastAsia="Times New Roman" w:hAnsi="Times New Roman"/>
            <w:b w:val="0"/>
            <w:color w:val="1155cc"/>
            <w:u w:val="single"/>
            <w:rtl w:val="0"/>
          </w:rPr>
          <w:t xml:space="preserve">https://aclanthology.org/S13-2062</w:t>
        </w:r>
      </w:hyperlink>
      <w:r w:rsidDel="00000000" w:rsidR="00000000" w:rsidRPr="00000000">
        <w:rPr>
          <w:rtl w:val="0"/>
        </w:rPr>
      </w:r>
    </w:p>
    <w:p w:rsidR="00000000" w:rsidDel="00000000" w:rsidP="00000000" w:rsidRDefault="00000000" w:rsidRPr="00000000" w14:paraId="00000099">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Jia, Y., Wang, H., Yuan, Z., Zhu, L., &amp; Xiang, Z. (2024). Biomedical relation extraction method based on ensemble learning and attention mechanism. </w:t>
      </w:r>
      <w:r w:rsidDel="00000000" w:rsidR="00000000" w:rsidRPr="00000000">
        <w:rPr>
          <w:rFonts w:ascii="Times New Roman" w:cs="Times New Roman" w:eastAsia="Times New Roman" w:hAnsi="Times New Roman"/>
          <w:b w:val="0"/>
          <w:i w:val="1"/>
          <w:rtl w:val="0"/>
        </w:rPr>
        <w:t xml:space="preserve">BMC Bioinformatics</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25</w:t>
      </w:r>
      <w:r w:rsidDel="00000000" w:rsidR="00000000" w:rsidRPr="00000000">
        <w:rPr>
          <w:rFonts w:ascii="Times New Roman" w:cs="Times New Roman" w:eastAsia="Times New Roman" w:hAnsi="Times New Roman"/>
          <w:b w:val="0"/>
          <w:rtl w:val="0"/>
        </w:rPr>
        <w:t xml:space="preserve">(1).</w:t>
      </w:r>
      <w:hyperlink r:id="rId27">
        <w:r w:rsidDel="00000000" w:rsidR="00000000" w:rsidRPr="00000000">
          <w:rPr>
            <w:rFonts w:ascii="Times New Roman" w:cs="Times New Roman" w:eastAsia="Times New Roman" w:hAnsi="Times New Roman"/>
            <w:b w:val="0"/>
            <w:rtl w:val="0"/>
          </w:rPr>
          <w:t xml:space="preserve"> </w:t>
        </w:r>
      </w:hyperlink>
      <w:hyperlink r:id="rId28">
        <w:r w:rsidDel="00000000" w:rsidR="00000000" w:rsidRPr="00000000">
          <w:rPr>
            <w:rFonts w:ascii="Times New Roman" w:cs="Times New Roman" w:eastAsia="Times New Roman" w:hAnsi="Times New Roman"/>
            <w:b w:val="0"/>
            <w:color w:val="1155cc"/>
            <w:u w:val="single"/>
            <w:rtl w:val="0"/>
          </w:rPr>
          <w:t xml:space="preserve">https://doi.org/10.1186/s12859-024-05951-y</w:t>
        </w:r>
      </w:hyperlink>
      <w:r w:rsidDel="00000000" w:rsidR="00000000" w:rsidRPr="00000000">
        <w:rPr>
          <w:rtl w:val="0"/>
        </w:rPr>
      </w:r>
    </w:p>
    <w:p w:rsidR="00000000" w:rsidDel="00000000" w:rsidP="00000000" w:rsidRDefault="00000000" w:rsidRPr="00000000" w14:paraId="0000009A">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Luo, L., Lai, P.-T., Wei, C.-H., Arighi, C. N., &amp; Lu, Z. (2022). BioRED: a rich biomedical relation extraction dataset. </w:t>
      </w:r>
      <w:r w:rsidDel="00000000" w:rsidR="00000000" w:rsidRPr="00000000">
        <w:rPr>
          <w:rFonts w:ascii="Times New Roman" w:cs="Times New Roman" w:eastAsia="Times New Roman" w:hAnsi="Times New Roman"/>
          <w:b w:val="0"/>
          <w:i w:val="1"/>
          <w:rtl w:val="0"/>
        </w:rPr>
        <w:t xml:space="preserve">Briefings in Bioinformatics</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23</w:t>
      </w:r>
      <w:r w:rsidDel="00000000" w:rsidR="00000000" w:rsidRPr="00000000">
        <w:rPr>
          <w:rFonts w:ascii="Times New Roman" w:cs="Times New Roman" w:eastAsia="Times New Roman" w:hAnsi="Times New Roman"/>
          <w:b w:val="0"/>
          <w:rtl w:val="0"/>
        </w:rPr>
        <w:t xml:space="preserve">(5).</w:t>
      </w:r>
      <w:hyperlink r:id="rId29">
        <w:r w:rsidDel="00000000" w:rsidR="00000000" w:rsidRPr="00000000">
          <w:rPr>
            <w:rFonts w:ascii="Times New Roman" w:cs="Times New Roman" w:eastAsia="Times New Roman" w:hAnsi="Times New Roman"/>
            <w:b w:val="0"/>
            <w:rtl w:val="0"/>
          </w:rPr>
          <w:t xml:space="preserve"> </w:t>
        </w:r>
      </w:hyperlink>
      <w:hyperlink r:id="rId30">
        <w:r w:rsidDel="00000000" w:rsidR="00000000" w:rsidRPr="00000000">
          <w:rPr>
            <w:rFonts w:ascii="Times New Roman" w:cs="Times New Roman" w:eastAsia="Times New Roman" w:hAnsi="Times New Roman"/>
            <w:b w:val="0"/>
            <w:color w:val="1155cc"/>
            <w:u w:val="single"/>
            <w:rtl w:val="0"/>
          </w:rPr>
          <w:t xml:space="preserve">https://doi.org/10.1093/bib/bbac282</w:t>
        </w:r>
      </w:hyperlink>
      <w:r w:rsidDel="00000000" w:rsidR="00000000" w:rsidRPr="00000000">
        <w:rPr>
          <w:rtl w:val="0"/>
        </w:rPr>
      </w:r>
    </w:p>
    <w:p w:rsidR="00000000" w:rsidDel="00000000" w:rsidP="00000000" w:rsidRDefault="00000000" w:rsidRPr="00000000" w14:paraId="0000009B">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SemEval. (2013). </w:t>
      </w:r>
      <w:r w:rsidDel="00000000" w:rsidR="00000000" w:rsidRPr="00000000">
        <w:rPr>
          <w:rFonts w:ascii="Times New Roman" w:cs="Times New Roman" w:eastAsia="Times New Roman" w:hAnsi="Times New Roman"/>
          <w:b w:val="0"/>
          <w:i w:val="1"/>
          <w:rtl w:val="0"/>
        </w:rPr>
        <w:t xml:space="preserve">Task 9: Extraction of Drug-Drug Interactions from Biomedical Texts (DDIExtraction 2013)</w:t>
      </w:r>
      <w:r w:rsidDel="00000000" w:rsidR="00000000" w:rsidRPr="00000000">
        <w:rPr>
          <w:rFonts w:ascii="Times New Roman" w:cs="Times New Roman" w:eastAsia="Times New Roman" w:hAnsi="Times New Roman"/>
          <w:b w:val="0"/>
          <w:rtl w:val="0"/>
        </w:rPr>
        <w:t xml:space="preserve">.</w:t>
      </w:r>
      <w:hyperlink r:id="rId31">
        <w:r w:rsidDel="00000000" w:rsidR="00000000" w:rsidRPr="00000000">
          <w:rPr>
            <w:rFonts w:ascii="Times New Roman" w:cs="Times New Roman" w:eastAsia="Times New Roman" w:hAnsi="Times New Roman"/>
            <w:b w:val="0"/>
            <w:rtl w:val="0"/>
          </w:rPr>
          <w:t xml:space="preserve"> </w:t>
        </w:r>
      </w:hyperlink>
      <w:hyperlink r:id="rId32">
        <w:r w:rsidDel="00000000" w:rsidR="00000000" w:rsidRPr="00000000">
          <w:rPr>
            <w:rFonts w:ascii="Times New Roman" w:cs="Times New Roman" w:eastAsia="Times New Roman" w:hAnsi="Times New Roman"/>
            <w:b w:val="0"/>
            <w:color w:val="1155cc"/>
            <w:u w:val="single"/>
            <w:rtl w:val="0"/>
          </w:rPr>
          <w:t xml:space="preserve">https://doi.org/10.48550/arXiv.1308.6179</w:t>
        </w:r>
      </w:hyperlink>
      <w:r w:rsidDel="00000000" w:rsidR="00000000" w:rsidRPr="00000000">
        <w:rPr>
          <w:rtl w:val="0"/>
        </w:rPr>
      </w:r>
    </w:p>
    <w:p w:rsidR="00000000" w:rsidDel="00000000" w:rsidP="00000000" w:rsidRDefault="00000000" w:rsidRPr="00000000" w14:paraId="0000009C">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Soares, L. B., FitzGerald, N., Ling, J., &amp; Kwiatkowski, T. (2019). </w:t>
      </w:r>
      <w:r w:rsidDel="00000000" w:rsidR="00000000" w:rsidRPr="00000000">
        <w:rPr>
          <w:rFonts w:ascii="Times New Roman" w:cs="Times New Roman" w:eastAsia="Times New Roman" w:hAnsi="Times New Roman"/>
          <w:b w:val="0"/>
          <w:i w:val="1"/>
          <w:rtl w:val="0"/>
        </w:rPr>
        <w:t xml:space="preserve">Matching the blanks: Causal analysis of open-domain relation extraction</w:t>
      </w:r>
      <w:r w:rsidDel="00000000" w:rsidR="00000000" w:rsidRPr="00000000">
        <w:rPr>
          <w:rFonts w:ascii="Times New Roman" w:cs="Times New Roman" w:eastAsia="Times New Roman" w:hAnsi="Times New Roman"/>
          <w:b w:val="0"/>
          <w:rtl w:val="0"/>
        </w:rPr>
        <w:t xml:space="preserve">. ArXiv.</w:t>
      </w:r>
      <w:hyperlink r:id="rId33">
        <w:r w:rsidDel="00000000" w:rsidR="00000000" w:rsidRPr="00000000">
          <w:rPr>
            <w:rFonts w:ascii="Times New Roman" w:cs="Times New Roman" w:eastAsia="Times New Roman" w:hAnsi="Times New Roman"/>
            <w:b w:val="0"/>
            <w:rtl w:val="0"/>
          </w:rPr>
          <w:t xml:space="preserve"> </w:t>
        </w:r>
      </w:hyperlink>
      <w:hyperlink r:id="rId34">
        <w:r w:rsidDel="00000000" w:rsidR="00000000" w:rsidRPr="00000000">
          <w:rPr>
            <w:rFonts w:ascii="Times New Roman" w:cs="Times New Roman" w:eastAsia="Times New Roman" w:hAnsi="Times New Roman"/>
            <w:b w:val="0"/>
            <w:color w:val="1155cc"/>
            <w:u w:val="single"/>
            <w:rtl w:val="0"/>
          </w:rPr>
          <w:t xml:space="preserve">https://doi.org/10.48550/arXiv.1906.03158</w:t>
        </w:r>
      </w:hyperlink>
      <w:r w:rsidDel="00000000" w:rsidR="00000000" w:rsidRPr="00000000">
        <w:rPr>
          <w:rtl w:val="0"/>
        </w:rPr>
      </w:r>
    </w:p>
    <w:p w:rsidR="00000000" w:rsidDel="00000000" w:rsidP="00000000" w:rsidRDefault="00000000" w:rsidRPr="00000000" w14:paraId="0000009D">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Su, P., &amp; Vijay-Shanker, K. (2022). Investigation of improving the pre-training and fine-tuning of BERT model for biomedical relation extraction. </w:t>
      </w:r>
      <w:r w:rsidDel="00000000" w:rsidR="00000000" w:rsidRPr="00000000">
        <w:rPr>
          <w:rFonts w:ascii="Times New Roman" w:cs="Times New Roman" w:eastAsia="Times New Roman" w:hAnsi="Times New Roman"/>
          <w:b w:val="0"/>
          <w:i w:val="1"/>
          <w:rtl w:val="0"/>
        </w:rPr>
        <w:t xml:space="preserve">BMC Bioinformatics</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23</w:t>
      </w:r>
      <w:r w:rsidDel="00000000" w:rsidR="00000000" w:rsidRPr="00000000">
        <w:rPr>
          <w:rFonts w:ascii="Times New Roman" w:cs="Times New Roman" w:eastAsia="Times New Roman" w:hAnsi="Times New Roman"/>
          <w:b w:val="0"/>
          <w:rtl w:val="0"/>
        </w:rPr>
        <w:t xml:space="preserve">(1).</w:t>
      </w:r>
      <w:hyperlink r:id="rId35">
        <w:r w:rsidDel="00000000" w:rsidR="00000000" w:rsidRPr="00000000">
          <w:rPr>
            <w:rFonts w:ascii="Times New Roman" w:cs="Times New Roman" w:eastAsia="Times New Roman" w:hAnsi="Times New Roman"/>
            <w:b w:val="0"/>
            <w:rtl w:val="0"/>
          </w:rPr>
          <w:t xml:space="preserve"> </w:t>
        </w:r>
      </w:hyperlink>
      <w:hyperlink r:id="rId36">
        <w:r w:rsidDel="00000000" w:rsidR="00000000" w:rsidRPr="00000000">
          <w:rPr>
            <w:rFonts w:ascii="Times New Roman" w:cs="Times New Roman" w:eastAsia="Times New Roman" w:hAnsi="Times New Roman"/>
            <w:b w:val="0"/>
            <w:color w:val="1155cc"/>
            <w:u w:val="single"/>
            <w:rtl w:val="0"/>
          </w:rPr>
          <w:t xml:space="preserve">https://doi.org/10.1186/s12859-022-04642-w</w:t>
        </w:r>
      </w:hyperlink>
      <w:r w:rsidDel="00000000" w:rsidR="00000000" w:rsidRPr="00000000">
        <w:rPr>
          <w:rtl w:val="0"/>
        </w:rPr>
      </w:r>
    </w:p>
    <w:p w:rsidR="00000000" w:rsidDel="00000000" w:rsidP="00000000" w:rsidRDefault="00000000" w:rsidRPr="00000000" w14:paraId="0000009E">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Zhu, L., Yuan, Z., Wang, H., &amp; Jia, Y. (2021). A survey on drug-drug interaction extraction from biomedical text. </w:t>
      </w:r>
      <w:r w:rsidDel="00000000" w:rsidR="00000000" w:rsidRPr="00000000">
        <w:rPr>
          <w:rFonts w:ascii="Times New Roman" w:cs="Times New Roman" w:eastAsia="Times New Roman" w:hAnsi="Times New Roman"/>
          <w:b w:val="0"/>
          <w:i w:val="1"/>
          <w:rtl w:val="0"/>
        </w:rPr>
        <w:t xml:space="preserve">Journal of Biomedical Informatics</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124</w:t>
      </w:r>
      <w:r w:rsidDel="00000000" w:rsidR="00000000" w:rsidRPr="00000000">
        <w:rPr>
          <w:rFonts w:ascii="Times New Roman" w:cs="Times New Roman" w:eastAsia="Times New Roman" w:hAnsi="Times New Roman"/>
          <w:b w:val="0"/>
          <w:rtl w:val="0"/>
        </w:rPr>
        <w:t xml:space="preserve">, 103943.</w:t>
      </w:r>
      <w:hyperlink r:id="rId37">
        <w:r w:rsidDel="00000000" w:rsidR="00000000" w:rsidRPr="00000000">
          <w:rPr>
            <w:rFonts w:ascii="Times New Roman" w:cs="Times New Roman" w:eastAsia="Times New Roman" w:hAnsi="Times New Roman"/>
            <w:b w:val="0"/>
            <w:rtl w:val="0"/>
          </w:rPr>
          <w:t xml:space="preserve"> </w:t>
        </w:r>
      </w:hyperlink>
      <w:hyperlink r:id="rId38">
        <w:r w:rsidDel="00000000" w:rsidR="00000000" w:rsidRPr="00000000">
          <w:rPr>
            <w:rFonts w:ascii="Times New Roman" w:cs="Times New Roman" w:eastAsia="Times New Roman" w:hAnsi="Times New Roman"/>
            <w:b w:val="0"/>
            <w:color w:val="1155cc"/>
            <w:u w:val="single"/>
            <w:rtl w:val="0"/>
          </w:rPr>
          <w:t xml:space="preserve">https://doi.org/10.1016/j.jbi.2021.103943</w:t>
        </w:r>
      </w:hyperlink>
      <w:r w:rsidDel="00000000" w:rsidR="00000000" w:rsidRPr="00000000">
        <w:rPr>
          <w:rtl w:val="0"/>
        </w:rPr>
      </w:r>
    </w:p>
    <w:p w:rsidR="00000000" w:rsidDel="00000000" w:rsidP="00000000" w:rsidRDefault="00000000" w:rsidRPr="00000000" w14:paraId="0000009F">
      <w:pPr>
        <w:shd w:fill="ffffff" w:val="clea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Google. (2025). Gemini</w:t>
      </w:r>
      <w:r w:rsidDel="00000000" w:rsidR="00000000" w:rsidRPr="00000000">
        <w:rPr>
          <w:rFonts w:ascii="Times New Roman" w:cs="Times New Roman" w:eastAsia="Times New Roman" w:hAnsi="Times New Roman"/>
          <w:b w:val="0"/>
          <w:i w:val="1"/>
          <w:rtl w:val="0"/>
        </w:rPr>
        <w:t xml:space="preserve"> [Large language model]</w:t>
      </w:r>
      <w:r w:rsidDel="00000000" w:rsidR="00000000" w:rsidRPr="00000000">
        <w:rPr>
          <w:rFonts w:ascii="Times New Roman" w:cs="Times New Roman" w:eastAsia="Times New Roman" w:hAnsi="Times New Roman"/>
          <w:b w:val="0"/>
          <w:rtl w:val="0"/>
        </w:rPr>
        <w:t xml:space="preserve">. </w:t>
      </w:r>
      <w:hyperlink r:id="rId39">
        <w:r w:rsidDel="00000000" w:rsidR="00000000" w:rsidRPr="00000000">
          <w:rPr>
            <w:rFonts w:ascii="Times New Roman" w:cs="Times New Roman" w:eastAsia="Times New Roman" w:hAnsi="Times New Roman"/>
            <w:b w:val="0"/>
            <w:color w:val="1155cc"/>
            <w:u w:val="single"/>
            <w:rtl w:val="0"/>
          </w:rPr>
          <w:t xml:space="preserve">https://gemini.google.com/.</w:t>
        </w:r>
      </w:hyperlink>
      <w:r w:rsidDel="00000000" w:rsidR="00000000" w:rsidRPr="00000000">
        <w:rPr>
          <w:rFonts w:ascii="Times New Roman" w:cs="Times New Roman" w:eastAsia="Times New Roman" w:hAnsi="Times New Roman"/>
          <w:b w:val="0"/>
          <w:u w:val="single"/>
          <w:rtl w:val="0"/>
        </w:rPr>
        <w:t xml:space="preserve"> </w:t>
      </w:r>
      <w:r w:rsidDel="00000000" w:rsidR="00000000" w:rsidRPr="00000000">
        <w:rPr>
          <w:rtl w:val="0"/>
        </w:rPr>
      </w:r>
    </w:p>
    <w:p w:rsidR="00000000" w:rsidDel="00000000" w:rsidP="00000000" w:rsidRDefault="00000000" w:rsidRPr="00000000" w14:paraId="000000A0">
      <w:pPr>
        <w:shd w:fill="ffffff" w:val="clear"/>
        <w:spacing w:before="28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Design Documents </w:t>
      </w:r>
    </w:p>
    <w:p w:rsidR="00000000" w:rsidDel="00000000" w:rsidP="00000000" w:rsidRDefault="00000000" w:rsidRPr="00000000" w14:paraId="000000A1">
      <w:pPr>
        <w:shd w:fill="ffffff" w:val="clea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Acquisition &amp; Preprocessing Pipeline Figure 1 (PDF View &amp; diagrams.net )</w:t>
      </w:r>
    </w:p>
    <w:p w:rsidR="00000000" w:rsidDel="00000000" w:rsidP="00000000" w:rsidRDefault="00000000" w:rsidRPr="00000000" w14:paraId="000000A2">
      <w:pPr>
        <w:numPr>
          <w:ilvl w:val="0"/>
          <w:numId w:val="9"/>
        </w:numPr>
        <w:shd w:fill="ffffff" w:val="clear"/>
        <w:spacing w:after="0" w:afterAutospacing="0" w:before="240" w:line="36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PDF View:</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https://drive.google.com/file/d/1758IHQ6hn2hMZ5HosxbSHvDmFpyrrDj9/view</w:t>
      </w:r>
    </w:p>
    <w:p w:rsidR="00000000" w:rsidDel="00000000" w:rsidP="00000000" w:rsidRDefault="00000000" w:rsidRPr="00000000" w14:paraId="000000A3">
      <w:pPr>
        <w:numPr>
          <w:ilvl w:val="0"/>
          <w:numId w:val="9"/>
        </w:numPr>
        <w:shd w:fill="ffffff" w:val="clear"/>
        <w:spacing w:after="0" w:afterAutospacing="0" w:before="0" w:beforeAutospacing="0" w:line="36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Editable Diagram:</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https://app.diagrams.net/?src=about#G1758IHQ6hn2hMZ5HosxbSHvDmFpyrrDj9</w:t>
      </w:r>
    </w:p>
    <w:p w:rsidR="00000000" w:rsidDel="00000000" w:rsidP="00000000" w:rsidRDefault="00000000" w:rsidRPr="00000000" w14:paraId="000000A4">
      <w:pPr>
        <w:numPr>
          <w:ilvl w:val="0"/>
          <w:numId w:val="9"/>
        </w:numPr>
        <w:shd w:fill="ffffff" w:val="clear"/>
        <w:spacing w:after="240" w:before="0" w:beforeAutospacing="0" w:line="36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Description:</w:t>
      </w:r>
      <w:r w:rsidDel="00000000" w:rsidR="00000000" w:rsidRPr="00000000">
        <w:rPr>
          <w:rFonts w:ascii="Times New Roman" w:cs="Times New Roman" w:eastAsia="Times New Roman" w:hAnsi="Times New Roman"/>
          <w:b w:val="0"/>
          <w:rtl w:val="0"/>
        </w:rPr>
        <w:t xml:space="preserve"> This flowchart provides a detailed, step-by-step illustration of the data pipeline designed to transform the raw DDIExtraction 2013 XML corpus into structured, model-ready tensors for training, validation, and testing.</w:t>
      </w:r>
    </w:p>
    <w:p w:rsidR="00000000" w:rsidDel="00000000" w:rsidP="00000000" w:rsidRDefault="00000000" w:rsidRPr="00000000" w14:paraId="000000A5">
      <w:pPr>
        <w:shd w:fill="ffffff" w:val="clea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MLOps Pipeline for AI Model Training &amp; Deployment Figure 2  (PDF View)</w:t>
      </w:r>
    </w:p>
    <w:p w:rsidR="00000000" w:rsidDel="00000000" w:rsidP="00000000" w:rsidRDefault="00000000" w:rsidRPr="00000000" w14:paraId="000000A6">
      <w:pPr>
        <w:numPr>
          <w:ilvl w:val="0"/>
          <w:numId w:val="19"/>
        </w:numPr>
        <w:shd w:fill="ffffff" w:val="clear"/>
        <w:spacing w:after="0" w:afterAutospacing="0" w:before="240" w:line="36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Link:</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https://drive.google.com/file/d/1758IHQ6hn2hMZ5HosxbSHvDmFpyrrDj9/view</w:t>
      </w:r>
    </w:p>
    <w:p w:rsidR="00000000" w:rsidDel="00000000" w:rsidP="00000000" w:rsidRDefault="00000000" w:rsidRPr="00000000" w14:paraId="000000A7">
      <w:pPr>
        <w:numPr>
          <w:ilvl w:val="0"/>
          <w:numId w:val="19"/>
        </w:numPr>
        <w:shd w:fill="ffffff" w:val="clear"/>
        <w:spacing w:after="240" w:before="0" w:beforeAutospacing="0" w:line="36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Description:</w:t>
      </w:r>
      <w:r w:rsidDel="00000000" w:rsidR="00000000" w:rsidRPr="00000000">
        <w:rPr>
          <w:rFonts w:ascii="Times New Roman" w:cs="Times New Roman" w:eastAsia="Times New Roman" w:hAnsi="Times New Roman"/>
          <w:b w:val="0"/>
          <w:rtl w:val="0"/>
        </w:rPr>
        <w:t xml:space="preserve"> This document provides a high-level overview of the end-to-end Machine Learning Operations (MLOps) pipeline, detailing the workflow from data ingestion to the training and deployment of the core AI model.</w:t>
      </w:r>
    </w:p>
    <w:p w:rsidR="00000000" w:rsidDel="00000000" w:rsidP="00000000" w:rsidRDefault="00000000" w:rsidRPr="00000000" w14:paraId="000000A8">
      <w:pPr>
        <w:shd w:fill="ffffff" w:val="clea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System-Wide Microservices Architecture Figure 3  (PDF View)</w:t>
      </w:r>
    </w:p>
    <w:p w:rsidR="00000000" w:rsidDel="00000000" w:rsidP="00000000" w:rsidRDefault="00000000" w:rsidRPr="00000000" w14:paraId="000000A9">
      <w:pPr>
        <w:numPr>
          <w:ilvl w:val="0"/>
          <w:numId w:val="20"/>
        </w:numPr>
        <w:shd w:fill="ffffff" w:val="clear"/>
        <w:spacing w:after="0" w:afterAutospacing="0" w:before="240" w:line="36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Link:</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https://drive.google.com/file/d/1AQz5pRVU8y2gfKXqKUpkBkBjUT3rXNkX/view</w:t>
      </w:r>
    </w:p>
    <w:p w:rsidR="00000000" w:rsidDel="00000000" w:rsidP="00000000" w:rsidRDefault="00000000" w:rsidRPr="00000000" w14:paraId="000000AA">
      <w:pPr>
        <w:numPr>
          <w:ilvl w:val="0"/>
          <w:numId w:val="20"/>
        </w:numPr>
        <w:shd w:fill="ffffff" w:val="clear"/>
        <w:spacing w:after="240" w:before="0" w:beforeAutospacing="0" w:line="36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Description:</w:t>
      </w:r>
      <w:r w:rsidDel="00000000" w:rsidR="00000000" w:rsidRPr="00000000">
        <w:rPr>
          <w:rFonts w:ascii="Times New Roman" w:cs="Times New Roman" w:eastAsia="Times New Roman" w:hAnsi="Times New Roman"/>
          <w:b w:val="0"/>
          <w:rtl w:val="0"/>
        </w:rPr>
        <w:t xml:space="preserve"> This document illustrates the complete software architecture of the Clinical Decision Support System, showing how all independent microservices interact to deliver a cohesive application.</w:t>
      </w:r>
    </w:p>
    <w:p w:rsidR="00000000" w:rsidDel="00000000" w:rsidP="00000000" w:rsidRDefault="00000000" w:rsidRPr="00000000" w14:paraId="000000AB">
      <w:pPr>
        <w:shd w:fill="ffffff" w:val="clea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Editable MLOps Pipeline Diagram Figure 2 (diagrams.net)</w:t>
      </w:r>
    </w:p>
    <w:p w:rsidR="00000000" w:rsidDel="00000000" w:rsidP="00000000" w:rsidRDefault="00000000" w:rsidRPr="00000000" w14:paraId="000000AC">
      <w:pPr>
        <w:numPr>
          <w:ilvl w:val="0"/>
          <w:numId w:val="4"/>
        </w:numPr>
        <w:shd w:fill="ffffff" w:val="clear"/>
        <w:spacing w:after="0" w:afterAutospacing="0" w:before="240" w:line="36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Link:</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https://app.diagrams.net/?src=about#G1758IHQ6hn2hMZ5HosxbSHvDmFpyrrDj9</w:t>
      </w:r>
    </w:p>
    <w:p w:rsidR="00000000" w:rsidDel="00000000" w:rsidP="00000000" w:rsidRDefault="00000000" w:rsidRPr="00000000" w14:paraId="000000AD">
      <w:pPr>
        <w:numPr>
          <w:ilvl w:val="0"/>
          <w:numId w:val="4"/>
        </w:numPr>
        <w:shd w:fill="ffffff" w:val="clear"/>
        <w:spacing w:after="240" w:before="0" w:beforeAutospacing="0" w:line="36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Description:</w:t>
      </w:r>
      <w:r w:rsidDel="00000000" w:rsidR="00000000" w:rsidRPr="00000000">
        <w:rPr>
          <w:rFonts w:ascii="Times New Roman" w:cs="Times New Roman" w:eastAsia="Times New Roman" w:hAnsi="Times New Roman"/>
          <w:b w:val="0"/>
          <w:rtl w:val="0"/>
        </w:rPr>
        <w:t xml:space="preserve"> The source file for the MLOps Pipeline diagram, allowing for further edits and review.</w:t>
      </w:r>
    </w:p>
    <w:p w:rsidR="00000000" w:rsidDel="00000000" w:rsidP="00000000" w:rsidRDefault="00000000" w:rsidRPr="00000000" w14:paraId="000000AE">
      <w:pPr>
        <w:shd w:fill="ffffff" w:val="clea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Editable Microservices Architecture Diagram Figure 3 (diagrams.net)</w:t>
      </w:r>
    </w:p>
    <w:p w:rsidR="00000000" w:rsidDel="00000000" w:rsidP="00000000" w:rsidRDefault="00000000" w:rsidRPr="00000000" w14:paraId="000000AF">
      <w:pPr>
        <w:numPr>
          <w:ilvl w:val="0"/>
          <w:numId w:val="16"/>
        </w:numPr>
        <w:shd w:fill="ffffff" w:val="clear"/>
        <w:spacing w:after="0" w:afterAutospacing="0" w:before="240" w:line="36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Link:</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https://app.diagrams.net/?src=about#G1AQz5pRVU8y2gfKXqKUpkBkBjUT3rXNkX</w:t>
      </w:r>
    </w:p>
    <w:p w:rsidR="00000000" w:rsidDel="00000000" w:rsidP="00000000" w:rsidRDefault="00000000" w:rsidRPr="00000000" w14:paraId="000000B0">
      <w:pPr>
        <w:numPr>
          <w:ilvl w:val="0"/>
          <w:numId w:val="16"/>
        </w:numPr>
        <w:shd w:fill="ffffff" w:val="clear"/>
        <w:spacing w:after="240" w:before="0" w:beforeAutospacing="0" w:line="36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Description:</w:t>
      </w:r>
      <w:r w:rsidDel="00000000" w:rsidR="00000000" w:rsidRPr="00000000">
        <w:rPr>
          <w:rFonts w:ascii="Times New Roman" w:cs="Times New Roman" w:eastAsia="Times New Roman" w:hAnsi="Times New Roman"/>
          <w:b w:val="0"/>
          <w:rtl w:val="0"/>
        </w:rPr>
        <w:t xml:space="preserve"> The source file for the System-Wide Microservices Architecture diagram, allowing for further edits and review.</w:t>
      </w:r>
      <w:r w:rsidDel="00000000" w:rsidR="00000000" w:rsidRPr="00000000">
        <w:rPr>
          <w:rtl w:val="0"/>
        </w:rPr>
      </w:r>
    </w:p>
    <w:sectPr>
      <w:headerReference r:id="rId40" w:type="default"/>
      <w:footerReference r:id="rId4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hraz Kibria" w:id="0" w:date="2025-10-17T10:12:58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Screw you @kchaudhari@torontomu.ca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kchaudhari@torontomu.ca_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EDP Identifier: MZ02</w:t>
      <w:tab/>
      <w:t xml:space="preserve">Page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1"/>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COE/ELE Capstone Design Milestones Compliance Report                                                               </w:t>
    </w: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rFonts w:ascii="Arial" w:cs="Arial" w:eastAsia="Arial" w:hAnsi="Arial"/>
        <w:b w:val="1"/>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b w:val="1"/>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360" w:hanging="360"/>
    </w:pPr>
    <w:rPr>
      <w:rFonts w:ascii="Cambria" w:cs="Cambria" w:eastAsia="Cambria" w:hAnsi="Cambria"/>
      <w:b w:val="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763260"/>
    <w:rPr>
      <w:rFonts w:ascii="Cambria" w:cs="Times New Roman" w:eastAsia="Times New Roman" w:hAnsi="Cambria"/>
      <w:bCs w:val="1"/>
      <w:sz w:val="22"/>
      <w:szCs w:val="28"/>
      <w:lang w:val="en-US"/>
    </w:rPr>
  </w:style>
  <w:style w:type="paragraph" w:styleId="ListParagraph">
    <w:name w:val="List Paragraph"/>
    <w:basedOn w:val="Normal"/>
    <w:qFormat w:val="1"/>
    <w:rsid w:val="00763260"/>
    <w:pPr>
      <w:spacing w:line="276" w:lineRule="auto"/>
      <w:ind w:left="720"/>
      <w:contextualSpacing w:val="1"/>
    </w:pPr>
  </w:style>
  <w:style w:type="paragraph" w:styleId="Header">
    <w:name w:val="header"/>
    <w:basedOn w:val="Normal"/>
    <w:link w:val="HeaderChar"/>
    <w:unhideWhenUsed w:val="1"/>
    <w:rsid w:val="00763260"/>
    <w:pPr>
      <w:tabs>
        <w:tab w:val="center" w:pos="4680"/>
        <w:tab w:val="right" w:pos="9360"/>
      </w:tabs>
      <w:spacing w:after="0"/>
    </w:pPr>
  </w:style>
  <w:style w:type="character" w:styleId="HeaderChar" w:customStyle="1">
    <w:name w:val="Header Char"/>
    <w:basedOn w:val="DefaultParagraphFont"/>
    <w:link w:val="Header"/>
    <w:rsid w:val="00763260"/>
    <w:rPr>
      <w:rFonts w:ascii="Calibri" w:cs="Times New Roman" w:eastAsia="Calibri" w:hAnsi="Calibri"/>
      <w:b w:val="1"/>
      <w:sz w:val="22"/>
      <w:szCs w:val="22"/>
      <w:lang w:val="en-US"/>
    </w:rPr>
  </w:style>
  <w:style w:type="paragraph" w:styleId="Footer">
    <w:name w:val="footer"/>
    <w:basedOn w:val="Normal"/>
    <w:link w:val="FooterChar"/>
    <w:unhideWhenUsed w:val="1"/>
    <w:rsid w:val="00763260"/>
    <w:pPr>
      <w:tabs>
        <w:tab w:val="center" w:pos="4680"/>
        <w:tab w:val="right" w:pos="9360"/>
      </w:tabs>
      <w:spacing w:after="0"/>
    </w:pPr>
  </w:style>
  <w:style w:type="character" w:styleId="FooterChar" w:customStyle="1">
    <w:name w:val="Footer Char"/>
    <w:basedOn w:val="DefaultParagraphFont"/>
    <w:link w:val="Footer"/>
    <w:rsid w:val="00763260"/>
    <w:rPr>
      <w:rFonts w:ascii="Calibri" w:cs="Times New Roman" w:eastAsia="Calibri" w:hAnsi="Calibri"/>
      <w:b w:val="1"/>
      <w:sz w:val="22"/>
      <w:szCs w:val="22"/>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drive.google.com/file/d/1AQz5pRVU8y2gfKXqKUpkBkBjUT3rXNkX/view?usp=drive_link" TargetMode="External"/><Relationship Id="rId41" Type="http://schemas.openxmlformats.org/officeDocument/2006/relationships/footer" Target="footer1.xml"/><Relationship Id="rId22" Type="http://schemas.openxmlformats.org/officeDocument/2006/relationships/hyperlink" Target="https://doi.org/10.18653/v1/N19-1423" TargetMode="External"/><Relationship Id="rId21" Type="http://schemas.openxmlformats.org/officeDocument/2006/relationships/hyperlink" Target="https://doi.org/10.18653/v1/N19-1423" TargetMode="External"/><Relationship Id="rId24" Type="http://schemas.openxmlformats.org/officeDocument/2006/relationships/hyperlink" Target="https://go.drugbank.com/" TargetMode="External"/><Relationship Id="rId23" Type="http://schemas.openxmlformats.org/officeDocument/2006/relationships/hyperlink" Target="https://go.drugbank.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6" Type="http://schemas.openxmlformats.org/officeDocument/2006/relationships/hyperlink" Target="https://aclanthology.org/S13-2062" TargetMode="External"/><Relationship Id="rId25" Type="http://schemas.openxmlformats.org/officeDocument/2006/relationships/hyperlink" Target="https://aclanthology.org/S13-2062" TargetMode="External"/><Relationship Id="rId28" Type="http://schemas.openxmlformats.org/officeDocument/2006/relationships/hyperlink" Target="https://doi.org/10.1186/s12859-024-05951-y" TargetMode="External"/><Relationship Id="rId27" Type="http://schemas.openxmlformats.org/officeDocument/2006/relationships/hyperlink" Target="https://doi.org/10.1186/s12859-024-05951-y"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093/bib/bbac282"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i.org/10.48550/arXiv.1308.6179" TargetMode="External"/><Relationship Id="rId30" Type="http://schemas.openxmlformats.org/officeDocument/2006/relationships/hyperlink" Target="https://doi.org/10.1093/bib/bbac282" TargetMode="External"/><Relationship Id="rId11" Type="http://schemas.openxmlformats.org/officeDocument/2006/relationships/image" Target="media/image4.png"/><Relationship Id="rId33" Type="http://schemas.openxmlformats.org/officeDocument/2006/relationships/hyperlink" Target="https://doi.org/10.48550/arXiv.1906.03158" TargetMode="External"/><Relationship Id="rId10" Type="http://schemas.openxmlformats.org/officeDocument/2006/relationships/image" Target="media/image5.png"/><Relationship Id="rId32" Type="http://schemas.openxmlformats.org/officeDocument/2006/relationships/hyperlink" Target="https://doi.org/10.48550/arXiv.1308.6179" TargetMode="External"/><Relationship Id="rId13" Type="http://schemas.openxmlformats.org/officeDocument/2006/relationships/hyperlink" Target="https://app.diagrams.net/#G1j0cr23G3wio2xPMla7Bi-L4BLVc4ItEX#%7B%22pageId%22%3A%22C5RBs43oDa-KdzZeNtuy%22%7D" TargetMode="External"/><Relationship Id="rId35" Type="http://schemas.openxmlformats.org/officeDocument/2006/relationships/hyperlink" Target="https://doi.org/10.1186/s12859-022-04642-w" TargetMode="External"/><Relationship Id="rId12" Type="http://schemas.openxmlformats.org/officeDocument/2006/relationships/image" Target="media/image3.jpg"/><Relationship Id="rId34" Type="http://schemas.openxmlformats.org/officeDocument/2006/relationships/hyperlink" Target="https://doi.org/10.48550/arXiv.1906.03158" TargetMode="External"/><Relationship Id="rId15" Type="http://schemas.openxmlformats.org/officeDocument/2006/relationships/image" Target="media/image2.png"/><Relationship Id="rId37" Type="http://schemas.openxmlformats.org/officeDocument/2006/relationships/hyperlink" Target="https://doi.org/10.1016/j.jbi.2021.103943" TargetMode="External"/><Relationship Id="rId14" Type="http://schemas.openxmlformats.org/officeDocument/2006/relationships/hyperlink" Target="https://drive.google.com/file/d/1j0cr23G3wio2xPMla7Bi-L4BLVc4ItEX/view?usp=sharing" TargetMode="External"/><Relationship Id="rId36" Type="http://schemas.openxmlformats.org/officeDocument/2006/relationships/hyperlink" Target="https://doi.org/10.1186/s12859-022-04642-w" TargetMode="External"/><Relationship Id="rId17" Type="http://schemas.openxmlformats.org/officeDocument/2006/relationships/hyperlink" Target="https://drive.google.com/file/d/1758IHQ6hn2hMZ5HosxbSHvDmFpyrrDj9/view?usp=sharing" TargetMode="External"/><Relationship Id="rId39" Type="http://schemas.openxmlformats.org/officeDocument/2006/relationships/hyperlink" Target="https://gemini.google.com/" TargetMode="External"/><Relationship Id="rId16" Type="http://schemas.openxmlformats.org/officeDocument/2006/relationships/hyperlink" Target="https://app.diagrams.net/?src=about#G1758IHQ6hn2hMZ5HosxbSHvDmFpyrrDj9#%7B%22pageId%22%3A%22C5RBs43oDa-KdzZeNtuy%22%7D" TargetMode="External"/><Relationship Id="rId38" Type="http://schemas.openxmlformats.org/officeDocument/2006/relationships/hyperlink" Target="https://doi.org/10.1016/j.jbi.2021.103943" TargetMode="External"/><Relationship Id="rId19" Type="http://schemas.openxmlformats.org/officeDocument/2006/relationships/hyperlink" Target="https://app.diagrams.net/?src=about#G1AQz5pRVU8y2gfKXqKUpkBkBjUT3rXNkX#%7B%22pageId%22%3A%22C5RBs43oDa-KdzZeNtuy%22%7D" TargetMode="Externa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5FUmmj2/FEoPOW8OGxbHcQm65g==">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2025-09-29T18:43:00Z</dcterms:created>
  <dc:creator>David Xu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0x010100277F529B7E30CC4885350B1DC20331FE</vt:lpwstr>
  </property>
</Properties>
</file>