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D4F"/>
          <w:sz w:val="56"/>
          <w:szCs w:val="56"/>
        </w:rPr>
        <w:t xml:space="preserve">Custom Exporter — PR Review Checklist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Complete all items before requesting review. Mark N/A with a reason if not applicable.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author: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Exporter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 team reviewer: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360"/>
        <w:gridCol w:w="1200"/>
      </w:tblGrid>
      <w:tr>
        <w:tc>
          <w:tcPr>
            <w:tcW w:type="dxa" w:w="80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Design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 tree in Section 2 was followed. No existing official exporter covers this.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Design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option (standalone / sidecar / collector) is documented.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Design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Exporter design was reviewed before any implementation began.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Naming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metric names follow namespace_subsystem_name_unit structure.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Naming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metrics use base units: seconds, bytes. No ms, no %, no minutes.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Naming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counter metrics end with _total.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Naming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label names are encoded in metric names.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Naming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dynamic / procedurally generated metric names.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Naming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Names checked against OTel semantic conventions and internal catalog.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Labels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Cardinality estimate is documented (product of all label value counts).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Labels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banned label types: user_id, request_id, full URL, IP, email, UUID, timestamp.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Labels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label values are bounded. Maximum distinct values per label is documented.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Labels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 sets are consistent across all instances of a given metric.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Labels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label name begins with __ (double underscore).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PII in label values. Security review done if labels derive from external input.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/metrics endpoint is access-controlled: network policy or mTLS.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credentials, tokens, or secrets appear anywhere in metric output.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Sensitive data audit: output was grepped for password, token, email, ip=.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Self-obs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{ns}_exporter_scrape_duration_seconds histogram is implemented.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Self-obs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{ns}_exporter_scrape_errors_total counter is implemented.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Self-obs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{ns}_exporter_build_info info metric is implemented.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Types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metric uses the correct type per Section 6 guide.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Types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Histogram bucket ranges are appropriate for the measurement domain.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Types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Summary is used unless explicitly justified and aggregation is not needed.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promtool check metrics passes with zero warnings or errors.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3 example PromQL queries are documented in the PR / README.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Scrape test: exporter added to non-production Prometheus, shows UP.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mode test completed: target unavailable, exporter does not crash.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Load/cardinality test run for at least 1 hour in staging.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 TSDB series count matches cardinality estimate (within 10%).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Ops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team and on-call contact are defined in OWNERS file.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Ops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Runbook is written and linked in the PR description.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Ops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is created or an existing dashboard is updated.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Ops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 are written: at minimum ExporterDown and ExporterScrapeErrorsHigh.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Ops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CHANGELOG entry is added for all new metrics.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19"/>
                <w:szCs w:val="19"/>
              </w:rPr>
              <w:t xml:space="preserve">Ops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 by observability team (sign-off comment on PR).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Reviewer sign-off: All checked items have been verified. N/A items are explained in PR comments.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D6FA4" w:sz="4" w:space="1"/>
      </w:pBdr>
      <w:spacing w:before="480" w:after="240"/>
      <w:outlineLvl w:val="0"/>
    </w:pPr>
    <w:rPr>
      <w:rFonts w:ascii="Arial" w:cs="Arial" w:eastAsia="Arial" w:hAnsi="Arial"/>
      <w:b/>
      <w:bCs/>
      <w:color w:val="0F2D4F"/>
      <w:sz w:val="40"/>
      <w:szCs w:val="40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rFonts w:ascii="Arial" w:cs="Arial" w:eastAsia="Arial" w:hAnsi="Arial"/>
      <w:b/>
      <w:bCs/>
      <w:color w:val="1D6F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2026-03-09T13:18:51.343Z</dcterms:created>
  <dcterms:modified xsi:type="dcterms:W3CDTF">2026-03-09T13:18:51.344Z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