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F2D4F"/>
          <w:sz w:val="56"/>
          <w:szCs w:val="56"/>
        </w:rPr>
        <w:t xml:space="preserve">How to Request Approval</w:t>
      </w:r>
    </w:p>
    <w:p>
      <w:pPr>
        <w:spacing w:after="300"/>
        <w:jc w:val="center"/>
      </w:pPr>
      <w:r>
        <w:rPr>
          <w:rFonts w:ascii="Arial" w:cs="Arial" w:eastAsia="Arial" w:hAnsi="Arial"/>
          <w:color w:val="1D6FA4"/>
          <w:sz w:val="32"/>
          <w:szCs w:val="32"/>
        </w:rPr>
        <w:t xml:space="preserve">for a New Custom Metrics Exporter</w:t>
      </w:r>
    </w:p>
    <w:p>
      <w:pPr>
        <w:spacing w:after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page is for engineers who want to build a new custom Prometheus exporter. Read the full Best-Practice Guide first. This page summarises the approval steps.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Step 1 — Read the guide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Read the Custom Metrics Exporters Best-Practice Guide (this document set). Focus on Section 2 (when to build) and Section 4 (naming conventions). Most exporter requests are rejected because the engineer did not check whether an official exporter already exists.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45309" w:sz="14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Before you proceed, answer: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Does an official exporter exist? (Check: https://github.com/prometheus)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Is the service code under your team's control? (If yes → use direct instrumentation)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• Can the metric be derived with a PromQL recording rule? (If yes → no exporter needed)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Step 2 — Fill out the exporter design proposal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Open a new issue in the Observability team's project tracker using the 'New Exporter Proposal' template. Fill in every field: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Exporter name and namespace prefix (e.g. mydb_exporter)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Target system and why it cannot be instrumented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List of all proposed metrics with: name, type, unit, labels, expected cardinality per label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Scrape interval and expected scrape duration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Team owner and on-call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Link to existing official exporters that were evaluated and rejected (with reason)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Step 3 — Observability team design review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observability team reviews the proposal, typically within 3 business days. They will check: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Naming follows the standard in Section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cardinality risks (Section 5.3 scoring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PII or security concerns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Architecture choice is appropriate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If the proposal is approved, you receive a written approval comment on the issue. You can then begin implementation.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91C1C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Do not begin implementation before receiving written design approval.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Implementing before approval wastes time: a rejected metric name or label design requires a rewrite.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Step 4 — Implement using the approved template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Start from the approved exporter template (custom_exporter_template.py). Do not start from scratch. The template enforces mandatory self-observability metrics, correct error handling, and timeout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Replace all &lt;REPLACE_ME&gt; placeholders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 _collect_metrics() with your collection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Run: curl http://localhost:9000/metrics | promtool check metrics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Step 5 — Complete the PR checklist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When opening the pull request, attach the completed PR Review Checklist (separate document). Every box must be checked or marked N/A with a written reason. An unchecked box with no explanation will cause the PR to be returned without review.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Step 6 — Staging validation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Before production deployment: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the exporter to a non-production Prometheus scrape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Confirm it shows as UP in the Prometheus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for at least 1 hour. Confirm actual cardinality matches the proposal.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Simulate a target outage and confirm the exporter does not crash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Step 7 — Production deployment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After observability team sign-off on the PR: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to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Monitor for 24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Confirm dashboards and alerts are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Register in the internal metrics catalog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Link the runbook from the exporter's README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D6FA4" w:sz="1"/>
              <w:left w:val="single" w:color="1D6FA4" w:sz="1"/>
              <w:bottom w:val="single" w:color="1D6FA4" w:sz="1"/>
              <w:right w:val="single" w:color="1D6FA4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20"/>
                <w:szCs w:val="20"/>
              </w:rPr>
              <w:t xml:space="preserve">Stage</w:t>
            </w:r>
          </w:p>
        </w:tc>
        <w:tc>
          <w:tcPr>
            <w:tcW w:type="dxa" w:w="5860"/>
            <w:tcBorders>
              <w:top w:val="single" w:color="1D6FA4" w:sz="1"/>
              <w:left w:val="single" w:color="1D6FA4" w:sz="1"/>
              <w:bottom w:val="single" w:color="1D6FA4" w:sz="1"/>
              <w:right w:val="single" w:color="1D6FA4" w:sz="1"/>
            </w:tcBorders>
            <w:shd w:fill="DBEA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4F"/>
                <w:sz w:val="20"/>
                <w:szCs w:val="20"/>
              </w:rPr>
              <w:t xml:space="preserve">Expected time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 proposal submitted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Immediate (self-serve)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Observability team design review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 to 3 business days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Depends on scope — typically 1–5 days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 review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 to 3 business days after checklist is complete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Staging validation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 deployment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day after PR approval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Questions?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Ping the #observability channel in Slack or open an issue in the Observability project with the label question/exporter-guidance.</w:t>
      </w:r>
    </w:p>
    <w:sectPr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D6FA4" w:sz="4" w:space="1"/>
      </w:pBdr>
      <w:spacing w:before="480" w:after="240"/>
      <w:outlineLvl w:val="0"/>
    </w:pPr>
    <w:rPr>
      <w:rFonts w:ascii="Arial" w:cs="Arial" w:eastAsia="Arial" w:hAnsi="Arial"/>
      <w:b/>
      <w:bCs/>
      <w:color w:val="0F2D4F"/>
      <w:sz w:val="40"/>
      <w:szCs w:val="40"/>
    </w:rPr>
  </w:style>
  <w:style w:type="paragraph" w:styleId="Heading2">
    <w:name w:val="Heading 2"/>
    <w:basedOn w:val="Normal"/>
    <w:next w:val="Normal"/>
    <w:pPr>
      <w:spacing w:before="280" w:after="140"/>
      <w:outlineLvl w:val="1"/>
    </w:pPr>
    <w:rPr>
      <w:rFonts w:ascii="Arial" w:cs="Arial" w:eastAsia="Arial" w:hAnsi="Arial"/>
      <w:b/>
      <w:bCs/>
      <w:color w:val="1D6F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2026-03-09T13:18:51.352Z</dcterms:created>
  <dcterms:modified xsi:type="dcterms:W3CDTF">2026-03-09T13:18:51.352Z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