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AC34" w14:textId="114C71C0" w:rsidR="00EE3C7F" w:rsidRPr="00B173D7" w:rsidRDefault="00FF7880" w:rsidP="00B153ED">
      <w:pPr>
        <w:pStyle w:val="Title"/>
      </w:pPr>
      <w:r w:rsidRPr="00B153ED">
        <w:t>202</w:t>
      </w:r>
      <w:r w:rsidR="00697D0D" w:rsidRPr="00B153ED">
        <w:t>3</w:t>
      </w:r>
      <w:r w:rsidRPr="00B153ED">
        <w:t xml:space="preserve"> Private Health Insurance Premium Application Form</w:t>
      </w:r>
    </w:p>
    <w:p w14:paraId="7A8CB072" w14:textId="77777777" w:rsidR="00077DF6" w:rsidRDefault="00077DF6" w:rsidP="00B153ED">
      <w:pPr>
        <w:pStyle w:val="Heading1"/>
      </w:pPr>
      <w:r>
        <w:t>Submission</w:t>
      </w:r>
      <w:r w:rsidR="008B5949">
        <w:t>s</w:t>
      </w:r>
    </w:p>
    <w:p w14:paraId="4F773419" w14:textId="77777777" w:rsidR="00494E42" w:rsidRPr="00B173D7" w:rsidRDefault="00494E42" w:rsidP="00494E42">
      <w:pPr>
        <w:tabs>
          <w:tab w:val="left" w:pos="284"/>
        </w:tabs>
      </w:pPr>
      <w:r w:rsidRPr="00B173D7">
        <w:t>Please direct queries regarding the premium application form</w:t>
      </w:r>
      <w:r w:rsidRPr="00B173D7" w:rsidDel="00D93A9A">
        <w:t xml:space="preserve"> </w:t>
      </w:r>
      <w:r w:rsidRPr="00B173D7">
        <w:t xml:space="preserve">to </w:t>
      </w:r>
      <w:hyperlink r:id="rId12" w:history="1">
        <w:r w:rsidRPr="00EE3C7F">
          <w:rPr>
            <w:rStyle w:val="Hyperlink"/>
            <w:rFonts w:cstheme="minorHAnsi"/>
            <w:color w:val="000000" w:themeColor="text1"/>
          </w:rPr>
          <w:t>phi@health.gov.au</w:t>
        </w:r>
      </w:hyperlink>
      <w:r w:rsidRPr="00B173D7">
        <w:t>.</w:t>
      </w:r>
    </w:p>
    <w:p w14:paraId="18F43037" w14:textId="5C432126" w:rsidR="00077DF6" w:rsidRPr="00B153ED" w:rsidRDefault="00077DF6" w:rsidP="00B173D7">
      <w:r w:rsidRPr="00B153ED">
        <w:t xml:space="preserve">Applications should be submitted via </w:t>
      </w:r>
      <w:proofErr w:type="spellStart"/>
      <w:r w:rsidRPr="00792E4A">
        <w:rPr>
          <w:rStyle w:val="Strong"/>
        </w:rPr>
        <w:t>SecureDoc</w:t>
      </w:r>
      <w:proofErr w:type="spellEnd"/>
      <w:r w:rsidRPr="00B153ED">
        <w:t xml:space="preserve">, a cloud-based APRA owned file transfer system by </w:t>
      </w:r>
      <w:r w:rsidR="0052652B" w:rsidRPr="00104C6A">
        <w:rPr>
          <w:b/>
          <w:color w:val="632423" w:themeColor="accent2" w:themeShade="80"/>
        </w:rPr>
        <w:t>3pm, 1</w:t>
      </w:r>
      <w:r w:rsidR="008E56F7" w:rsidRPr="00104C6A">
        <w:rPr>
          <w:b/>
          <w:color w:val="632423" w:themeColor="accent2" w:themeShade="80"/>
        </w:rPr>
        <w:t>5</w:t>
      </w:r>
      <w:r w:rsidR="0052652B" w:rsidRPr="00104C6A">
        <w:rPr>
          <w:b/>
          <w:color w:val="632423" w:themeColor="accent2" w:themeShade="80"/>
        </w:rPr>
        <w:t xml:space="preserve"> November </w:t>
      </w:r>
      <w:r w:rsidR="003B784D" w:rsidRPr="00104C6A">
        <w:rPr>
          <w:b/>
          <w:color w:val="632423" w:themeColor="accent2" w:themeShade="80"/>
        </w:rPr>
        <w:t>202</w:t>
      </w:r>
      <w:r w:rsidR="00697D0D" w:rsidRPr="00104C6A">
        <w:rPr>
          <w:b/>
          <w:color w:val="632423" w:themeColor="accent2" w:themeShade="80"/>
        </w:rPr>
        <w:t>2</w:t>
      </w:r>
      <w:r w:rsidRPr="00B153ED">
        <w:t>.</w:t>
      </w:r>
      <w:r w:rsidR="00627460" w:rsidRPr="00B153ED">
        <w:t xml:space="preserve"> </w:t>
      </w:r>
      <w:proofErr w:type="spellStart"/>
      <w:r w:rsidR="00A616F9" w:rsidRPr="00B153ED">
        <w:t>SecureDoc</w:t>
      </w:r>
      <w:proofErr w:type="spellEnd"/>
      <w:r w:rsidR="00A616F9" w:rsidRPr="00B153ED">
        <w:t xml:space="preserve"> access will be provided to the premium round primary and secondary contacts. If </w:t>
      </w:r>
      <w:r w:rsidR="005875BE" w:rsidRPr="00B153ED">
        <w:t>access is required for additional contacts</w:t>
      </w:r>
      <w:r w:rsidR="00A616F9" w:rsidRPr="00B153ED">
        <w:t xml:space="preserve"> </w:t>
      </w:r>
      <w:proofErr w:type="gramStart"/>
      <w:r w:rsidR="00A616F9" w:rsidRPr="00B153ED">
        <w:t>in order to</w:t>
      </w:r>
      <w:proofErr w:type="gramEnd"/>
      <w:r w:rsidR="00A616F9" w:rsidRPr="00B153ED">
        <w:t xml:space="preserve"> submit applications, please provide details </w:t>
      </w:r>
      <w:r w:rsidR="005875BE" w:rsidRPr="00B153ED">
        <w:t>to</w:t>
      </w:r>
      <w:r w:rsidR="00A616F9" w:rsidRPr="00B153ED">
        <w:t xml:space="preserve"> </w:t>
      </w:r>
      <w:hyperlink r:id="rId13" w:history="1">
        <w:r w:rsidR="00627460" w:rsidRPr="00514CCD">
          <w:rPr>
            <w:rStyle w:val="Hyperlink"/>
            <w:rFonts w:cstheme="minorHAnsi"/>
          </w:rPr>
          <w:t>phi@health.gov.au</w:t>
        </w:r>
      </w:hyperlink>
      <w:r w:rsidR="00627460" w:rsidRPr="00B153ED">
        <w:t xml:space="preserve"> by 1</w:t>
      </w:r>
      <w:r w:rsidR="00697D0D" w:rsidRPr="00B153ED">
        <w:t>4</w:t>
      </w:r>
      <w:r w:rsidR="00627460" w:rsidRPr="00B153ED">
        <w:t xml:space="preserve"> October 202</w:t>
      </w:r>
      <w:r w:rsidR="00697D0D" w:rsidRPr="00B153ED">
        <w:t>2</w:t>
      </w:r>
      <w:r w:rsidR="00627460" w:rsidRPr="00B153ED">
        <w:t>.</w:t>
      </w:r>
    </w:p>
    <w:p w14:paraId="3C3C5C17" w14:textId="77777777" w:rsidR="001654BC" w:rsidRPr="001654BC" w:rsidRDefault="001654BC" w:rsidP="00B153ED">
      <w:pPr>
        <w:pStyle w:val="Heading1"/>
      </w:pPr>
      <w:r w:rsidRPr="001654BC">
        <w:t>Confidentiality and Publication</w:t>
      </w:r>
    </w:p>
    <w:p w14:paraId="5AFFA32E" w14:textId="77777777" w:rsidR="008B5949" w:rsidRPr="00B173D7" w:rsidRDefault="008B5949" w:rsidP="008B5949">
      <w:r w:rsidRPr="00B173D7">
        <w:t xml:space="preserve">The </w:t>
      </w:r>
      <w:r w:rsidR="003C7591" w:rsidRPr="00B173D7">
        <w:t>submitted</w:t>
      </w:r>
      <w:r w:rsidRPr="00B173D7">
        <w:t xml:space="preserve"> premium application form</w:t>
      </w:r>
      <w:r w:rsidR="003C7591" w:rsidRPr="00B173D7">
        <w:t>s</w:t>
      </w:r>
      <w:r w:rsidRPr="00B173D7">
        <w:t xml:space="preserve"> will be treated as </w:t>
      </w:r>
      <w:r w:rsidRPr="00792E4A">
        <w:rPr>
          <w:rStyle w:val="Strong"/>
        </w:rPr>
        <w:t>protected information</w:t>
      </w:r>
      <w:r w:rsidRPr="00B173D7">
        <w:t xml:space="preserve"> as defined by the </w:t>
      </w:r>
      <w:r w:rsidRPr="00CF7708">
        <w:rPr>
          <w:rFonts w:cstheme="minorHAnsi"/>
          <w:i/>
          <w:color w:val="000000" w:themeColor="text1"/>
        </w:rPr>
        <w:t>Private Health Insurance Act 2007</w:t>
      </w:r>
      <w:r w:rsidRPr="00B173D7">
        <w:t>.</w:t>
      </w:r>
    </w:p>
    <w:p w14:paraId="2B47EB9F" w14:textId="556FF0EE" w:rsidR="001654BC" w:rsidRPr="00B23EB5" w:rsidRDefault="00BC3EBA" w:rsidP="00B23EB5">
      <w:pPr>
        <w:tabs>
          <w:tab w:val="left" w:pos="284"/>
        </w:tabs>
        <w:rPr>
          <w:rFonts w:cstheme="minorHAnsi"/>
        </w:rPr>
      </w:pPr>
      <w:r>
        <w:rPr>
          <w:rFonts w:cstheme="minorHAnsi"/>
        </w:rPr>
        <w:t xml:space="preserve">The Department of Health and Aged Care </w:t>
      </w:r>
      <w:r w:rsidR="001654BC" w:rsidRPr="00A11657">
        <w:rPr>
          <w:rFonts w:cstheme="minorHAnsi"/>
        </w:rPr>
        <w:t>intends to publish on its website</w:t>
      </w:r>
      <w:r w:rsidR="00B23EB5" w:rsidRPr="00A11657">
        <w:rPr>
          <w:rFonts w:cstheme="minorHAnsi"/>
        </w:rPr>
        <w:t xml:space="preserve"> </w:t>
      </w:r>
      <w:r w:rsidR="006B6D39" w:rsidRPr="00A11657">
        <w:rPr>
          <w:rFonts w:cstheme="minorHAnsi"/>
        </w:rPr>
        <w:t>e</w:t>
      </w:r>
      <w:r w:rsidR="001654BC" w:rsidRPr="00A11657">
        <w:rPr>
          <w:rFonts w:cstheme="minorHAnsi"/>
        </w:rPr>
        <w:t>ach insurer’s average premium price change</w:t>
      </w:r>
      <w:r w:rsidR="00B23EB5" w:rsidRPr="00A11657">
        <w:rPr>
          <w:rFonts w:cstheme="minorHAnsi"/>
        </w:rPr>
        <w:t xml:space="preserve"> and the </w:t>
      </w:r>
      <w:r w:rsidR="001654BC" w:rsidRPr="00A11657">
        <w:rPr>
          <w:rFonts w:cstheme="minorHAnsi"/>
        </w:rPr>
        <w:t>industry average premium price change</w:t>
      </w:r>
      <w:r w:rsidR="00B23EB5" w:rsidRPr="00A11657">
        <w:rPr>
          <w:rFonts w:cstheme="minorHAnsi"/>
        </w:rPr>
        <w:t>.</w:t>
      </w:r>
    </w:p>
    <w:p w14:paraId="4D023C55" w14:textId="43EA533D" w:rsidR="002F6443" w:rsidRDefault="001654BC" w:rsidP="00B173D7">
      <w:r w:rsidRPr="00B153ED">
        <w:t>Only highly aggregated or non-identifiable information will be made public, such as average premium changes in jurisdictions or by insured groups.</w:t>
      </w:r>
    </w:p>
    <w:p w14:paraId="1F609A05" w14:textId="77777777" w:rsidR="002F6443" w:rsidRPr="00B153ED" w:rsidRDefault="002C0D90" w:rsidP="005468BE">
      <w:pPr>
        <w:pStyle w:val="Heading1"/>
        <w:pageBreakBefore/>
      </w:pPr>
      <w:r w:rsidRPr="00B153ED">
        <w:lastRenderedPageBreak/>
        <w:t>The Premium Application Form</w:t>
      </w:r>
    </w:p>
    <w:p w14:paraId="492A5952" w14:textId="20983181" w:rsidR="002F6443" w:rsidRPr="00EE3C7F" w:rsidRDefault="002F6443" w:rsidP="002F6443">
      <w:pPr>
        <w:tabs>
          <w:tab w:val="left" w:pos="284"/>
        </w:tabs>
        <w:rPr>
          <w:rFonts w:cstheme="minorHAnsi"/>
        </w:rPr>
      </w:pPr>
      <w:r w:rsidRPr="00EE3C7F">
        <w:rPr>
          <w:rFonts w:cstheme="minorHAnsi"/>
        </w:rPr>
        <w:t xml:space="preserve">Section 66-10 of the </w:t>
      </w:r>
      <w:r w:rsidRPr="00B153ED">
        <w:rPr>
          <w:rStyle w:val="Emphasis"/>
        </w:rPr>
        <w:t>Private Health Insurance Act 2007</w:t>
      </w:r>
      <w:r w:rsidRPr="00EE3C7F">
        <w:rPr>
          <w:rFonts w:cstheme="minorHAnsi"/>
        </w:rPr>
        <w:t xml:space="preserve"> </w:t>
      </w:r>
      <w:r w:rsidR="00973142">
        <w:rPr>
          <w:rFonts w:cstheme="minorHAnsi"/>
        </w:rPr>
        <w:t xml:space="preserve">(the Act) </w:t>
      </w:r>
      <w:r w:rsidRPr="00EE3C7F">
        <w:rPr>
          <w:rFonts w:cstheme="minorHAnsi"/>
        </w:rPr>
        <w:t xml:space="preserve">provides that </w:t>
      </w:r>
      <w:r>
        <w:rPr>
          <w:rFonts w:cstheme="minorHAnsi"/>
        </w:rPr>
        <w:t xml:space="preserve">a private health </w:t>
      </w:r>
      <w:r w:rsidRPr="007B1353">
        <w:rPr>
          <w:rFonts w:cstheme="minorHAnsi"/>
        </w:rPr>
        <w:t>insurer that proposes to chang</w:t>
      </w:r>
      <w:r>
        <w:rPr>
          <w:rFonts w:cstheme="minorHAnsi"/>
        </w:rPr>
        <w:t xml:space="preserve">e the premiums charged for a </w:t>
      </w:r>
      <w:r w:rsidRPr="007B1353">
        <w:rPr>
          <w:rFonts w:cstheme="minorHAnsi"/>
        </w:rPr>
        <w:t>complying health insurance product must apply to the Minister for approval of the change:</w:t>
      </w:r>
    </w:p>
    <w:p w14:paraId="78B18C2E" w14:textId="77777777" w:rsidR="002F6443" w:rsidRPr="002D7766" w:rsidRDefault="002F6443" w:rsidP="004B55E1">
      <w:pPr>
        <w:pStyle w:val="ListNumber"/>
      </w:pPr>
      <w:r w:rsidRPr="002D7766">
        <w:t>in the approved form; and</w:t>
      </w:r>
    </w:p>
    <w:p w14:paraId="4E5BC868" w14:textId="77777777" w:rsidR="002F6443" w:rsidRPr="002D7766" w:rsidRDefault="002F6443" w:rsidP="004B55E1">
      <w:pPr>
        <w:pStyle w:val="ListNumber"/>
      </w:pPr>
      <w:r w:rsidRPr="002D7766">
        <w:t>at least 60 days before the day on which the insurer proposes the change to take effect.</w:t>
      </w:r>
    </w:p>
    <w:p w14:paraId="2D66038A" w14:textId="4E4D116F" w:rsidR="001B1757" w:rsidRDefault="00E500BC" w:rsidP="00B4660B">
      <w:pPr>
        <w:tabs>
          <w:tab w:val="left" w:pos="284"/>
        </w:tabs>
        <w:rPr>
          <w:rFonts w:cstheme="minorHAnsi"/>
        </w:rPr>
      </w:pPr>
      <w:r w:rsidRPr="00792E4A">
        <w:rPr>
          <w:rStyle w:val="Strong"/>
        </w:rPr>
        <w:t>A written report</w:t>
      </w:r>
      <w:r w:rsidR="0007393B" w:rsidRPr="00792E4A">
        <w:rPr>
          <w:rStyle w:val="Strong"/>
        </w:rPr>
        <w:t xml:space="preserve"> </w:t>
      </w:r>
      <w:r w:rsidR="00A84408" w:rsidRPr="00792E4A">
        <w:rPr>
          <w:rStyle w:val="Strong"/>
        </w:rPr>
        <w:t xml:space="preserve">and </w:t>
      </w:r>
      <w:r w:rsidR="004B55E1" w:rsidRPr="00792E4A">
        <w:rPr>
          <w:rStyle w:val="Strong"/>
        </w:rPr>
        <w:t>4</w:t>
      </w:r>
      <w:r w:rsidR="005029F5" w:rsidRPr="00792E4A">
        <w:rPr>
          <w:rStyle w:val="Strong"/>
        </w:rPr>
        <w:t xml:space="preserve"> </w:t>
      </w:r>
      <w:r w:rsidR="001B1757" w:rsidRPr="00792E4A">
        <w:rPr>
          <w:rStyle w:val="Strong"/>
        </w:rPr>
        <w:t>templates (</w:t>
      </w:r>
      <w:r w:rsidR="001B1757" w:rsidRPr="005E4F82">
        <w:rPr>
          <w:rFonts w:cstheme="minorHAnsi"/>
          <w:b/>
        </w:rPr>
        <w:t>Template</w:t>
      </w:r>
      <w:r w:rsidR="006E2F73" w:rsidRPr="005E4F82">
        <w:rPr>
          <w:rFonts w:cstheme="minorHAnsi"/>
          <w:b/>
        </w:rPr>
        <w:t xml:space="preserve"> A</w:t>
      </w:r>
      <w:r w:rsidR="00A84408" w:rsidRPr="00792E4A">
        <w:rPr>
          <w:rStyle w:val="Strong"/>
        </w:rPr>
        <w:t>,</w:t>
      </w:r>
      <w:r w:rsidR="006E2F73" w:rsidRPr="00792E4A">
        <w:rPr>
          <w:rStyle w:val="Strong"/>
        </w:rPr>
        <w:t xml:space="preserve"> </w:t>
      </w:r>
      <w:r w:rsidR="006E2F73" w:rsidRPr="005E4F82">
        <w:rPr>
          <w:rFonts w:cstheme="minorHAnsi"/>
          <w:b/>
        </w:rPr>
        <w:t>Template B</w:t>
      </w:r>
      <w:r w:rsidR="005029F5" w:rsidRPr="00792E4A">
        <w:rPr>
          <w:rStyle w:val="Strong"/>
        </w:rPr>
        <w:t xml:space="preserve">, </w:t>
      </w:r>
      <w:r w:rsidR="006E2F73" w:rsidRPr="005E4F82">
        <w:rPr>
          <w:rFonts w:cstheme="minorHAnsi"/>
          <w:b/>
        </w:rPr>
        <w:t>Template C</w:t>
      </w:r>
      <w:r w:rsidR="005029F5" w:rsidRPr="00792E4A">
        <w:rPr>
          <w:rStyle w:val="Strong"/>
        </w:rPr>
        <w:t xml:space="preserve"> and </w:t>
      </w:r>
      <w:r w:rsidR="005029F5" w:rsidRPr="005E4F82">
        <w:rPr>
          <w:rFonts w:cstheme="minorHAnsi"/>
          <w:b/>
        </w:rPr>
        <w:t>Template</w:t>
      </w:r>
      <w:r w:rsidR="00DB6623" w:rsidRPr="005E4F82">
        <w:rPr>
          <w:rFonts w:cstheme="minorHAnsi"/>
          <w:b/>
        </w:rPr>
        <w:t> </w:t>
      </w:r>
      <w:r w:rsidR="005029F5" w:rsidRPr="005E4F82">
        <w:rPr>
          <w:rFonts w:cstheme="minorHAnsi"/>
          <w:b/>
        </w:rPr>
        <w:t>D</w:t>
      </w:r>
      <w:r w:rsidR="006E2F73" w:rsidRPr="00792E4A">
        <w:rPr>
          <w:rStyle w:val="Strong"/>
        </w:rPr>
        <w:t>)</w:t>
      </w:r>
      <w:r w:rsidR="006E2F73" w:rsidRPr="007E3DA1">
        <w:rPr>
          <w:rFonts w:cstheme="minorHAnsi"/>
        </w:rPr>
        <w:t xml:space="preserve"> </w:t>
      </w:r>
      <w:r w:rsidR="00B96180">
        <w:rPr>
          <w:rFonts w:cstheme="minorHAnsi"/>
        </w:rPr>
        <w:t xml:space="preserve">are </w:t>
      </w:r>
      <w:r w:rsidR="00CA7E15">
        <w:rPr>
          <w:rFonts w:cstheme="minorHAnsi"/>
        </w:rPr>
        <w:t xml:space="preserve">collectively </w:t>
      </w:r>
      <w:r w:rsidR="00A14959" w:rsidRPr="007E3DA1">
        <w:rPr>
          <w:rFonts w:cstheme="minorHAnsi"/>
        </w:rPr>
        <w:t xml:space="preserve">referred to as </w:t>
      </w:r>
      <w:r w:rsidR="006E2F73" w:rsidRPr="00CA7E15">
        <w:rPr>
          <w:rFonts w:cstheme="minorHAnsi"/>
        </w:rPr>
        <w:t xml:space="preserve">the </w:t>
      </w:r>
      <w:r w:rsidR="00A14959" w:rsidRPr="00CA7E15">
        <w:rPr>
          <w:rFonts w:cstheme="minorHAnsi"/>
        </w:rPr>
        <w:t>premium application fo</w:t>
      </w:r>
      <w:r w:rsidR="00A14959" w:rsidRPr="00B153ED">
        <w:t>rm</w:t>
      </w:r>
      <w:r w:rsidR="001B1757" w:rsidRPr="00EE3C7F">
        <w:rPr>
          <w:rFonts w:cstheme="minorHAnsi"/>
        </w:rPr>
        <w:t>.</w:t>
      </w:r>
      <w:r w:rsidR="00E96056">
        <w:rPr>
          <w:rFonts w:cstheme="minorHAnsi"/>
        </w:rPr>
        <w:t xml:space="preserve"> </w:t>
      </w:r>
      <w:r w:rsidR="00304DE1">
        <w:rPr>
          <w:rFonts w:cstheme="minorHAnsi"/>
        </w:rPr>
        <w:t>Optional c</w:t>
      </w:r>
      <w:r w:rsidR="00A14959" w:rsidRPr="00EE3C7F">
        <w:rPr>
          <w:rFonts w:cstheme="minorHAnsi"/>
        </w:rPr>
        <w:t xml:space="preserve">overing letters </w:t>
      </w:r>
      <w:r w:rsidR="00E8543D" w:rsidRPr="00EE3C7F">
        <w:rPr>
          <w:rFonts w:cstheme="minorHAnsi"/>
        </w:rPr>
        <w:t>will also be considered</w:t>
      </w:r>
      <w:r w:rsidR="00E44D3D">
        <w:rPr>
          <w:rFonts w:cstheme="minorHAnsi"/>
        </w:rPr>
        <w:t xml:space="preserve"> as part of the premium application form</w:t>
      </w:r>
      <w:r w:rsidR="00A14959" w:rsidRPr="00EE3C7F">
        <w:rPr>
          <w:rFonts w:cstheme="minorHAnsi"/>
        </w:rPr>
        <w:t>.</w:t>
      </w:r>
    </w:p>
    <w:p w14:paraId="0805E9A2" w14:textId="654ECCC6" w:rsidR="00973142" w:rsidRPr="00EE3C7F" w:rsidRDefault="00973142" w:rsidP="00B4660B">
      <w:pPr>
        <w:tabs>
          <w:tab w:val="left" w:pos="284"/>
        </w:tabs>
        <w:rPr>
          <w:rFonts w:cstheme="minorHAnsi"/>
        </w:rPr>
      </w:pPr>
      <w:r>
        <w:rPr>
          <w:rFonts w:cstheme="minorHAnsi"/>
        </w:rPr>
        <w:t>Template A details the premium changes for each complying health insurance product. For the purposes of s66-10 of the Act, the changes to the premiums in Template A are the changes for consideration by the Minister.</w:t>
      </w:r>
      <w:r w:rsidR="00972BEC">
        <w:rPr>
          <w:rFonts w:cstheme="minorHAnsi"/>
        </w:rPr>
        <w:t xml:space="preserve"> </w:t>
      </w:r>
      <w:r w:rsidR="00972BEC" w:rsidRPr="00972BEC">
        <w:rPr>
          <w:rFonts w:cstheme="minorHAnsi"/>
        </w:rPr>
        <w:t xml:space="preserve">The approved changes are the individual changed amounts for each product or product sub-group in </w:t>
      </w:r>
      <w:r w:rsidR="00972BEC" w:rsidRPr="005E4F82">
        <w:rPr>
          <w:rFonts w:cstheme="minorHAnsi"/>
        </w:rPr>
        <w:t>Template A</w:t>
      </w:r>
      <w:r w:rsidR="00972BEC" w:rsidRPr="00972BEC">
        <w:rPr>
          <w:rFonts w:cstheme="minorHAnsi"/>
        </w:rPr>
        <w:t>.</w:t>
      </w:r>
    </w:p>
    <w:p w14:paraId="203B64D7" w14:textId="77777777" w:rsidR="00C65948" w:rsidRPr="00EE3C7F" w:rsidRDefault="0007393B" w:rsidP="006E2F73">
      <w:pPr>
        <w:tabs>
          <w:tab w:val="left" w:pos="284"/>
        </w:tabs>
        <w:rPr>
          <w:rFonts w:cstheme="minorHAnsi"/>
        </w:rPr>
      </w:pPr>
      <w:r w:rsidRPr="00EE3C7F">
        <w:rPr>
          <w:rFonts w:cstheme="minorHAnsi"/>
        </w:rPr>
        <w:t xml:space="preserve">The </w:t>
      </w:r>
      <w:r w:rsidR="008D2422" w:rsidRPr="00EE3C7F">
        <w:rPr>
          <w:rFonts w:cstheme="minorHAnsi"/>
        </w:rPr>
        <w:t>premium application form</w:t>
      </w:r>
      <w:r w:rsidR="007F2032" w:rsidRPr="00EE3C7F">
        <w:rPr>
          <w:rFonts w:cstheme="minorHAnsi"/>
        </w:rPr>
        <w:t xml:space="preserve"> will be asse</w:t>
      </w:r>
      <w:r w:rsidR="006E2F73" w:rsidRPr="00EE3C7F">
        <w:rPr>
          <w:rFonts w:cstheme="minorHAnsi"/>
        </w:rPr>
        <w:t>sse</w:t>
      </w:r>
      <w:r w:rsidR="007F2032" w:rsidRPr="00EE3C7F">
        <w:rPr>
          <w:rFonts w:cstheme="minorHAnsi"/>
        </w:rPr>
        <w:t>d by</w:t>
      </w:r>
      <w:r w:rsidR="006E2F73" w:rsidRPr="00EE3C7F">
        <w:rPr>
          <w:rFonts w:cstheme="minorHAnsi"/>
        </w:rPr>
        <w:t xml:space="preserve"> </w:t>
      </w:r>
      <w:r w:rsidRPr="00EE3C7F">
        <w:rPr>
          <w:rFonts w:cstheme="minorHAnsi"/>
        </w:rPr>
        <w:t>the Department of Health</w:t>
      </w:r>
      <w:r w:rsidR="007F2032" w:rsidRPr="00EE3C7F">
        <w:rPr>
          <w:rFonts w:cstheme="minorHAnsi"/>
        </w:rPr>
        <w:t xml:space="preserve"> </w:t>
      </w:r>
      <w:r w:rsidR="00142496">
        <w:rPr>
          <w:rFonts w:cstheme="minorHAnsi"/>
        </w:rPr>
        <w:t xml:space="preserve">(Health) </w:t>
      </w:r>
      <w:r w:rsidR="007F2032" w:rsidRPr="00EE3C7F">
        <w:rPr>
          <w:rFonts w:cstheme="minorHAnsi"/>
        </w:rPr>
        <w:t>and</w:t>
      </w:r>
      <w:r w:rsidR="006E2F73" w:rsidRPr="00EE3C7F">
        <w:rPr>
          <w:rFonts w:cstheme="minorHAnsi"/>
        </w:rPr>
        <w:t xml:space="preserve"> </w:t>
      </w:r>
      <w:r w:rsidRPr="00EE3C7F">
        <w:rPr>
          <w:rFonts w:cstheme="minorHAnsi"/>
        </w:rPr>
        <w:t>the Australian Prudential Regulation Authority</w:t>
      </w:r>
      <w:r w:rsidR="00294212" w:rsidRPr="00EE3C7F">
        <w:rPr>
          <w:rFonts w:cstheme="minorHAnsi"/>
        </w:rPr>
        <w:t xml:space="preserve"> (APRA)</w:t>
      </w:r>
      <w:r w:rsidR="007F2032" w:rsidRPr="00EE3C7F">
        <w:rPr>
          <w:rFonts w:cstheme="minorHAnsi"/>
        </w:rPr>
        <w:t>.</w:t>
      </w:r>
    </w:p>
    <w:p w14:paraId="6D9A5172" w14:textId="77777777" w:rsidR="00C65948" w:rsidRPr="00B153ED" w:rsidRDefault="0007393B" w:rsidP="00B153ED">
      <w:r w:rsidRPr="00B153ED">
        <w:t xml:space="preserve">In submitting the </w:t>
      </w:r>
      <w:r w:rsidR="008D2422" w:rsidRPr="00B153ED">
        <w:t>premium application form</w:t>
      </w:r>
      <w:r w:rsidRPr="00B153ED">
        <w:t>, please note:</w:t>
      </w:r>
    </w:p>
    <w:p w14:paraId="5737F85E" w14:textId="0F814521" w:rsidR="00881479" w:rsidRPr="00880F95" w:rsidRDefault="00881479" w:rsidP="004B55E1">
      <w:pPr>
        <w:pStyle w:val="ListBullet"/>
      </w:pPr>
      <w:r>
        <w:t xml:space="preserve">New products which have been introduced between 1 April </w:t>
      </w:r>
      <w:r w:rsidR="00DE4E14">
        <w:t>202</w:t>
      </w:r>
      <w:r w:rsidR="00697D0D">
        <w:t>2</w:t>
      </w:r>
      <w:r w:rsidR="00DE4E14">
        <w:t xml:space="preserve"> </w:t>
      </w:r>
      <w:r>
        <w:t xml:space="preserve">and 30 September </w:t>
      </w:r>
      <w:r w:rsidR="00DE4E14">
        <w:t>202</w:t>
      </w:r>
      <w:r w:rsidR="00697D0D">
        <w:t>2</w:t>
      </w:r>
      <w:r w:rsidR="00DE4E14">
        <w:t xml:space="preserve"> </w:t>
      </w:r>
      <w:r>
        <w:t>should be included.</w:t>
      </w:r>
    </w:p>
    <w:p w14:paraId="19401C25" w14:textId="77777777" w:rsidR="003914BA" w:rsidRPr="00E57E04" w:rsidRDefault="003914BA" w:rsidP="004B55E1">
      <w:pPr>
        <w:pStyle w:val="ListBullet"/>
      </w:pPr>
      <w:r w:rsidRPr="00E57E04">
        <w:t>A</w:t>
      </w:r>
      <w:r w:rsidR="00101F7E" w:rsidRPr="00E57E04">
        <w:t xml:space="preserve">ll information </w:t>
      </w:r>
      <w:r w:rsidR="0002640D" w:rsidRPr="00E57E04">
        <w:t>should</w:t>
      </w:r>
      <w:r w:rsidR="00101F7E" w:rsidRPr="00E57E04">
        <w:t xml:space="preserve"> be provided as instructed</w:t>
      </w:r>
      <w:r w:rsidR="00E500BC" w:rsidRPr="00E57E04">
        <w:t xml:space="preserve"> in this document</w:t>
      </w:r>
      <w:r w:rsidRPr="00E57E04">
        <w:t>.</w:t>
      </w:r>
    </w:p>
    <w:p w14:paraId="4B8483CB" w14:textId="77777777" w:rsidR="003914BA" w:rsidRPr="00E57E04" w:rsidRDefault="003914BA" w:rsidP="004B55E1">
      <w:pPr>
        <w:pStyle w:val="ListBullet"/>
      </w:pPr>
      <w:r w:rsidRPr="00E57E04">
        <w:t>D</w:t>
      </w:r>
      <w:r w:rsidR="00FE3476" w:rsidRPr="00E57E04">
        <w:t xml:space="preserve">ata should </w:t>
      </w:r>
      <w:r w:rsidR="00E57E04">
        <w:t>align</w:t>
      </w:r>
      <w:r w:rsidR="00132B2E" w:rsidRPr="00E57E04">
        <w:t xml:space="preserve"> with information provided to APRA</w:t>
      </w:r>
      <w:r w:rsidR="00FE3476" w:rsidRPr="00E57E04">
        <w:t>, notably</w:t>
      </w:r>
      <w:r w:rsidR="00132B2E" w:rsidRPr="00E57E04">
        <w:t xml:space="preserve"> HRF601</w:t>
      </w:r>
      <w:r w:rsidR="00294212" w:rsidRPr="00E57E04">
        <w:t xml:space="preserve"> and HRF602</w:t>
      </w:r>
      <w:r w:rsidRPr="00E57E04">
        <w:t>.</w:t>
      </w:r>
    </w:p>
    <w:p w14:paraId="35C0E01C" w14:textId="77777777" w:rsidR="003914BA" w:rsidRPr="00E57E04" w:rsidRDefault="003914BA" w:rsidP="004B55E1">
      <w:pPr>
        <w:pStyle w:val="ListBullet"/>
      </w:pPr>
      <w:r w:rsidRPr="00E57E04">
        <w:t>P</w:t>
      </w:r>
      <w:r w:rsidR="00B4660B" w:rsidRPr="00E57E04">
        <w:t xml:space="preserve">ages </w:t>
      </w:r>
      <w:r w:rsidR="0002640D" w:rsidRPr="00E57E04">
        <w:t>should</w:t>
      </w:r>
      <w:r w:rsidR="00B4660B" w:rsidRPr="00E57E04">
        <w:t xml:space="preserve"> be numbered</w:t>
      </w:r>
      <w:r w:rsidR="006E2F73" w:rsidRPr="00E57E04">
        <w:t xml:space="preserve"> in the written report</w:t>
      </w:r>
      <w:r w:rsidRPr="00E57E04">
        <w:t>.</w:t>
      </w:r>
    </w:p>
    <w:p w14:paraId="43625216" w14:textId="77777777" w:rsidR="0007393B" w:rsidRPr="00E57E04" w:rsidRDefault="00E57E04" w:rsidP="004B55E1">
      <w:pPr>
        <w:pStyle w:val="ListBullet"/>
      </w:pPr>
      <w:r>
        <w:t>T</w:t>
      </w:r>
      <w:r w:rsidR="0007393B" w:rsidRPr="00E57E04">
        <w:t xml:space="preserve">he </w:t>
      </w:r>
      <w:r w:rsidR="00812ABB" w:rsidRPr="00E57E04">
        <w:t>premium application</w:t>
      </w:r>
      <w:r w:rsidR="006E2F73" w:rsidRPr="00E57E04">
        <w:t xml:space="preserve"> form</w:t>
      </w:r>
      <w:r w:rsidR="0007393B" w:rsidRPr="00E57E04">
        <w:t xml:space="preserve"> </w:t>
      </w:r>
      <w:r w:rsidR="0002640D" w:rsidRPr="00E57E04">
        <w:t>should</w:t>
      </w:r>
      <w:r w:rsidR="00B4660B" w:rsidRPr="00E57E04">
        <w:t xml:space="preserve"> </w:t>
      </w:r>
      <w:r w:rsidR="0007393B" w:rsidRPr="004B55E1">
        <w:rPr>
          <w:rStyle w:val="Strong"/>
        </w:rPr>
        <w:t>not</w:t>
      </w:r>
      <w:r w:rsidR="0007393B" w:rsidRPr="00E57E04">
        <w:t xml:space="preserve"> be submitted in PDF format</w:t>
      </w:r>
      <w:r>
        <w:t>.</w:t>
      </w:r>
    </w:p>
    <w:p w14:paraId="01EB7410" w14:textId="453F40C7" w:rsidR="00583A06" w:rsidRPr="00B153ED" w:rsidRDefault="00E57E04" w:rsidP="004B55E1">
      <w:pPr>
        <w:pStyle w:val="ListBullet"/>
      </w:pPr>
      <w:r>
        <w:t>O</w:t>
      </w:r>
      <w:r w:rsidR="00101F7E" w:rsidRPr="00E57E04">
        <w:t>nly information that is relevant to the health insurance business is required</w:t>
      </w:r>
      <w:r>
        <w:t>.</w:t>
      </w:r>
    </w:p>
    <w:p w14:paraId="11A09C7B" w14:textId="3201B18B" w:rsidR="00C65948" w:rsidRPr="00B153ED" w:rsidRDefault="00142496" w:rsidP="00B153ED">
      <w:r w:rsidRPr="00B153ED">
        <w:t>Health/APRA</w:t>
      </w:r>
      <w:r w:rsidR="007F2032" w:rsidRPr="00B153ED">
        <w:t xml:space="preserve"> will </w:t>
      </w:r>
      <w:r w:rsidRPr="00B153ED">
        <w:t>contact insurers</w:t>
      </w:r>
      <w:r w:rsidR="00D66CD9" w:rsidRPr="00B153ED">
        <w:t xml:space="preserve"> </w:t>
      </w:r>
      <w:r w:rsidRPr="00B153ED">
        <w:t xml:space="preserve">to discuss applications </w:t>
      </w:r>
      <w:r w:rsidR="00D66CD9" w:rsidRPr="00B153ED">
        <w:t xml:space="preserve">that do not comply with the </w:t>
      </w:r>
      <w:r w:rsidR="007F2032" w:rsidRPr="00B153ED">
        <w:t>guidelines and requirements</w:t>
      </w:r>
      <w:r w:rsidR="00D66CD9" w:rsidRPr="00B153ED">
        <w:t xml:space="preserve"> set out in this document</w:t>
      </w:r>
      <w:r w:rsidR="007F2032" w:rsidRPr="00B153ED">
        <w:t>.</w:t>
      </w:r>
    </w:p>
    <w:p w14:paraId="599FD128" w14:textId="52324030" w:rsidR="00D95376" w:rsidRPr="00B153ED" w:rsidRDefault="00465A46" w:rsidP="005468BE">
      <w:pPr>
        <w:pStyle w:val="Heading2"/>
      </w:pPr>
      <w:r w:rsidRPr="00B153ED">
        <w:t>202</w:t>
      </w:r>
      <w:r w:rsidR="00697D0D" w:rsidRPr="00B153ED">
        <w:t>3</w:t>
      </w:r>
      <w:r w:rsidRPr="00B153ED">
        <w:t xml:space="preserve"> </w:t>
      </w:r>
      <w:r w:rsidR="00D95376" w:rsidRPr="00B153ED">
        <w:t xml:space="preserve">Average </w:t>
      </w:r>
      <w:r w:rsidR="005E4F82">
        <w:t>p</w:t>
      </w:r>
      <w:r w:rsidR="00D95376" w:rsidRPr="00B153ED">
        <w:t>r</w:t>
      </w:r>
      <w:r w:rsidR="003B5A5C" w:rsidRPr="00B153ED">
        <w:t>emium</w:t>
      </w:r>
      <w:r w:rsidR="00D95376" w:rsidRPr="00B153ED">
        <w:t xml:space="preserve"> </w:t>
      </w:r>
      <w:r w:rsidR="005E4F82">
        <w:t>i</w:t>
      </w:r>
      <w:r w:rsidR="00D95376" w:rsidRPr="00B153ED">
        <w:t>ncrease</w:t>
      </w:r>
    </w:p>
    <w:p w14:paraId="4B13D283" w14:textId="7392F340" w:rsidR="00CA638E" w:rsidRPr="00B153ED" w:rsidRDefault="00D95376" w:rsidP="00B153ED">
      <w:r w:rsidRPr="00B153ED">
        <w:t>The 202</w:t>
      </w:r>
      <w:r w:rsidR="00697D0D" w:rsidRPr="00B153ED">
        <w:t>3</w:t>
      </w:r>
      <w:r w:rsidRPr="00B153ED">
        <w:t xml:space="preserve"> average premium increase will be calculated from the </w:t>
      </w:r>
      <w:r w:rsidR="006859C0" w:rsidRPr="00B153ED">
        <w:t>premium</w:t>
      </w:r>
      <w:r w:rsidRPr="00B153ED">
        <w:t xml:space="preserve"> as </w:t>
      </w:r>
      <w:r w:rsidR="00BC3EBA" w:rsidRPr="00B153ED">
        <w:t>approved</w:t>
      </w:r>
      <w:r w:rsidRPr="00B153ED">
        <w:t xml:space="preserve"> by the Minister for Health in the 202</w:t>
      </w:r>
      <w:r w:rsidR="00697D0D" w:rsidRPr="00B153ED">
        <w:t>2</w:t>
      </w:r>
      <w:r w:rsidRPr="00B153ED">
        <w:t xml:space="preserve"> premium round, </w:t>
      </w:r>
      <w:r w:rsidR="00F90581" w:rsidRPr="00B153ED">
        <w:t xml:space="preserve">regardless of whether this </w:t>
      </w:r>
      <w:r w:rsidR="006859C0" w:rsidRPr="00B153ED">
        <w:t>premium</w:t>
      </w:r>
      <w:r w:rsidR="00F90581" w:rsidRPr="00B153ED">
        <w:t xml:space="preserve"> has been applied or not.</w:t>
      </w:r>
    </w:p>
    <w:p w14:paraId="527FC3EE" w14:textId="79240B19" w:rsidR="00AC0BF3" w:rsidRPr="00B153ED" w:rsidRDefault="009A0F83" w:rsidP="005468BE">
      <w:pPr>
        <w:pStyle w:val="Heading2"/>
      </w:pPr>
      <w:r w:rsidRPr="00B153ED">
        <w:t xml:space="preserve">The </w:t>
      </w:r>
      <w:r w:rsidR="005E4F82">
        <w:t>w</w:t>
      </w:r>
      <w:r w:rsidRPr="00B153ED">
        <w:t xml:space="preserve">ritten </w:t>
      </w:r>
      <w:r w:rsidR="005E4F82">
        <w:t>r</w:t>
      </w:r>
      <w:r w:rsidRPr="00B153ED">
        <w:t>eport</w:t>
      </w:r>
    </w:p>
    <w:p w14:paraId="467A806D" w14:textId="778EFF70" w:rsidR="00056D4F" w:rsidRPr="00B153ED" w:rsidRDefault="009F1A02" w:rsidP="004B55E1">
      <w:r w:rsidRPr="00B153ED">
        <w:t>A</w:t>
      </w:r>
      <w:r w:rsidR="008652A5" w:rsidRPr="00B153ED">
        <w:t xml:space="preserve">pplications for premium changes </w:t>
      </w:r>
      <w:r w:rsidR="0002640D" w:rsidRPr="00B153ED">
        <w:t>should</w:t>
      </w:r>
      <w:r w:rsidR="008652A5" w:rsidRPr="00B153ED">
        <w:t xml:space="preserve"> include </w:t>
      </w:r>
      <w:r w:rsidR="00186B76" w:rsidRPr="00B153ED">
        <w:t>all</w:t>
      </w:r>
      <w:r w:rsidR="008652A5" w:rsidRPr="00B153ED">
        <w:t xml:space="preserve"> </w:t>
      </w:r>
      <w:r w:rsidR="00A37D19" w:rsidRPr="00B153ED">
        <w:t>information outlined below</w:t>
      </w:r>
      <w:r w:rsidR="008652A5" w:rsidRPr="00B153ED">
        <w:t>.</w:t>
      </w:r>
    </w:p>
    <w:p w14:paraId="1342EC20" w14:textId="77777777" w:rsidR="00056D4F" w:rsidRPr="00B153ED" w:rsidRDefault="0002640D" w:rsidP="004B55E1">
      <w:r w:rsidRPr="00B153ED">
        <w:t>As a guide</w:t>
      </w:r>
      <w:r w:rsidR="00186B76" w:rsidRPr="00B153ED">
        <w:t>,</w:t>
      </w:r>
      <w:r w:rsidRPr="00B153ED">
        <w:t xml:space="preserve"> a</w:t>
      </w:r>
      <w:r w:rsidR="00056D4F" w:rsidRPr="00B153ED">
        <w:t xml:space="preserve">n application which is consistent with the </w:t>
      </w:r>
      <w:r w:rsidRPr="00B153ED">
        <w:t xml:space="preserve">insurer’s </w:t>
      </w:r>
      <w:r w:rsidR="00056D4F" w:rsidRPr="00B153ED">
        <w:t xml:space="preserve">pricing philosophy and capital management plan is expected to be </w:t>
      </w:r>
      <w:r w:rsidR="00881479" w:rsidRPr="00B153ED">
        <w:t>no more than</w:t>
      </w:r>
      <w:r w:rsidR="0005726E" w:rsidRPr="00B153ED">
        <w:t xml:space="preserve"> 20 pages and </w:t>
      </w:r>
      <w:r w:rsidR="00881479" w:rsidRPr="00B153ED">
        <w:t xml:space="preserve">no more than </w:t>
      </w:r>
      <w:r w:rsidR="0005726E" w:rsidRPr="00B153ED">
        <w:t>10</w:t>
      </w:r>
      <w:r w:rsidR="00CA638E" w:rsidRPr="00B153ED">
        <w:t> </w:t>
      </w:r>
      <w:r w:rsidR="0005726E" w:rsidRPr="00B153ED">
        <w:t>pages for the Actuarial opinion.</w:t>
      </w:r>
    </w:p>
    <w:p w14:paraId="041ECEF9" w14:textId="77777777" w:rsidR="007B7342" w:rsidRPr="00B153ED" w:rsidRDefault="00377A2C" w:rsidP="005468BE">
      <w:pPr>
        <w:pStyle w:val="Heading3"/>
      </w:pPr>
      <w:r w:rsidRPr="00B153ED">
        <w:lastRenderedPageBreak/>
        <w:t>Questions</w:t>
      </w:r>
    </w:p>
    <w:tbl>
      <w:tblPr>
        <w:tblStyle w:val="TableGrid"/>
        <w:tblW w:w="5267" w:type="pct"/>
        <w:tblLook w:val="01E0" w:firstRow="1" w:lastRow="1" w:firstColumn="1" w:lastColumn="1" w:noHBand="0" w:noVBand="0"/>
      </w:tblPr>
      <w:tblGrid>
        <w:gridCol w:w="1225"/>
        <w:gridCol w:w="1514"/>
        <w:gridCol w:w="6758"/>
      </w:tblGrid>
      <w:tr w:rsidR="00DF7D11" w:rsidRPr="00A63757" w14:paraId="446F4BE7" w14:textId="77777777" w:rsidTr="005468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56" w:type="pct"/>
          </w:tcPr>
          <w:p w14:paraId="2CF6CAA6" w14:textId="77777777" w:rsidR="00B13596" w:rsidRPr="00A63757" w:rsidRDefault="00B13596" w:rsidP="00A63757">
            <w:r w:rsidRPr="00A63757">
              <w:t>Reference</w:t>
            </w:r>
          </w:p>
        </w:tc>
        <w:tc>
          <w:tcPr>
            <w:tcW w:w="800" w:type="pct"/>
          </w:tcPr>
          <w:p w14:paraId="12C911E2" w14:textId="77777777" w:rsidR="00B13596" w:rsidRPr="00A63757" w:rsidRDefault="00B13596" w:rsidP="00A63757">
            <w:pPr>
              <w:cnfStyle w:val="100000000000" w:firstRow="1" w:lastRow="0" w:firstColumn="0" w:lastColumn="0" w:oddVBand="0" w:evenVBand="0" w:oddHBand="0" w:evenHBand="0" w:firstRowFirstColumn="0" w:firstRowLastColumn="0" w:lastRowFirstColumn="0" w:lastRowLastColumn="0"/>
            </w:pPr>
            <w:r w:rsidRPr="00A63757">
              <w:t>Question</w:t>
            </w:r>
          </w:p>
        </w:tc>
        <w:tc>
          <w:tcPr>
            <w:tcW w:w="3644" w:type="pct"/>
          </w:tcPr>
          <w:p w14:paraId="46BFBAD5" w14:textId="77777777" w:rsidR="00B13596" w:rsidRPr="00A63757" w:rsidRDefault="00B13596" w:rsidP="00A63757">
            <w:pPr>
              <w:cnfStyle w:val="100000000000" w:firstRow="1" w:lastRow="0" w:firstColumn="0" w:lastColumn="0" w:oddVBand="0" w:evenVBand="0" w:oddHBand="0" w:evenHBand="0" w:firstRowFirstColumn="0" w:firstRowLastColumn="0" w:lastRowFirstColumn="0" w:lastRowLastColumn="0"/>
            </w:pPr>
            <w:r w:rsidRPr="00A63757">
              <w:t>Guidance</w:t>
            </w:r>
          </w:p>
        </w:tc>
      </w:tr>
      <w:tr w:rsidR="00DF7D11" w:rsidRPr="00EE3C7F" w14:paraId="2578C271" w14:textId="77777777" w:rsidTr="00A63757">
        <w:tc>
          <w:tcPr>
            <w:cnfStyle w:val="001000000000" w:firstRow="0" w:lastRow="0" w:firstColumn="1" w:lastColumn="0" w:oddVBand="0" w:evenVBand="0" w:oddHBand="0" w:evenHBand="0" w:firstRowFirstColumn="0" w:firstRowLastColumn="0" w:lastRowFirstColumn="0" w:lastRowLastColumn="0"/>
            <w:tcW w:w="556" w:type="pct"/>
          </w:tcPr>
          <w:p w14:paraId="7CBFC48A" w14:textId="77777777" w:rsidR="00B13596" w:rsidRPr="00B153ED" w:rsidRDefault="00B13596" w:rsidP="00B153ED">
            <w:r w:rsidRPr="00B153ED">
              <w:t>1</w:t>
            </w:r>
          </w:p>
        </w:tc>
        <w:tc>
          <w:tcPr>
            <w:tcW w:w="800" w:type="pct"/>
          </w:tcPr>
          <w:p w14:paraId="63E3EA5A" w14:textId="77777777" w:rsidR="00B13596" w:rsidRPr="004B55E1" w:rsidRDefault="00B13596" w:rsidP="004B55E1">
            <w:pPr>
              <w:cnfStyle w:val="000000000000" w:firstRow="0" w:lastRow="0" w:firstColumn="0" w:lastColumn="0" w:oddVBand="0" w:evenVBand="0" w:oddHBand="0" w:evenHBand="0" w:firstRowFirstColumn="0" w:firstRowLastColumn="0" w:lastRowFirstColumn="0" w:lastRowLastColumn="0"/>
            </w:pPr>
            <w:r w:rsidRPr="004B55E1">
              <w:t>Insurer name</w:t>
            </w:r>
          </w:p>
        </w:tc>
        <w:tc>
          <w:tcPr>
            <w:tcW w:w="3644" w:type="pct"/>
          </w:tcPr>
          <w:p w14:paraId="39A2613A" w14:textId="77777777" w:rsidR="00A26209" w:rsidRPr="004B55E1" w:rsidRDefault="00B13596" w:rsidP="004B55E1">
            <w:pPr>
              <w:cnfStyle w:val="000000000000" w:firstRow="0" w:lastRow="0" w:firstColumn="0" w:lastColumn="0" w:oddVBand="0" w:evenVBand="0" w:oddHBand="0" w:evenHBand="0" w:firstRowFirstColumn="0" w:firstRowLastColumn="0" w:lastRowFirstColumn="0" w:lastRowLastColumn="0"/>
            </w:pPr>
            <w:r w:rsidRPr="004B55E1">
              <w:t>Provide the name of the insurer as registered with APRA as at the premium application date.</w:t>
            </w:r>
          </w:p>
        </w:tc>
      </w:tr>
      <w:tr w:rsidR="00DF7D11" w:rsidRPr="00EE3C7F" w14:paraId="3620D8FC" w14:textId="77777777" w:rsidTr="00A63757">
        <w:tc>
          <w:tcPr>
            <w:cnfStyle w:val="001000000000" w:firstRow="0" w:lastRow="0" w:firstColumn="1" w:lastColumn="0" w:oddVBand="0" w:evenVBand="0" w:oddHBand="0" w:evenHBand="0" w:firstRowFirstColumn="0" w:firstRowLastColumn="0" w:lastRowFirstColumn="0" w:lastRowLastColumn="0"/>
            <w:tcW w:w="556" w:type="pct"/>
          </w:tcPr>
          <w:p w14:paraId="24C830C2" w14:textId="77777777" w:rsidR="00B13596" w:rsidRPr="00B153ED" w:rsidRDefault="00B13596" w:rsidP="00B153ED">
            <w:r w:rsidRPr="00B153ED">
              <w:t>2</w:t>
            </w:r>
          </w:p>
        </w:tc>
        <w:tc>
          <w:tcPr>
            <w:tcW w:w="800" w:type="pct"/>
          </w:tcPr>
          <w:p w14:paraId="2F0355CC" w14:textId="77777777" w:rsidR="00152E10" w:rsidRPr="004B55E1" w:rsidRDefault="007B7342" w:rsidP="004B55E1">
            <w:pPr>
              <w:cnfStyle w:val="000000000000" w:firstRow="0" w:lastRow="0" w:firstColumn="0" w:lastColumn="0" w:oddVBand="0" w:evenVBand="0" w:oddHBand="0" w:evenHBand="0" w:firstRowFirstColumn="0" w:firstRowLastColumn="0" w:lastRowFirstColumn="0" w:lastRowLastColumn="0"/>
            </w:pPr>
            <w:r w:rsidRPr="004B55E1">
              <w:t xml:space="preserve">Date(s) of </w:t>
            </w:r>
            <w:r w:rsidR="00B13596" w:rsidRPr="004B55E1">
              <w:t>premium change</w:t>
            </w:r>
            <w:r w:rsidRPr="004B55E1">
              <w:t xml:space="preserve"> effect</w:t>
            </w:r>
          </w:p>
        </w:tc>
        <w:tc>
          <w:tcPr>
            <w:tcW w:w="3644" w:type="pct"/>
          </w:tcPr>
          <w:p w14:paraId="2DFF4C5A" w14:textId="77777777" w:rsidR="00A26209" w:rsidRPr="004B55E1" w:rsidRDefault="00B13596" w:rsidP="004B55E1">
            <w:pPr>
              <w:cnfStyle w:val="000000000000" w:firstRow="0" w:lastRow="0" w:firstColumn="0" w:lastColumn="0" w:oddVBand="0" w:evenVBand="0" w:oddHBand="0" w:evenHBand="0" w:firstRowFirstColumn="0" w:firstRowLastColumn="0" w:lastRowFirstColumn="0" w:lastRowLastColumn="0"/>
            </w:pPr>
            <w:r w:rsidRPr="004B55E1">
              <w:t>Provide the date(s) on which the premium change(s) are to take effect.  It is preferable for insurers to implement a date of effect of 1 April.</w:t>
            </w:r>
          </w:p>
        </w:tc>
      </w:tr>
      <w:tr w:rsidR="003B784D" w:rsidRPr="00EE3C7F" w14:paraId="2C308EB8" w14:textId="77777777" w:rsidTr="00A63757">
        <w:tc>
          <w:tcPr>
            <w:cnfStyle w:val="001000000000" w:firstRow="0" w:lastRow="0" w:firstColumn="1" w:lastColumn="0" w:oddVBand="0" w:evenVBand="0" w:oddHBand="0" w:evenHBand="0" w:firstRowFirstColumn="0" w:firstRowLastColumn="0" w:lastRowFirstColumn="0" w:lastRowLastColumn="0"/>
            <w:tcW w:w="556" w:type="pct"/>
          </w:tcPr>
          <w:p w14:paraId="25310F8B" w14:textId="77777777" w:rsidR="003B784D" w:rsidRPr="00B153ED" w:rsidRDefault="003B784D" w:rsidP="00B153ED">
            <w:r w:rsidRPr="00B153ED">
              <w:t>3</w:t>
            </w:r>
          </w:p>
        </w:tc>
        <w:tc>
          <w:tcPr>
            <w:tcW w:w="800" w:type="pct"/>
          </w:tcPr>
          <w:p w14:paraId="662E12B9" w14:textId="77777777" w:rsidR="003B784D" w:rsidRPr="004B55E1" w:rsidRDefault="00B04F43" w:rsidP="004B55E1">
            <w:pPr>
              <w:cnfStyle w:val="000000000000" w:firstRow="0" w:lastRow="0" w:firstColumn="0" w:lastColumn="0" w:oddVBand="0" w:evenVBand="0" w:oddHBand="0" w:evenHBand="0" w:firstRowFirstColumn="0" w:firstRowLastColumn="0" w:lastRowFirstColumn="0" w:lastRowLastColumn="0"/>
            </w:pPr>
            <w:r w:rsidRPr="004B55E1">
              <w:t>Summary</w:t>
            </w:r>
            <w:r w:rsidR="00922C7D" w:rsidRPr="004B55E1">
              <w:t xml:space="preserve"> statement</w:t>
            </w:r>
          </w:p>
        </w:tc>
        <w:tc>
          <w:tcPr>
            <w:tcW w:w="3644" w:type="pct"/>
          </w:tcPr>
          <w:p w14:paraId="10912B23" w14:textId="77777777" w:rsidR="003B784D" w:rsidRPr="004B55E1" w:rsidRDefault="00975E31" w:rsidP="004B55E1">
            <w:pPr>
              <w:cnfStyle w:val="000000000000" w:firstRow="0" w:lastRow="0" w:firstColumn="0" w:lastColumn="0" w:oddVBand="0" w:evenVBand="0" w:oddHBand="0" w:evenHBand="0" w:firstRowFirstColumn="0" w:firstRowLastColumn="0" w:lastRowFirstColumn="0" w:lastRowLastColumn="0"/>
            </w:pPr>
            <w:r w:rsidRPr="004B55E1">
              <w:t xml:space="preserve">Option to answer this question by way of a covering letter OR as part of the </w:t>
            </w:r>
            <w:r w:rsidR="00922C7D" w:rsidRPr="004B55E1">
              <w:t>written report</w:t>
            </w:r>
            <w:r w:rsidRPr="004B55E1">
              <w:t>. Summarise how the key drivers have resulted in the prices applied for</w:t>
            </w:r>
            <w:r w:rsidR="003F6654" w:rsidRPr="004B55E1">
              <w:t xml:space="preserve"> and</w:t>
            </w:r>
            <w:r w:rsidR="00B77362" w:rsidRPr="004B55E1">
              <w:t xml:space="preserve"> </w:t>
            </w:r>
            <w:r w:rsidR="003F6654" w:rsidRPr="004B55E1">
              <w:t>h</w:t>
            </w:r>
            <w:r w:rsidR="00B77362" w:rsidRPr="004B55E1">
              <w:t xml:space="preserve">ighlight </w:t>
            </w:r>
            <w:r w:rsidR="00F71A25" w:rsidRPr="004B55E1">
              <w:t xml:space="preserve">any significant </w:t>
            </w:r>
            <w:r w:rsidR="004C544D" w:rsidRPr="004B55E1">
              <w:t xml:space="preserve">issues or </w:t>
            </w:r>
            <w:r w:rsidR="00E4564E" w:rsidRPr="004B55E1">
              <w:t xml:space="preserve">key </w:t>
            </w:r>
            <w:r w:rsidR="00F71A25" w:rsidRPr="004B55E1">
              <w:t>changes</w:t>
            </w:r>
            <w:r w:rsidR="00E4564E" w:rsidRPr="004B55E1">
              <w:t xml:space="preserve"> associated with the </w:t>
            </w:r>
            <w:r w:rsidR="00F71A25" w:rsidRPr="004B55E1">
              <w:t>pricing or implementation approach.</w:t>
            </w:r>
          </w:p>
        </w:tc>
      </w:tr>
      <w:tr w:rsidR="00DF7D11" w:rsidRPr="00EE3C7F" w14:paraId="7EC7A447" w14:textId="77777777" w:rsidTr="00A63757">
        <w:trPr>
          <w:trHeight w:val="2623"/>
        </w:trPr>
        <w:tc>
          <w:tcPr>
            <w:cnfStyle w:val="001000000000" w:firstRow="0" w:lastRow="0" w:firstColumn="1" w:lastColumn="0" w:oddVBand="0" w:evenVBand="0" w:oddHBand="0" w:evenHBand="0" w:firstRowFirstColumn="0" w:firstRowLastColumn="0" w:lastRowFirstColumn="0" w:lastRowLastColumn="0"/>
            <w:tcW w:w="556" w:type="pct"/>
          </w:tcPr>
          <w:p w14:paraId="5DDFFABD" w14:textId="77777777" w:rsidR="00B13596" w:rsidRPr="00B153ED" w:rsidRDefault="004B07D2" w:rsidP="00B153ED">
            <w:r w:rsidRPr="00B153ED">
              <w:t>4</w:t>
            </w:r>
          </w:p>
        </w:tc>
        <w:tc>
          <w:tcPr>
            <w:tcW w:w="800" w:type="pct"/>
          </w:tcPr>
          <w:p w14:paraId="74A312F4" w14:textId="77777777" w:rsidR="00767D4B" w:rsidRPr="004B55E1" w:rsidRDefault="00B13596" w:rsidP="004B55E1">
            <w:pPr>
              <w:cnfStyle w:val="000000000000" w:firstRow="0" w:lastRow="0" w:firstColumn="0" w:lastColumn="0" w:oddVBand="0" w:evenVBand="0" w:oddHBand="0" w:evenHBand="0" w:firstRowFirstColumn="0" w:firstRowLastColumn="0" w:lastRowFirstColumn="0" w:lastRowLastColumn="0"/>
            </w:pPr>
            <w:r w:rsidRPr="004B55E1">
              <w:t xml:space="preserve">Consistency with </w:t>
            </w:r>
            <w:r w:rsidR="00881479" w:rsidRPr="004B55E1">
              <w:t>p</w:t>
            </w:r>
            <w:r w:rsidRPr="004B55E1">
              <w:t xml:space="preserve">ricing </w:t>
            </w:r>
            <w:r w:rsidR="00881479" w:rsidRPr="004B55E1">
              <w:t>p</w:t>
            </w:r>
            <w:r w:rsidRPr="004B55E1">
              <w:t>hilosophy</w:t>
            </w:r>
          </w:p>
        </w:tc>
        <w:tc>
          <w:tcPr>
            <w:tcW w:w="3644" w:type="pct"/>
          </w:tcPr>
          <w:p w14:paraId="2F1B02DE" w14:textId="63845CFD" w:rsidR="00881479" w:rsidRPr="004B55E1" w:rsidRDefault="00881479" w:rsidP="004B55E1">
            <w:pPr>
              <w:cnfStyle w:val="000000000000" w:firstRow="0" w:lastRow="0" w:firstColumn="0" w:lastColumn="0" w:oddVBand="0" w:evenVBand="0" w:oddHBand="0" w:evenHBand="0" w:firstRowFirstColumn="0" w:firstRowLastColumn="0" w:lastRowFirstColumn="0" w:lastRowLastColumn="0"/>
            </w:pPr>
            <w:r w:rsidRPr="004B55E1">
              <w:t>Outline whether th</w:t>
            </w:r>
            <w:r w:rsidR="00136C6E" w:rsidRPr="004B55E1">
              <w:t xml:space="preserve">e </w:t>
            </w:r>
            <w:r w:rsidRPr="004B55E1">
              <w:t>premium application is consistent with the</w:t>
            </w:r>
            <w:r w:rsidR="001E5CF8" w:rsidRPr="004B55E1">
              <w:t xml:space="preserve"> insurer’s</w:t>
            </w:r>
            <w:r w:rsidRPr="004B55E1">
              <w:t xml:space="preserve"> pricing philosophy.</w:t>
            </w:r>
          </w:p>
          <w:p w14:paraId="3C149B54" w14:textId="2BC3FBD3" w:rsidR="00881479" w:rsidRPr="004B55E1" w:rsidRDefault="00881479" w:rsidP="004B55E1">
            <w:pPr>
              <w:cnfStyle w:val="000000000000" w:firstRow="0" w:lastRow="0" w:firstColumn="0" w:lastColumn="0" w:oddVBand="0" w:evenVBand="0" w:oddHBand="0" w:evenHBand="0" w:firstRowFirstColumn="0" w:firstRowLastColumn="0" w:lastRowFirstColumn="0" w:lastRowLastColumn="0"/>
            </w:pPr>
            <w:r w:rsidRPr="004B55E1">
              <w:t>This should detail products that are currently, or expected to be,</w:t>
            </w:r>
            <w:r w:rsidRPr="004B55E1">
              <w:rPr>
                <w:rStyle w:val="Strong"/>
              </w:rPr>
              <w:t xml:space="preserve"> outside</w:t>
            </w:r>
            <w:r w:rsidRPr="004B55E1">
              <w:t xml:space="preserve"> of the pricing philosophy and any remedial action planned over the forecast period.</w:t>
            </w:r>
            <w:r w:rsidR="001B6279" w:rsidRPr="004B55E1">
              <w:t xml:space="preserve"> Given COVID-19</w:t>
            </w:r>
            <w:r w:rsidR="001E5CF8" w:rsidRPr="004B55E1">
              <w:t>,</w:t>
            </w:r>
            <w:r w:rsidR="001B6279" w:rsidRPr="004B55E1">
              <w:t xml:space="preserve"> insurers should outlin</w:t>
            </w:r>
            <w:r w:rsidR="001E5CF8" w:rsidRPr="004B55E1">
              <w:t xml:space="preserve">e whether the </w:t>
            </w:r>
            <w:proofErr w:type="gramStart"/>
            <w:r w:rsidR="001E5CF8" w:rsidRPr="004B55E1">
              <w:t>insurers</w:t>
            </w:r>
            <w:proofErr w:type="gramEnd"/>
            <w:r w:rsidR="001E5CF8" w:rsidRPr="004B55E1">
              <w:t xml:space="preserve"> philosophy and appetite for potential remedial</w:t>
            </w:r>
            <w:r w:rsidR="007C2FCF" w:rsidRPr="004B55E1">
              <w:t xml:space="preserve"> action</w:t>
            </w:r>
            <w:r w:rsidR="001E5CF8" w:rsidRPr="004B55E1">
              <w:t xml:space="preserve"> has been impacted by the </w:t>
            </w:r>
            <w:r w:rsidR="00AD027F" w:rsidRPr="004B55E1">
              <w:t>environment</w:t>
            </w:r>
            <w:r w:rsidR="001E5CF8" w:rsidRPr="004B55E1">
              <w:t>.</w:t>
            </w:r>
          </w:p>
          <w:p w14:paraId="3E813B2B" w14:textId="77777777" w:rsidR="00136C6E" w:rsidRPr="00EE3C7F" w:rsidRDefault="00881479" w:rsidP="004B55E1">
            <w:pPr>
              <w:cnfStyle w:val="000000000000" w:firstRow="0" w:lastRow="0" w:firstColumn="0" w:lastColumn="0" w:oddVBand="0" w:evenVBand="0" w:oddHBand="0" w:evenHBand="0" w:firstRowFirstColumn="0" w:firstRowLastColumn="0" w:lastRowFirstColumn="0" w:lastRowLastColumn="0"/>
            </w:pPr>
            <w:r w:rsidRPr="004B55E1">
              <w:t xml:space="preserve">Insurers are expected to demonstrate </w:t>
            </w:r>
            <w:proofErr w:type="gramStart"/>
            <w:r w:rsidRPr="004B55E1">
              <w:t>whether or not</w:t>
            </w:r>
            <w:proofErr w:type="gramEnd"/>
            <w:r w:rsidRPr="004B55E1">
              <w:t xml:space="preserve"> products </w:t>
            </w:r>
            <w:r w:rsidRPr="004B55E1">
              <w:rPr>
                <w:rStyle w:val="Strong"/>
              </w:rPr>
              <w:t>and</w:t>
            </w:r>
            <w:r w:rsidRPr="004B55E1">
              <w:t xml:space="preserve"> the fund as a whole are aligned to the pricing philosophy.</w:t>
            </w:r>
          </w:p>
        </w:tc>
      </w:tr>
      <w:tr w:rsidR="00DF7D11" w:rsidRPr="00EE3C7F" w14:paraId="4A8977BC" w14:textId="77777777" w:rsidTr="00A63757">
        <w:tc>
          <w:tcPr>
            <w:cnfStyle w:val="001000000000" w:firstRow="0" w:lastRow="0" w:firstColumn="1" w:lastColumn="0" w:oddVBand="0" w:evenVBand="0" w:oddHBand="0" w:evenHBand="0" w:firstRowFirstColumn="0" w:firstRowLastColumn="0" w:lastRowFirstColumn="0" w:lastRowLastColumn="0"/>
            <w:tcW w:w="556" w:type="pct"/>
          </w:tcPr>
          <w:p w14:paraId="4BF638D2" w14:textId="77777777" w:rsidR="00B13596" w:rsidRPr="00B153ED" w:rsidRDefault="004B07D2" w:rsidP="00B153ED">
            <w:r w:rsidRPr="00B153ED">
              <w:t>5</w:t>
            </w:r>
          </w:p>
        </w:tc>
        <w:tc>
          <w:tcPr>
            <w:tcW w:w="800" w:type="pct"/>
          </w:tcPr>
          <w:p w14:paraId="40CB13A1" w14:textId="314F4020" w:rsidR="00152E10" w:rsidRPr="004B55E1" w:rsidRDefault="00B13596" w:rsidP="004B55E1">
            <w:pPr>
              <w:cnfStyle w:val="000000000000" w:firstRow="0" w:lastRow="0" w:firstColumn="0" w:lastColumn="0" w:oddVBand="0" w:evenVBand="0" w:oddHBand="0" w:evenHBand="0" w:firstRowFirstColumn="0" w:firstRowLastColumn="0" w:lastRowFirstColumn="0" w:lastRowLastColumn="0"/>
            </w:pPr>
            <w:r w:rsidRPr="004B55E1">
              <w:t xml:space="preserve">Consistency with </w:t>
            </w:r>
            <w:r w:rsidR="00152E10" w:rsidRPr="004B55E1">
              <w:t>capital management plan</w:t>
            </w:r>
          </w:p>
        </w:tc>
        <w:tc>
          <w:tcPr>
            <w:tcW w:w="3644" w:type="pct"/>
          </w:tcPr>
          <w:p w14:paraId="49BCD198" w14:textId="77777777" w:rsidR="00881479" w:rsidRPr="004B55E1" w:rsidRDefault="00881479" w:rsidP="004B55E1">
            <w:pPr>
              <w:cnfStyle w:val="000000000000" w:firstRow="0" w:lastRow="0" w:firstColumn="0" w:lastColumn="0" w:oddVBand="0" w:evenVBand="0" w:oddHBand="0" w:evenHBand="0" w:firstRowFirstColumn="0" w:firstRowLastColumn="0" w:lastRowFirstColumn="0" w:lastRowLastColumn="0"/>
            </w:pPr>
            <w:r w:rsidRPr="004B55E1">
              <w:t>Outline whether the capital projections outlined in Template B are consistent with the insurer’s capital management plan. This should detail any remedial action planned over the forecast period.</w:t>
            </w:r>
          </w:p>
          <w:p w14:paraId="79659EC9" w14:textId="485BE46A" w:rsidR="00817C0C" w:rsidRPr="00EE3C7F" w:rsidRDefault="00AD027F" w:rsidP="004B55E1">
            <w:pPr>
              <w:cnfStyle w:val="000000000000" w:firstRow="0" w:lastRow="0" w:firstColumn="0" w:lastColumn="0" w:oddVBand="0" w:evenVBand="0" w:oddHBand="0" w:evenHBand="0" w:firstRowFirstColumn="0" w:firstRowLastColumn="0" w:lastRowFirstColumn="0" w:lastRowLastColumn="0"/>
            </w:pPr>
            <w:r w:rsidRPr="004B55E1">
              <w:t xml:space="preserve">For insurers that choose to include forecasts of the </w:t>
            </w:r>
            <w:r w:rsidR="0099702E" w:rsidRPr="004B55E1">
              <w:t>prudential capital amount (PCA)</w:t>
            </w:r>
            <w:r w:rsidRPr="004B55E1">
              <w:t xml:space="preserve"> and capital base under the new capital standards, outline the simplifications used. </w:t>
            </w:r>
          </w:p>
        </w:tc>
      </w:tr>
      <w:tr w:rsidR="004628F7" w:rsidRPr="00EE3C7F" w14:paraId="735E50FA" w14:textId="77777777" w:rsidTr="00A63757">
        <w:trPr>
          <w:trHeight w:val="2066"/>
        </w:trPr>
        <w:tc>
          <w:tcPr>
            <w:cnfStyle w:val="001000000000" w:firstRow="0" w:lastRow="0" w:firstColumn="1" w:lastColumn="0" w:oddVBand="0" w:evenVBand="0" w:oddHBand="0" w:evenHBand="0" w:firstRowFirstColumn="0" w:firstRowLastColumn="0" w:lastRowFirstColumn="0" w:lastRowLastColumn="0"/>
            <w:tcW w:w="556" w:type="pct"/>
          </w:tcPr>
          <w:p w14:paraId="16C344BC" w14:textId="77777777" w:rsidR="004628F7" w:rsidRPr="00B153ED" w:rsidRDefault="00625C01" w:rsidP="00B153ED">
            <w:r w:rsidRPr="00B153ED">
              <w:t>6</w:t>
            </w:r>
          </w:p>
        </w:tc>
        <w:tc>
          <w:tcPr>
            <w:tcW w:w="800" w:type="pct"/>
          </w:tcPr>
          <w:p w14:paraId="5C30A72D" w14:textId="77777777" w:rsidR="004628F7" w:rsidRPr="004B55E1" w:rsidRDefault="004628F7" w:rsidP="004B55E1">
            <w:pPr>
              <w:cnfStyle w:val="000000000000" w:firstRow="0" w:lastRow="0" w:firstColumn="0" w:lastColumn="0" w:oddVBand="0" w:evenVBand="0" w:oddHBand="0" w:evenHBand="0" w:firstRowFirstColumn="0" w:firstRowLastColumn="0" w:lastRowFirstColumn="0" w:lastRowLastColumn="0"/>
            </w:pPr>
            <w:r w:rsidRPr="004B55E1">
              <w:t>Benefit growth</w:t>
            </w:r>
          </w:p>
        </w:tc>
        <w:tc>
          <w:tcPr>
            <w:tcW w:w="3644" w:type="pct"/>
          </w:tcPr>
          <w:p w14:paraId="518A631B" w14:textId="77777777" w:rsidR="004628F7" w:rsidRPr="004B55E1" w:rsidRDefault="004628F7" w:rsidP="004B55E1">
            <w:pPr>
              <w:cnfStyle w:val="000000000000" w:firstRow="0" w:lastRow="0" w:firstColumn="0" w:lastColumn="0" w:oddVBand="0" w:evenVBand="0" w:oddHBand="0" w:evenHBand="0" w:firstRowFirstColumn="0" w:firstRowLastColumn="0" w:lastRowFirstColumn="0" w:lastRowLastColumn="0"/>
            </w:pPr>
            <w:r w:rsidRPr="004B55E1">
              <w:t>Outline the approach to forecasting benefits over the projection period. Commentary should provide an understanding of how benefits were forecast and why they are considered reasonable.</w:t>
            </w:r>
          </w:p>
          <w:p w14:paraId="00F9F2FD" w14:textId="77777777" w:rsidR="004628F7" w:rsidRPr="004B55E1" w:rsidRDefault="004628F7" w:rsidP="004B55E1">
            <w:pPr>
              <w:cnfStyle w:val="000000000000" w:firstRow="0" w:lastRow="0" w:firstColumn="0" w:lastColumn="0" w:oddVBand="0" w:evenVBand="0" w:oddHBand="0" w:evenHBand="0" w:firstRowFirstColumn="0" w:firstRowLastColumn="0" w:lastRowFirstColumn="0" w:lastRowLastColumn="0"/>
            </w:pPr>
            <w:r w:rsidRPr="004B55E1">
              <w:t>Commentary should specifically cover the insurer’s view on:</w:t>
            </w:r>
          </w:p>
          <w:p w14:paraId="0FEB81EB" w14:textId="75A710C0" w:rsidR="004628F7" w:rsidRPr="004B55E1" w:rsidRDefault="004628F7" w:rsidP="004B55E1">
            <w:pPr>
              <w:pStyle w:val="ListBullet"/>
              <w:cnfStyle w:val="000000000000" w:firstRow="0" w:lastRow="0" w:firstColumn="0" w:lastColumn="0" w:oddVBand="0" w:evenVBand="0" w:oddHBand="0" w:evenHBand="0" w:firstRowFirstColumn="0" w:firstRowLastColumn="0" w:lastRowFirstColumn="0" w:lastRowLastColumn="0"/>
            </w:pPr>
            <w:r w:rsidRPr="004B55E1">
              <w:t>Underlying benefit growth since COVID-19 started.</w:t>
            </w:r>
          </w:p>
          <w:p w14:paraId="58E3DC14" w14:textId="4FD48EA3" w:rsidR="004628F7" w:rsidRPr="004B55E1" w:rsidRDefault="004628F7" w:rsidP="004B55E1">
            <w:pPr>
              <w:pStyle w:val="ListBullet"/>
              <w:cnfStyle w:val="000000000000" w:firstRow="0" w:lastRow="0" w:firstColumn="0" w:lastColumn="0" w:oddVBand="0" w:evenVBand="0" w:oddHBand="0" w:evenHBand="0" w:firstRowFirstColumn="0" w:firstRowLastColumn="0" w:lastRowFirstColumn="0" w:lastRowLastColumn="0"/>
            </w:pPr>
            <w:r w:rsidRPr="004B55E1">
              <w:t>Future underlying benefit growth over the projection period</w:t>
            </w:r>
            <w:r w:rsidR="00C148CB" w:rsidRPr="004B55E1">
              <w:t>.</w:t>
            </w:r>
          </w:p>
          <w:p w14:paraId="0BF3D171" w14:textId="77777777" w:rsidR="00345864" w:rsidRPr="004B55E1" w:rsidRDefault="007A1C67" w:rsidP="004B55E1">
            <w:pPr>
              <w:pStyle w:val="ListBullet"/>
              <w:cnfStyle w:val="000000000000" w:firstRow="0" w:lastRow="0" w:firstColumn="0" w:lastColumn="0" w:oddVBand="0" w:evenVBand="0" w:oddHBand="0" w:evenHBand="0" w:firstRowFirstColumn="0" w:firstRowLastColumn="0" w:lastRowFirstColumn="0" w:lastRowLastColumn="0"/>
            </w:pPr>
            <w:r w:rsidRPr="004B55E1">
              <w:t>I</w:t>
            </w:r>
            <w:r w:rsidR="004628F7" w:rsidRPr="004B55E1">
              <w:t xml:space="preserve">mpacts of COVID-19 </w:t>
            </w:r>
            <w:proofErr w:type="spellStart"/>
            <w:r w:rsidRPr="004B55E1">
              <w:t>uncertaintly</w:t>
            </w:r>
            <w:proofErr w:type="spellEnd"/>
            <w:r w:rsidRPr="004B55E1">
              <w:t xml:space="preserve"> </w:t>
            </w:r>
            <w:r w:rsidR="004628F7" w:rsidRPr="004B55E1">
              <w:t>on the forecast period.</w:t>
            </w:r>
          </w:p>
          <w:p w14:paraId="738B40E3" w14:textId="423525B1" w:rsidR="005559C0" w:rsidRPr="004B55E1" w:rsidRDefault="005559C0" w:rsidP="004B55E1">
            <w:pPr>
              <w:pStyle w:val="ListBullet"/>
              <w:cnfStyle w:val="000000000000" w:firstRow="0" w:lastRow="0" w:firstColumn="0" w:lastColumn="0" w:oddVBand="0" w:evenVBand="0" w:oddHBand="0" w:evenHBand="0" w:firstRowFirstColumn="0" w:firstRowLastColumn="0" w:lastRowFirstColumn="0" w:lastRowLastColumn="0"/>
            </w:pPr>
            <w:r w:rsidRPr="004B55E1">
              <w:lastRenderedPageBreak/>
              <w:t>Whether the use of medical services or policyholder behaviour has changed over COVID-19</w:t>
            </w:r>
            <w:r w:rsidR="0099702E" w:rsidRPr="004B55E1">
              <w:t>.</w:t>
            </w:r>
          </w:p>
          <w:p w14:paraId="731B95D7" w14:textId="77777777" w:rsidR="004628F7" w:rsidRPr="004B55E1" w:rsidRDefault="004628F7" w:rsidP="004B55E1">
            <w:pPr>
              <w:pStyle w:val="ListBullet"/>
              <w:cnfStyle w:val="000000000000" w:firstRow="0" w:lastRow="0" w:firstColumn="0" w:lastColumn="0" w:oddVBand="0" w:evenVBand="0" w:oddHBand="0" w:evenHBand="0" w:firstRowFirstColumn="0" w:firstRowLastColumn="0" w:lastRowFirstColumn="0" w:lastRowLastColumn="0"/>
            </w:pPr>
            <w:r w:rsidRPr="004B55E1">
              <w:t>How the underlying future benefits have been affected by Government reforms including:</w:t>
            </w:r>
          </w:p>
          <w:p w14:paraId="04504FDF" w14:textId="1AF66D4D" w:rsidR="004628F7" w:rsidRPr="004B55E1" w:rsidRDefault="004628F7" w:rsidP="00CB1B42">
            <w:pPr>
              <w:pStyle w:val="ListBullet2"/>
              <w:cnfStyle w:val="000000000000" w:firstRow="0" w:lastRow="0" w:firstColumn="0" w:lastColumn="0" w:oddVBand="0" w:evenVBand="0" w:oddHBand="0" w:evenHBand="0" w:firstRowFirstColumn="0" w:firstRowLastColumn="0" w:lastRowFirstColumn="0" w:lastRowLastColumn="0"/>
            </w:pPr>
            <w:r w:rsidRPr="004B55E1">
              <w:t>Medicare Benefits Schedule changes</w:t>
            </w:r>
            <w:r w:rsidR="00907D51" w:rsidRPr="004B55E1">
              <w:t>.</w:t>
            </w:r>
          </w:p>
          <w:p w14:paraId="1814CDBE" w14:textId="44301B50" w:rsidR="004628F7" w:rsidRPr="004B55E1" w:rsidRDefault="004628F7" w:rsidP="00CB1B42">
            <w:pPr>
              <w:pStyle w:val="ListBullet2"/>
              <w:cnfStyle w:val="000000000000" w:firstRow="0" w:lastRow="0" w:firstColumn="0" w:lastColumn="0" w:oddVBand="0" w:evenVBand="0" w:oddHBand="0" w:evenHBand="0" w:firstRowFirstColumn="0" w:firstRowLastColumn="0" w:lastRowFirstColumn="0" w:lastRowLastColumn="0"/>
            </w:pPr>
            <w:r w:rsidRPr="004B55E1">
              <w:t>Prostheses reforms</w:t>
            </w:r>
            <w:r w:rsidR="002051E8" w:rsidRPr="004B55E1">
              <w:t>. I</w:t>
            </w:r>
            <w:r w:rsidR="00DB43FC" w:rsidRPr="004B55E1">
              <w:t>nclud</w:t>
            </w:r>
            <w:r w:rsidR="005559C0" w:rsidRPr="004B55E1">
              <w:t>e</w:t>
            </w:r>
            <w:r w:rsidR="00DB43FC" w:rsidRPr="004B55E1">
              <w:t xml:space="preserve"> commentary </w:t>
            </w:r>
            <w:r w:rsidR="00841905" w:rsidRPr="004B55E1">
              <w:t xml:space="preserve">on how current year projections </w:t>
            </w:r>
            <w:r w:rsidR="005559C0" w:rsidRPr="004B55E1">
              <w:t xml:space="preserve">of savings </w:t>
            </w:r>
            <w:r w:rsidR="00841905" w:rsidRPr="004B55E1">
              <w:t>differ to prior projections</w:t>
            </w:r>
            <w:r w:rsidR="005559C0" w:rsidRPr="004B55E1">
              <w:t xml:space="preserve"> of savings for the same period,</w:t>
            </w:r>
            <w:r w:rsidR="00841905" w:rsidRPr="004B55E1">
              <w:t xml:space="preserve"> if applicable</w:t>
            </w:r>
            <w:r w:rsidR="00DB43FC" w:rsidRPr="004B55E1">
              <w:t>.</w:t>
            </w:r>
            <w:r w:rsidR="002051E8" w:rsidRPr="004B55E1">
              <w:t xml:space="preserve"> </w:t>
            </w:r>
            <w:r w:rsidR="005559C0" w:rsidRPr="004B55E1">
              <w:t xml:space="preserve">For example, projections may have changed due to new information. </w:t>
            </w:r>
            <w:r w:rsidR="002051E8" w:rsidRPr="004B55E1">
              <w:t xml:space="preserve">Also outline how </w:t>
            </w:r>
            <w:r w:rsidR="005559C0" w:rsidRPr="004B55E1">
              <w:t xml:space="preserve">any projected </w:t>
            </w:r>
            <w:r w:rsidR="002051E8" w:rsidRPr="004B55E1">
              <w:t xml:space="preserve">savings </w:t>
            </w:r>
            <w:r w:rsidR="005559C0" w:rsidRPr="004B55E1">
              <w:t xml:space="preserve">will </w:t>
            </w:r>
            <w:proofErr w:type="spellStart"/>
            <w:r w:rsidR="005559C0" w:rsidRPr="004B55E1">
              <w:t>be</w:t>
            </w:r>
            <w:r w:rsidR="002051E8" w:rsidRPr="004B55E1">
              <w:t>passed</w:t>
            </w:r>
            <w:proofErr w:type="spellEnd"/>
            <w:r w:rsidR="002051E8" w:rsidRPr="004B55E1">
              <w:t xml:space="preserve"> on to policyholders.</w:t>
            </w:r>
          </w:p>
          <w:p w14:paraId="5058A27C" w14:textId="09F170E3" w:rsidR="004628F7" w:rsidRPr="00C148CB" w:rsidRDefault="004628F7" w:rsidP="00CB1B42">
            <w:pPr>
              <w:pStyle w:val="ListBullet2"/>
              <w:cnfStyle w:val="000000000000" w:firstRow="0" w:lastRow="0" w:firstColumn="0" w:lastColumn="0" w:oddVBand="0" w:evenVBand="0" w:oddHBand="0" w:evenHBand="0" w:firstRowFirstColumn="0" w:firstRowLastColumn="0" w:lastRowFirstColumn="0" w:lastRowLastColumn="0"/>
            </w:pPr>
            <w:r w:rsidRPr="004B55E1">
              <w:t xml:space="preserve">Dependents reforms </w:t>
            </w:r>
            <w:r w:rsidR="002936DD" w:rsidRPr="004B55E1">
              <w:t xml:space="preserve">(including </w:t>
            </w:r>
            <w:r w:rsidR="00C46688" w:rsidRPr="004B55E1">
              <w:t>how</w:t>
            </w:r>
            <w:r w:rsidR="002936DD" w:rsidRPr="004B55E1">
              <w:t xml:space="preserve"> the insurer is implementing the </w:t>
            </w:r>
            <w:proofErr w:type="spellStart"/>
            <w:proofErr w:type="gramStart"/>
            <w:r w:rsidR="002936DD" w:rsidRPr="004B55E1">
              <w:t>reform</w:t>
            </w:r>
            <w:r w:rsidR="00DE187E" w:rsidRPr="004B55E1">
              <w:t>,</w:t>
            </w:r>
            <w:r w:rsidR="002936DD" w:rsidRPr="004B55E1">
              <w:t>the</w:t>
            </w:r>
            <w:proofErr w:type="spellEnd"/>
            <w:proofErr w:type="gramEnd"/>
            <w:r w:rsidR="002936DD" w:rsidRPr="004B55E1">
              <w:t xml:space="preserve"> maximum age of dependants </w:t>
            </w:r>
            <w:r w:rsidR="00A15F14" w:rsidRPr="004B55E1">
              <w:t xml:space="preserve">and </w:t>
            </w:r>
            <w:r w:rsidR="00C46688" w:rsidRPr="004B55E1">
              <w:t>expected</w:t>
            </w:r>
            <w:r w:rsidR="00A15F14" w:rsidRPr="004B55E1">
              <w:t xml:space="preserve"> increase in participation</w:t>
            </w:r>
            <w:r w:rsidR="002936DD" w:rsidRPr="004B55E1">
              <w:t>)</w:t>
            </w:r>
            <w:r w:rsidR="00907D51" w:rsidRPr="004B55E1">
              <w:t>.</w:t>
            </w:r>
          </w:p>
        </w:tc>
      </w:tr>
      <w:tr w:rsidR="00E16F68" w:rsidRPr="00EE3C7F" w14:paraId="00032858" w14:textId="77777777" w:rsidTr="00A63757">
        <w:trPr>
          <w:trHeight w:val="1417"/>
        </w:trPr>
        <w:tc>
          <w:tcPr>
            <w:cnfStyle w:val="001000000000" w:firstRow="0" w:lastRow="0" w:firstColumn="1" w:lastColumn="0" w:oddVBand="0" w:evenVBand="0" w:oddHBand="0" w:evenHBand="0" w:firstRowFirstColumn="0" w:firstRowLastColumn="0" w:lastRowFirstColumn="0" w:lastRowLastColumn="0"/>
            <w:tcW w:w="556" w:type="pct"/>
          </w:tcPr>
          <w:p w14:paraId="6E3E31DC" w14:textId="6F991A15" w:rsidR="00E16F68" w:rsidRPr="00B153ED" w:rsidRDefault="00E16F68" w:rsidP="00B153ED">
            <w:pPr>
              <w:rPr>
                <w:highlight w:val="yellow"/>
              </w:rPr>
            </w:pPr>
            <w:r w:rsidRPr="00B153ED">
              <w:lastRenderedPageBreak/>
              <w:t>7</w:t>
            </w:r>
          </w:p>
        </w:tc>
        <w:tc>
          <w:tcPr>
            <w:tcW w:w="800" w:type="pct"/>
          </w:tcPr>
          <w:p w14:paraId="630BAF78" w14:textId="51CC41EC" w:rsidR="00E16F68" w:rsidRPr="004B55E1" w:rsidRDefault="00E72FDE" w:rsidP="004B55E1">
            <w:pPr>
              <w:cnfStyle w:val="000000000000" w:firstRow="0" w:lastRow="0" w:firstColumn="0" w:lastColumn="0" w:oddVBand="0" w:evenVBand="0" w:oddHBand="0" w:evenHBand="0" w:firstRowFirstColumn="0" w:firstRowLastColumn="0" w:lastRowFirstColumn="0" w:lastRowLastColumn="0"/>
            </w:pPr>
            <w:r w:rsidRPr="004B55E1">
              <w:t>Out-of-pocket costs</w:t>
            </w:r>
          </w:p>
        </w:tc>
        <w:tc>
          <w:tcPr>
            <w:tcW w:w="3644" w:type="pct"/>
          </w:tcPr>
          <w:p w14:paraId="0A2C4894" w14:textId="08B1934E" w:rsidR="00E16F68" w:rsidRPr="004B55E1" w:rsidRDefault="00E16F68" w:rsidP="004B55E1">
            <w:pPr>
              <w:cnfStyle w:val="000000000000" w:firstRow="0" w:lastRow="0" w:firstColumn="0" w:lastColumn="0" w:oddVBand="0" w:evenVBand="0" w:oddHBand="0" w:evenHBand="0" w:firstRowFirstColumn="0" w:firstRowLastColumn="0" w:lastRowFirstColumn="0" w:lastRowLastColumn="0"/>
            </w:pPr>
            <w:r w:rsidRPr="004B55E1">
              <w:t>Provide comment</w:t>
            </w:r>
            <w:r w:rsidR="00D076B7" w:rsidRPr="004B55E1">
              <w:t>ary</w:t>
            </w:r>
            <w:r w:rsidRPr="004B55E1">
              <w:t xml:space="preserve"> on excesses, </w:t>
            </w:r>
            <w:proofErr w:type="spellStart"/>
            <w:r w:rsidRPr="004B55E1">
              <w:t>copayments</w:t>
            </w:r>
            <w:proofErr w:type="spellEnd"/>
            <w:r w:rsidRPr="004B55E1">
              <w:t xml:space="preserve"> and</w:t>
            </w:r>
            <w:r w:rsidRPr="00BC3EBA">
              <w:t xml:space="preserve"> </w:t>
            </w:r>
            <w:r w:rsidRPr="004B55E1">
              <w:t xml:space="preserve">medical out-of-pockets </w:t>
            </w:r>
            <w:r w:rsidR="00BC3EBA" w:rsidRPr="004B55E1">
              <w:t xml:space="preserve">expected to be </w:t>
            </w:r>
            <w:r w:rsidRPr="004B55E1">
              <w:t>paid by policyholders</w:t>
            </w:r>
            <w:r w:rsidR="00E72FDE" w:rsidRPr="004B55E1">
              <w:t>.</w:t>
            </w:r>
          </w:p>
          <w:p w14:paraId="618EE44F" w14:textId="26565655" w:rsidR="00E72FDE" w:rsidRPr="004B55E1" w:rsidRDefault="00E72FDE" w:rsidP="004B55E1">
            <w:pPr>
              <w:cnfStyle w:val="000000000000" w:firstRow="0" w:lastRow="0" w:firstColumn="0" w:lastColumn="0" w:oddVBand="0" w:evenVBand="0" w:oddHBand="0" w:evenHBand="0" w:firstRowFirstColumn="0" w:firstRowLastColumn="0" w:lastRowFirstColumn="0" w:lastRowLastColumn="0"/>
            </w:pPr>
            <w:r w:rsidRPr="004B55E1">
              <w:t>Commentary should cover the insurer’s view on:</w:t>
            </w:r>
          </w:p>
          <w:p w14:paraId="6A5958CF" w14:textId="79E6D696" w:rsidR="00E72FDE" w:rsidRPr="004B55E1" w:rsidRDefault="00A13FE1" w:rsidP="004B55E1">
            <w:pPr>
              <w:pStyle w:val="ListBullet"/>
              <w:cnfStyle w:val="000000000000" w:firstRow="0" w:lastRow="0" w:firstColumn="0" w:lastColumn="0" w:oddVBand="0" w:evenVBand="0" w:oddHBand="0" w:evenHBand="0" w:firstRowFirstColumn="0" w:firstRowLastColumn="0" w:lastRowFirstColumn="0" w:lastRowLastColumn="0"/>
            </w:pPr>
            <w:r w:rsidRPr="004B55E1">
              <w:t>A</w:t>
            </w:r>
            <w:r w:rsidR="005726B7" w:rsidRPr="004B55E1">
              <w:t>rrangements</w:t>
            </w:r>
            <w:r w:rsidRPr="004B55E1">
              <w:t xml:space="preserve"> </w:t>
            </w:r>
            <w:r w:rsidR="00CC4B34" w:rsidRPr="004B55E1">
              <w:t>to limit medical out-of-pockets</w:t>
            </w:r>
            <w:r w:rsidR="005726B7" w:rsidRPr="004B55E1">
              <w:t xml:space="preserve">; </w:t>
            </w:r>
            <w:r w:rsidR="00E72FDE" w:rsidRPr="004B55E1">
              <w:t>and</w:t>
            </w:r>
          </w:p>
          <w:p w14:paraId="4791700A" w14:textId="391A0F53" w:rsidR="00E72FDE" w:rsidRPr="004B55E1" w:rsidRDefault="00E72FDE" w:rsidP="004B55E1">
            <w:pPr>
              <w:pStyle w:val="ListBullet"/>
              <w:cnfStyle w:val="000000000000" w:firstRow="0" w:lastRow="0" w:firstColumn="0" w:lastColumn="0" w:oddVBand="0" w:evenVBand="0" w:oddHBand="0" w:evenHBand="0" w:firstRowFirstColumn="0" w:firstRowLastColumn="0" w:lastRowFirstColumn="0" w:lastRowLastColumn="0"/>
            </w:pPr>
            <w:r w:rsidRPr="004B55E1">
              <w:t>The impact of co-payments and excesses on premiums.</w:t>
            </w:r>
          </w:p>
          <w:p w14:paraId="525773D2" w14:textId="3984D7EC" w:rsidR="00E16F68" w:rsidRPr="004B55E1" w:rsidRDefault="00E72FDE" w:rsidP="004B55E1">
            <w:pPr>
              <w:cnfStyle w:val="000000000000" w:firstRow="0" w:lastRow="0" w:firstColumn="0" w:lastColumn="0" w:oddVBand="0" w:evenVBand="0" w:oddHBand="0" w:evenHBand="0" w:firstRowFirstColumn="0" w:firstRowLastColumn="0" w:lastRowFirstColumn="0" w:lastRowLastColumn="0"/>
            </w:pPr>
            <w:r w:rsidRPr="004B55E1">
              <w:t xml:space="preserve">To the extent possible, quantify these contributions </w:t>
            </w:r>
            <w:r w:rsidR="00BC3EBA" w:rsidRPr="004B55E1">
              <w:t xml:space="preserve">by reference to recent data </w:t>
            </w:r>
            <w:r w:rsidRPr="004B55E1">
              <w:t xml:space="preserve">for a defined period (for example, </w:t>
            </w:r>
            <w:r w:rsidR="00BC3EBA" w:rsidRPr="004B55E1">
              <w:t>the</w:t>
            </w:r>
            <w:r w:rsidRPr="004B55E1">
              <w:t xml:space="preserve"> 12 months from 1 April 2021 to 31 March 2022).</w:t>
            </w:r>
          </w:p>
        </w:tc>
      </w:tr>
      <w:tr w:rsidR="004628F7" w:rsidRPr="00EE3C7F" w14:paraId="3DE8D4A8" w14:textId="77777777" w:rsidTr="00A63757">
        <w:trPr>
          <w:trHeight w:val="948"/>
        </w:trPr>
        <w:tc>
          <w:tcPr>
            <w:cnfStyle w:val="001000000000" w:firstRow="0" w:lastRow="0" w:firstColumn="1" w:lastColumn="0" w:oddVBand="0" w:evenVBand="0" w:oddHBand="0" w:evenHBand="0" w:firstRowFirstColumn="0" w:firstRowLastColumn="0" w:lastRowFirstColumn="0" w:lastRowLastColumn="0"/>
            <w:tcW w:w="556" w:type="pct"/>
          </w:tcPr>
          <w:p w14:paraId="0455702C" w14:textId="6373D22D" w:rsidR="004628F7" w:rsidRPr="00B153ED" w:rsidDel="004B07D2" w:rsidRDefault="00E16F68" w:rsidP="00B153ED">
            <w:r w:rsidRPr="00B153ED">
              <w:t>8</w:t>
            </w:r>
          </w:p>
        </w:tc>
        <w:tc>
          <w:tcPr>
            <w:tcW w:w="800" w:type="pct"/>
          </w:tcPr>
          <w:p w14:paraId="5CBD0A72" w14:textId="77777777" w:rsidR="004628F7" w:rsidRPr="004B55E1" w:rsidDel="00E04F31" w:rsidRDefault="004628F7" w:rsidP="004B55E1">
            <w:pPr>
              <w:cnfStyle w:val="000000000000" w:firstRow="0" w:lastRow="0" w:firstColumn="0" w:lastColumn="0" w:oddVBand="0" w:evenVBand="0" w:oddHBand="0" w:evenHBand="0" w:firstRowFirstColumn="0" w:firstRowLastColumn="0" w:lastRowFirstColumn="0" w:lastRowLastColumn="0"/>
            </w:pPr>
            <w:r w:rsidRPr="004B55E1">
              <w:t>Pricing</w:t>
            </w:r>
          </w:p>
        </w:tc>
        <w:tc>
          <w:tcPr>
            <w:tcW w:w="3644" w:type="pct"/>
          </w:tcPr>
          <w:p w14:paraId="65EB2447" w14:textId="2CCD8078" w:rsidR="008A52A6" w:rsidRPr="004B55E1" w:rsidRDefault="004628F7" w:rsidP="004B55E1">
            <w:pPr>
              <w:cnfStyle w:val="000000000000" w:firstRow="0" w:lastRow="0" w:firstColumn="0" w:lastColumn="0" w:oddVBand="0" w:evenVBand="0" w:oddHBand="0" w:evenHBand="0" w:firstRowFirstColumn="0" w:firstRowLastColumn="0" w:lastRowFirstColumn="0" w:lastRowLastColumn="0"/>
            </w:pPr>
            <w:r w:rsidRPr="004B55E1">
              <w:t>Outline any other drivers that have contributed to the prices applied for. This may include</w:t>
            </w:r>
            <w:r w:rsidR="00625C01" w:rsidRPr="004B55E1">
              <w:t xml:space="preserve"> the impact of cost drivers such as hospital and medical specialist contract indexation, out of hospital care initiatives</w:t>
            </w:r>
            <w:r w:rsidRPr="004B55E1">
              <w:t xml:space="preserve">, </w:t>
            </w:r>
            <w:r w:rsidR="00625C01" w:rsidRPr="004B55E1">
              <w:t>or other programs aimed at reducing costs,</w:t>
            </w:r>
            <w:r w:rsidR="00377587" w:rsidRPr="004B55E1">
              <w:t xml:space="preserve"> other </w:t>
            </w:r>
            <w:proofErr w:type="gramStart"/>
            <w:r w:rsidRPr="004B55E1">
              <w:t>strategies</w:t>
            </w:r>
            <w:proofErr w:type="gramEnd"/>
            <w:r w:rsidRPr="004B55E1">
              <w:t xml:space="preserve"> or material risks. </w:t>
            </w:r>
            <w:r w:rsidR="00223586" w:rsidRPr="004B55E1">
              <w:t>Specifically, insurers are asked to comment on how COVID-19 affects the prices applied for.</w:t>
            </w:r>
          </w:p>
          <w:p w14:paraId="5B4695AC" w14:textId="085699B7" w:rsidR="001E757A" w:rsidRPr="004628F7" w:rsidRDefault="000153D4" w:rsidP="004B55E1">
            <w:pPr>
              <w:cnfStyle w:val="000000000000" w:firstRow="0" w:lastRow="0" w:firstColumn="0" w:lastColumn="0" w:oddVBand="0" w:evenVBand="0" w:oddHBand="0" w:evenHBand="0" w:firstRowFirstColumn="0" w:firstRowLastColumn="0" w:lastRowFirstColumn="0" w:lastRowLastColumn="0"/>
            </w:pPr>
            <w:r w:rsidRPr="004B55E1">
              <w:t>Outline the approach to factoring Risk Equalisation (RE) payments into premium pricing, by product tier. This may include detailing what percentage of the price is attributable to RE payments and providing commentary on impacts on each product tier.</w:t>
            </w:r>
          </w:p>
        </w:tc>
      </w:tr>
      <w:tr w:rsidR="004628F7" w:rsidRPr="00EE3C7F" w14:paraId="0750BF44" w14:textId="77777777" w:rsidTr="00A63757">
        <w:trPr>
          <w:trHeight w:val="833"/>
        </w:trPr>
        <w:tc>
          <w:tcPr>
            <w:cnfStyle w:val="001000000000" w:firstRow="0" w:lastRow="0" w:firstColumn="1" w:lastColumn="0" w:oddVBand="0" w:evenVBand="0" w:oddHBand="0" w:evenHBand="0" w:firstRowFirstColumn="0" w:firstRowLastColumn="0" w:lastRowFirstColumn="0" w:lastRowLastColumn="0"/>
            <w:tcW w:w="556" w:type="pct"/>
          </w:tcPr>
          <w:p w14:paraId="4A435644" w14:textId="77777777" w:rsidR="004628F7" w:rsidRPr="00B153ED" w:rsidDel="009B68E0" w:rsidRDefault="00625C01" w:rsidP="00B153ED">
            <w:r w:rsidRPr="00B153ED">
              <w:t>9</w:t>
            </w:r>
          </w:p>
        </w:tc>
        <w:tc>
          <w:tcPr>
            <w:tcW w:w="800" w:type="pct"/>
          </w:tcPr>
          <w:p w14:paraId="145149BE" w14:textId="77777777" w:rsidR="004628F7" w:rsidRPr="004B55E1" w:rsidRDefault="004628F7" w:rsidP="004B55E1">
            <w:pPr>
              <w:cnfStyle w:val="000000000000" w:firstRow="0" w:lastRow="0" w:firstColumn="0" w:lastColumn="0" w:oddVBand="0" w:evenVBand="0" w:oddHBand="0" w:evenHBand="0" w:firstRowFirstColumn="0" w:firstRowLastColumn="0" w:lastRowFirstColumn="0" w:lastRowLastColumn="0"/>
            </w:pPr>
            <w:r w:rsidRPr="004B55E1">
              <w:t>Consistency with Act and Rules</w:t>
            </w:r>
          </w:p>
        </w:tc>
        <w:tc>
          <w:tcPr>
            <w:tcW w:w="3644" w:type="pct"/>
          </w:tcPr>
          <w:p w14:paraId="0D86CC1A" w14:textId="77777777" w:rsidR="004628F7" w:rsidRDefault="004628F7" w:rsidP="004F17E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4B55E1">
              <w:t xml:space="preserve">Provide a declaration that the premium changes are consistent with the </w:t>
            </w:r>
            <w:r w:rsidRPr="004B55E1">
              <w:rPr>
                <w:rStyle w:val="Emphasis"/>
              </w:rPr>
              <w:t>Private Health Insurance Act 2007</w:t>
            </w:r>
            <w:r w:rsidRPr="004B55E1">
              <w:t xml:space="preserve"> and </w:t>
            </w:r>
            <w:r w:rsidRPr="004B55E1">
              <w:rPr>
                <w:rStyle w:val="Emphasis"/>
              </w:rPr>
              <w:t>Private Health Insurance (Prudential Supervision) Act 2015</w:t>
            </w:r>
            <w:r w:rsidRPr="004B55E1">
              <w:t>, and the associated Rules, as at the date submitted.</w:t>
            </w:r>
          </w:p>
        </w:tc>
      </w:tr>
      <w:tr w:rsidR="004628F7" w:rsidRPr="00EE3C7F" w14:paraId="3FDFDD26" w14:textId="77777777" w:rsidTr="00A63757">
        <w:tc>
          <w:tcPr>
            <w:cnfStyle w:val="001000000000" w:firstRow="0" w:lastRow="0" w:firstColumn="1" w:lastColumn="0" w:oddVBand="0" w:evenVBand="0" w:oddHBand="0" w:evenHBand="0" w:firstRowFirstColumn="0" w:firstRowLastColumn="0" w:lastRowFirstColumn="0" w:lastRowLastColumn="0"/>
            <w:tcW w:w="556" w:type="pct"/>
          </w:tcPr>
          <w:p w14:paraId="3FC6418F" w14:textId="77777777" w:rsidR="004628F7" w:rsidRPr="00B153ED" w:rsidRDefault="004628F7" w:rsidP="00B153ED">
            <w:r w:rsidRPr="00B153ED">
              <w:lastRenderedPageBreak/>
              <w:t>1</w:t>
            </w:r>
            <w:r w:rsidR="00625C01" w:rsidRPr="00B153ED">
              <w:t>0</w:t>
            </w:r>
          </w:p>
        </w:tc>
        <w:tc>
          <w:tcPr>
            <w:tcW w:w="800" w:type="pct"/>
          </w:tcPr>
          <w:p w14:paraId="33CDEB15" w14:textId="77777777" w:rsidR="004628F7" w:rsidRPr="004B55E1" w:rsidRDefault="004628F7" w:rsidP="004B55E1">
            <w:pPr>
              <w:cnfStyle w:val="000000000000" w:firstRow="0" w:lastRow="0" w:firstColumn="0" w:lastColumn="0" w:oddVBand="0" w:evenVBand="0" w:oddHBand="0" w:evenHBand="0" w:firstRowFirstColumn="0" w:firstRowLastColumn="0" w:lastRowFirstColumn="0" w:lastRowLastColumn="0"/>
            </w:pPr>
            <w:r w:rsidRPr="004B55E1">
              <w:t xml:space="preserve">Actuarial opinion </w:t>
            </w:r>
          </w:p>
        </w:tc>
        <w:tc>
          <w:tcPr>
            <w:tcW w:w="3644" w:type="pct"/>
          </w:tcPr>
          <w:p w14:paraId="7DC06030" w14:textId="77777777" w:rsidR="004628F7" w:rsidRPr="004B55E1" w:rsidRDefault="004628F7" w:rsidP="004B55E1">
            <w:pPr>
              <w:cnfStyle w:val="000000000000" w:firstRow="0" w:lastRow="0" w:firstColumn="0" w:lastColumn="0" w:oddVBand="0" w:evenVBand="0" w:oddHBand="0" w:evenHBand="0" w:firstRowFirstColumn="0" w:firstRowLastColumn="0" w:lastRowFirstColumn="0" w:lastRowLastColumn="0"/>
            </w:pPr>
            <w:r w:rsidRPr="004B55E1">
              <w:t xml:space="preserve">Provide an opinion (and commentary where relevant) from the Appointed Actuary regarding whether the assumptions and forecasts are reasonable. The Appointed Actuary should specifically comment on assumptions on future drawing rate growth given the uncertainties of COVID-19. </w:t>
            </w:r>
          </w:p>
          <w:p w14:paraId="5378D4A7" w14:textId="77777777" w:rsidR="004628F7" w:rsidRPr="004B55E1" w:rsidRDefault="004628F7" w:rsidP="004B55E1">
            <w:pPr>
              <w:cnfStyle w:val="000000000000" w:firstRow="0" w:lastRow="0" w:firstColumn="0" w:lastColumn="0" w:oddVBand="0" w:evenVBand="0" w:oddHBand="0" w:evenHBand="0" w:firstRowFirstColumn="0" w:firstRowLastColumn="0" w:lastRowFirstColumn="0" w:lastRowLastColumn="0"/>
            </w:pPr>
            <w:r w:rsidRPr="004B55E1">
              <w:t>The Appointed Actuary may also comment on any matter he/she deems relevant to the premium application process.</w:t>
            </w:r>
          </w:p>
          <w:p w14:paraId="021D7A0C" w14:textId="77777777" w:rsidR="004628F7" w:rsidRPr="00EE3C7F" w:rsidRDefault="004628F7" w:rsidP="004B55E1">
            <w:pPr>
              <w:cnfStyle w:val="000000000000" w:firstRow="0" w:lastRow="0" w:firstColumn="0" w:lastColumn="0" w:oddVBand="0" w:evenVBand="0" w:oddHBand="0" w:evenHBand="0" w:firstRowFirstColumn="0" w:firstRowLastColumn="0" w:lastRowFirstColumn="0" w:lastRowLastColumn="0"/>
            </w:pPr>
            <w:r w:rsidRPr="004B55E1">
              <w:t>Provide a comment on the reasonableness of the conversion factor values provided by the insurer in Template C</w:t>
            </w:r>
            <w:r w:rsidR="00EC5F18" w:rsidRPr="004B55E1">
              <w:t xml:space="preserve"> and the assumptions used to estimate the impact of the </w:t>
            </w:r>
            <w:proofErr w:type="gramStart"/>
            <w:r w:rsidR="00EC5F18" w:rsidRPr="004B55E1">
              <w:t>dependants</w:t>
            </w:r>
            <w:proofErr w:type="gramEnd"/>
            <w:r w:rsidR="00EC5F18" w:rsidRPr="004B55E1">
              <w:t xml:space="preserve"> reform in Template D</w:t>
            </w:r>
            <w:r w:rsidRPr="004B55E1">
              <w:t xml:space="preserve">. </w:t>
            </w:r>
          </w:p>
        </w:tc>
      </w:tr>
      <w:tr w:rsidR="004628F7" w:rsidRPr="00EE3C7F" w14:paraId="4791EF69" w14:textId="77777777" w:rsidTr="00A63757">
        <w:tc>
          <w:tcPr>
            <w:cnfStyle w:val="001000000000" w:firstRow="0" w:lastRow="0" w:firstColumn="1" w:lastColumn="0" w:oddVBand="0" w:evenVBand="0" w:oddHBand="0" w:evenHBand="0" w:firstRowFirstColumn="0" w:firstRowLastColumn="0" w:lastRowFirstColumn="0" w:lastRowLastColumn="0"/>
            <w:tcW w:w="556" w:type="pct"/>
          </w:tcPr>
          <w:p w14:paraId="0A33DCE4" w14:textId="77777777" w:rsidR="004628F7" w:rsidRPr="00B153ED" w:rsidRDefault="004628F7" w:rsidP="00B153ED">
            <w:r w:rsidRPr="00B153ED">
              <w:t>1</w:t>
            </w:r>
            <w:r w:rsidR="00625C01" w:rsidRPr="00B153ED">
              <w:t>1</w:t>
            </w:r>
          </w:p>
        </w:tc>
        <w:tc>
          <w:tcPr>
            <w:tcW w:w="800" w:type="pct"/>
          </w:tcPr>
          <w:p w14:paraId="02ADD865" w14:textId="77777777" w:rsidR="004628F7" w:rsidRPr="004B55E1" w:rsidRDefault="004628F7" w:rsidP="004B55E1">
            <w:pPr>
              <w:cnfStyle w:val="000000000000" w:firstRow="0" w:lastRow="0" w:firstColumn="0" w:lastColumn="0" w:oddVBand="0" w:evenVBand="0" w:oddHBand="0" w:evenHBand="0" w:firstRowFirstColumn="0" w:firstRowLastColumn="0" w:lastRowFirstColumn="0" w:lastRowLastColumn="0"/>
            </w:pPr>
            <w:r w:rsidRPr="004B55E1">
              <w:t>Contact person</w:t>
            </w:r>
          </w:p>
        </w:tc>
        <w:tc>
          <w:tcPr>
            <w:tcW w:w="3644" w:type="pct"/>
          </w:tcPr>
          <w:p w14:paraId="62534BB1" w14:textId="77777777" w:rsidR="004628F7" w:rsidRPr="004B55E1" w:rsidRDefault="004628F7" w:rsidP="004B55E1">
            <w:pPr>
              <w:cnfStyle w:val="000000000000" w:firstRow="0" w:lastRow="0" w:firstColumn="0" w:lastColumn="0" w:oddVBand="0" w:evenVBand="0" w:oddHBand="0" w:evenHBand="0" w:firstRowFirstColumn="0" w:firstRowLastColumn="0" w:lastRowFirstColumn="0" w:lastRowLastColumn="0"/>
            </w:pPr>
            <w:r w:rsidRPr="004B55E1">
              <w:t>Provide the contact details of a primary contact person, and an alternative contact person. This should include:</w:t>
            </w:r>
          </w:p>
          <w:p w14:paraId="308BBD90" w14:textId="77777777" w:rsidR="004628F7" w:rsidRPr="00792E4A" w:rsidRDefault="004628F7" w:rsidP="00792E4A">
            <w:pPr>
              <w:pStyle w:val="ListBullet"/>
              <w:cnfStyle w:val="000000000000" w:firstRow="0" w:lastRow="0" w:firstColumn="0" w:lastColumn="0" w:oddVBand="0" w:evenVBand="0" w:oddHBand="0" w:evenHBand="0" w:firstRowFirstColumn="0" w:firstRowLastColumn="0" w:lastRowFirstColumn="0" w:lastRowLastColumn="0"/>
            </w:pPr>
            <w:r w:rsidRPr="00792E4A">
              <w:t>name</w:t>
            </w:r>
          </w:p>
          <w:p w14:paraId="7BF41C3E" w14:textId="77777777" w:rsidR="004628F7" w:rsidRPr="00792E4A" w:rsidRDefault="004628F7" w:rsidP="00792E4A">
            <w:pPr>
              <w:pStyle w:val="ListBullet"/>
              <w:cnfStyle w:val="000000000000" w:firstRow="0" w:lastRow="0" w:firstColumn="0" w:lastColumn="0" w:oddVBand="0" w:evenVBand="0" w:oddHBand="0" w:evenHBand="0" w:firstRowFirstColumn="0" w:firstRowLastColumn="0" w:lastRowFirstColumn="0" w:lastRowLastColumn="0"/>
            </w:pPr>
            <w:r w:rsidRPr="00792E4A">
              <w:t>position title</w:t>
            </w:r>
          </w:p>
          <w:p w14:paraId="5EEC7C0B" w14:textId="77777777" w:rsidR="004628F7" w:rsidRPr="00792E4A" w:rsidRDefault="004628F7" w:rsidP="00792E4A">
            <w:pPr>
              <w:pStyle w:val="ListBullet"/>
              <w:cnfStyle w:val="000000000000" w:firstRow="0" w:lastRow="0" w:firstColumn="0" w:lastColumn="0" w:oddVBand="0" w:evenVBand="0" w:oddHBand="0" w:evenHBand="0" w:firstRowFirstColumn="0" w:firstRowLastColumn="0" w:lastRowFirstColumn="0" w:lastRowLastColumn="0"/>
            </w:pPr>
            <w:r w:rsidRPr="00792E4A">
              <w:t>landline telephone number</w:t>
            </w:r>
          </w:p>
          <w:p w14:paraId="315FA636" w14:textId="77777777" w:rsidR="004628F7" w:rsidRPr="00792E4A" w:rsidRDefault="004628F7" w:rsidP="00792E4A">
            <w:pPr>
              <w:pStyle w:val="ListBullet"/>
              <w:cnfStyle w:val="000000000000" w:firstRow="0" w:lastRow="0" w:firstColumn="0" w:lastColumn="0" w:oddVBand="0" w:evenVBand="0" w:oddHBand="0" w:evenHBand="0" w:firstRowFirstColumn="0" w:firstRowLastColumn="0" w:lastRowFirstColumn="0" w:lastRowLastColumn="0"/>
            </w:pPr>
            <w:r w:rsidRPr="00792E4A">
              <w:t>mobile phone number</w:t>
            </w:r>
          </w:p>
          <w:p w14:paraId="3D7834E4" w14:textId="77777777" w:rsidR="004628F7" w:rsidRPr="004628F7" w:rsidRDefault="004628F7" w:rsidP="00792E4A">
            <w:pPr>
              <w:pStyle w:val="ListBullet"/>
              <w:cnfStyle w:val="000000000000" w:firstRow="0" w:lastRow="0" w:firstColumn="0" w:lastColumn="0" w:oddVBand="0" w:evenVBand="0" w:oddHBand="0" w:evenHBand="0" w:firstRowFirstColumn="0" w:firstRowLastColumn="0" w:lastRowFirstColumn="0" w:lastRowLastColumn="0"/>
            </w:pPr>
            <w:r w:rsidRPr="00792E4A">
              <w:t>E-mail address.</w:t>
            </w:r>
          </w:p>
        </w:tc>
      </w:tr>
    </w:tbl>
    <w:p w14:paraId="7380B44B" w14:textId="77777777" w:rsidR="008419DA" w:rsidRPr="00B153ED" w:rsidRDefault="00A14959" w:rsidP="00B173D7">
      <w:pPr>
        <w:pStyle w:val="Heading1"/>
        <w:pageBreakBefore/>
      </w:pPr>
      <w:bookmarkStart w:id="0" w:name="_Template_A_(Products)"/>
      <w:bookmarkEnd w:id="0"/>
      <w:r w:rsidRPr="00B153ED">
        <w:lastRenderedPageBreak/>
        <w:t xml:space="preserve">Template A </w:t>
      </w:r>
      <w:r w:rsidR="00BA60E4" w:rsidRPr="00B153ED">
        <w:t>(</w:t>
      </w:r>
      <w:r w:rsidR="0008627E" w:rsidRPr="00B153ED">
        <w:t>Products</w:t>
      </w:r>
      <w:r w:rsidR="00495041" w:rsidRPr="00B153ED">
        <w:t>)</w:t>
      </w:r>
    </w:p>
    <w:p w14:paraId="2B919131" w14:textId="77777777" w:rsidR="0055395D" w:rsidRDefault="0025011B" w:rsidP="00B153ED">
      <w:pPr>
        <w:pStyle w:val="ListBullet"/>
      </w:pPr>
      <w:r>
        <w:t>All p</w:t>
      </w:r>
      <w:r w:rsidR="005B4FB0">
        <w:t xml:space="preserve">roducts </w:t>
      </w:r>
      <w:r w:rsidR="00DD0CFB">
        <w:t>should be reported</w:t>
      </w:r>
      <w:r w:rsidR="00DD0CFB" w:rsidRPr="00EE3C7F">
        <w:t xml:space="preserve"> regardless of whether a ch</w:t>
      </w:r>
      <w:r w:rsidR="00D3479F">
        <w:t xml:space="preserve">ange in premium is </w:t>
      </w:r>
      <w:r w:rsidR="0055395D">
        <w:t>sought</w:t>
      </w:r>
      <w:r w:rsidR="00DD0CFB">
        <w:t xml:space="preserve">. </w:t>
      </w:r>
    </w:p>
    <w:p w14:paraId="0A7BC6AB" w14:textId="04BDC66B" w:rsidR="005B4FB0" w:rsidRDefault="0055395D" w:rsidP="00B153ED">
      <w:pPr>
        <w:pStyle w:val="ListBullet"/>
      </w:pPr>
      <w:r w:rsidRPr="00CF0050">
        <w:t>Template A</w:t>
      </w:r>
      <w:r>
        <w:t xml:space="preserve"> should be completed for all products currently </w:t>
      </w:r>
      <w:proofErr w:type="gramStart"/>
      <w:r>
        <w:t>available</w:t>
      </w:r>
      <w:proofErr w:type="gramEnd"/>
      <w:r>
        <w:t xml:space="preserve"> and all new products expected to commence on</w:t>
      </w:r>
      <w:r w:rsidR="00FD1832">
        <w:t xml:space="preserve"> or prior to</w:t>
      </w:r>
      <w:r>
        <w:t xml:space="preserve"> </w:t>
      </w:r>
      <w:r w:rsidRPr="00B153ED">
        <w:rPr>
          <w:rStyle w:val="Strong"/>
        </w:rPr>
        <w:t>1 April 202</w:t>
      </w:r>
      <w:r w:rsidR="008E3DBE" w:rsidRPr="00B153ED">
        <w:rPr>
          <w:rStyle w:val="Strong"/>
        </w:rPr>
        <w:t>3</w:t>
      </w:r>
      <w:r w:rsidRPr="00B153ED">
        <w:rPr>
          <w:rStyle w:val="Strong"/>
        </w:rPr>
        <w:t>.</w:t>
      </w:r>
    </w:p>
    <w:p w14:paraId="498134A2" w14:textId="441B9EF6" w:rsidR="00861461" w:rsidRPr="00026102" w:rsidRDefault="00262A2F" w:rsidP="00B153ED">
      <w:pPr>
        <w:pStyle w:val="ListBullet"/>
      </w:pPr>
      <w:r w:rsidRPr="00EE3C7F">
        <w:t xml:space="preserve">All products </w:t>
      </w:r>
      <w:r w:rsidR="0002640D">
        <w:t>should</w:t>
      </w:r>
      <w:r w:rsidR="002C7B10" w:rsidRPr="00EE3C7F">
        <w:t xml:space="preserve"> r</w:t>
      </w:r>
      <w:r w:rsidRPr="00EE3C7F">
        <w:t>eflect</w:t>
      </w:r>
      <w:r w:rsidR="005B4FB0">
        <w:t xml:space="preserve"> the name, excesses, </w:t>
      </w:r>
      <w:r w:rsidR="002C7B10" w:rsidRPr="00EE3C7F">
        <w:t xml:space="preserve">and premiums as they will appear in the PHIS and Fund Rules from </w:t>
      </w:r>
      <w:r w:rsidR="002C7B10" w:rsidRPr="00B153ED">
        <w:rPr>
          <w:rStyle w:val="Strong"/>
        </w:rPr>
        <w:t xml:space="preserve">1 April </w:t>
      </w:r>
      <w:r w:rsidR="00457EAD" w:rsidRPr="00B153ED">
        <w:rPr>
          <w:rStyle w:val="Strong"/>
        </w:rPr>
        <w:t>202</w:t>
      </w:r>
      <w:r w:rsidR="008E3DBE" w:rsidRPr="00B153ED">
        <w:rPr>
          <w:rStyle w:val="Strong"/>
        </w:rPr>
        <w:t>3</w:t>
      </w:r>
      <w:r w:rsidR="002C7B10" w:rsidRPr="00B153ED">
        <w:rPr>
          <w:rStyle w:val="Strong"/>
        </w:rPr>
        <w:t>.</w:t>
      </w:r>
    </w:p>
    <w:p w14:paraId="7CCD12A0" w14:textId="77777777" w:rsidR="001C0177" w:rsidRPr="00EE3C7F" w:rsidRDefault="001C0177" w:rsidP="00B153ED">
      <w:pPr>
        <w:pStyle w:val="ListBullet"/>
      </w:pPr>
      <w:r w:rsidRPr="00EE3C7F">
        <w:t xml:space="preserve">Ambulance Only policies </w:t>
      </w:r>
      <w:r w:rsidR="0059205E" w:rsidRPr="00EE3C7F">
        <w:t xml:space="preserve">should be </w:t>
      </w:r>
      <w:r w:rsidR="00681FBA" w:rsidRPr="00EE3C7F">
        <w:t xml:space="preserve">included </w:t>
      </w:r>
      <w:r w:rsidR="001F40FD" w:rsidRPr="00EE3C7F">
        <w:t>where they are</w:t>
      </w:r>
      <w:r w:rsidR="00C37A18" w:rsidRPr="00EE3C7F">
        <w:t xml:space="preserve"> complying health insuran</w:t>
      </w:r>
      <w:r w:rsidR="00681FBA" w:rsidRPr="00EE3C7F">
        <w:t xml:space="preserve">ce </w:t>
      </w:r>
      <w:proofErr w:type="gramStart"/>
      <w:r w:rsidR="00681FBA" w:rsidRPr="00EE3C7F">
        <w:t>products, and</w:t>
      </w:r>
      <w:proofErr w:type="gramEnd"/>
      <w:r w:rsidR="00681FBA" w:rsidRPr="00EE3C7F">
        <w:t xml:space="preserve"> included in HRF601</w:t>
      </w:r>
      <w:r w:rsidR="00C37A18" w:rsidRPr="00EE3C7F">
        <w:t>.</w:t>
      </w:r>
    </w:p>
    <w:p w14:paraId="625073EB" w14:textId="77777777" w:rsidR="00E649D4" w:rsidRPr="00EE3C7F" w:rsidRDefault="0067575C" w:rsidP="00B153ED">
      <w:pPr>
        <w:pStyle w:val="ListBullet"/>
      </w:pPr>
      <w:r w:rsidRPr="00EE3C7F">
        <w:t>I</w:t>
      </w:r>
      <w:r w:rsidR="00E649D4" w:rsidRPr="00EE3C7F">
        <w:t>nformation shou</w:t>
      </w:r>
      <w:r w:rsidR="009B482A" w:rsidRPr="00EE3C7F">
        <w:t xml:space="preserve">ld be provided for all products, </w:t>
      </w:r>
      <w:r w:rsidR="00E649D4" w:rsidRPr="00EE3C7F">
        <w:t>even if some products have the same price (</w:t>
      </w:r>
      <w:proofErr w:type="gramStart"/>
      <w:r w:rsidR="00E649D4" w:rsidRPr="00EE3C7F">
        <w:t>i.e.</w:t>
      </w:r>
      <w:proofErr w:type="gramEnd"/>
      <w:r w:rsidR="00E649D4" w:rsidRPr="00EE3C7F">
        <w:t xml:space="preserve"> information </w:t>
      </w:r>
      <w:r w:rsidR="0002640D">
        <w:t>should</w:t>
      </w:r>
      <w:r w:rsidR="00E649D4" w:rsidRPr="00EE3C7F">
        <w:t xml:space="preserve"> be provided for </w:t>
      </w:r>
      <w:r w:rsidR="00965166" w:rsidRPr="00EE3C7F">
        <w:t>couple</w:t>
      </w:r>
      <w:r w:rsidR="003A7D6D" w:rsidRPr="00EE3C7F">
        <w:t xml:space="preserve"> </w:t>
      </w:r>
      <w:r w:rsidR="00E649D4" w:rsidRPr="00EE3C7F">
        <w:t xml:space="preserve">policies even if they are priced the same as </w:t>
      </w:r>
      <w:r w:rsidR="00965166" w:rsidRPr="00EE3C7F">
        <w:t>family</w:t>
      </w:r>
      <w:r w:rsidR="003A7D6D" w:rsidRPr="00EE3C7F">
        <w:t xml:space="preserve"> </w:t>
      </w:r>
      <w:r w:rsidR="00E649D4" w:rsidRPr="00EE3C7F">
        <w:t>polic</w:t>
      </w:r>
      <w:r w:rsidR="005B4FB0">
        <w:t>ies</w:t>
      </w:r>
      <w:r w:rsidR="00B448EB">
        <w:t>)</w:t>
      </w:r>
      <w:r w:rsidR="003A7D6D" w:rsidRPr="00EE3C7F">
        <w:t>.</w:t>
      </w:r>
    </w:p>
    <w:p w14:paraId="437BD883" w14:textId="77777777" w:rsidR="0067575C" w:rsidRPr="00EE3C7F" w:rsidRDefault="0067575C" w:rsidP="00B153ED">
      <w:pPr>
        <w:pStyle w:val="ListBullet"/>
      </w:pPr>
      <w:r w:rsidRPr="00EE3C7F">
        <w:t xml:space="preserve">Do not include </w:t>
      </w:r>
      <w:r w:rsidR="00E649D4" w:rsidRPr="00EE3C7F">
        <w:t>Oversea</w:t>
      </w:r>
      <w:r w:rsidR="00D3479F">
        <w:t xml:space="preserve">s Visitors Health Cover </w:t>
      </w:r>
      <w:r w:rsidR="001205EA" w:rsidRPr="00EE3C7F">
        <w:t xml:space="preserve">or </w:t>
      </w:r>
      <w:r w:rsidRPr="00EE3C7F">
        <w:t>Overseas Student Health Cover products</w:t>
      </w:r>
      <w:r w:rsidR="003A7D6D" w:rsidRPr="00EE3C7F">
        <w:t>.</w:t>
      </w:r>
    </w:p>
    <w:p w14:paraId="012DE0C7" w14:textId="77777777" w:rsidR="00E649D4" w:rsidRPr="00EE3C7F" w:rsidRDefault="0067575C" w:rsidP="00B153ED">
      <w:pPr>
        <w:pStyle w:val="ListBullet"/>
      </w:pPr>
      <w:r w:rsidRPr="00EE3C7F">
        <w:t xml:space="preserve">Do not </w:t>
      </w:r>
      <w:r w:rsidR="00E649D4" w:rsidRPr="00EE3C7F">
        <w:t>creat</w:t>
      </w:r>
      <w:r w:rsidRPr="00EE3C7F">
        <w:t>e</w:t>
      </w:r>
      <w:r w:rsidR="00681FBA" w:rsidRPr="00EE3C7F">
        <w:t xml:space="preserve"> new categories </w:t>
      </w:r>
      <w:r w:rsidR="00E649D4" w:rsidRPr="00EE3C7F">
        <w:t>as a substitute for drop down list</w:t>
      </w:r>
      <w:r w:rsidR="00C37A18" w:rsidRPr="00EE3C7F">
        <w:t xml:space="preserve"> options</w:t>
      </w:r>
      <w:r w:rsidR="00681FBA" w:rsidRPr="00EE3C7F">
        <w:t xml:space="preserve"> – select only options </w:t>
      </w:r>
      <w:r w:rsidR="00C37A18" w:rsidRPr="00EE3C7F">
        <w:t>in</w:t>
      </w:r>
      <w:r w:rsidR="00E649D4" w:rsidRPr="00EE3C7F">
        <w:t xml:space="preserve"> the drop</w:t>
      </w:r>
      <w:r w:rsidRPr="00EE3C7F">
        <w:t>-</w:t>
      </w:r>
      <w:r w:rsidR="00E649D4" w:rsidRPr="00EE3C7F">
        <w:t xml:space="preserve">down </w:t>
      </w:r>
      <w:r w:rsidR="004F36A9" w:rsidRPr="00EE3C7F">
        <w:t>menu</w:t>
      </w:r>
      <w:r w:rsidR="003A7D6D" w:rsidRPr="00EE3C7F">
        <w:t>.</w:t>
      </w:r>
    </w:p>
    <w:p w14:paraId="5814D4D5" w14:textId="1D9D60AD" w:rsidR="005C1D47" w:rsidRPr="005C1D47" w:rsidRDefault="00753E0F" w:rsidP="00B153ED">
      <w:pPr>
        <w:pStyle w:val="ListBullet"/>
      </w:pPr>
      <w:r w:rsidRPr="00EE3C7F">
        <w:t xml:space="preserve">Template A </w:t>
      </w:r>
      <w:r w:rsidR="00B448EB">
        <w:t>“</w:t>
      </w:r>
      <w:r w:rsidR="005B4FB0">
        <w:t>number of policies</w:t>
      </w:r>
      <w:r w:rsidR="00B448EB">
        <w:t>”</w:t>
      </w:r>
      <w:r w:rsidR="005B4FB0">
        <w:t xml:space="preserve"> and </w:t>
      </w:r>
      <w:r w:rsidR="00B448EB">
        <w:t>“</w:t>
      </w:r>
      <w:r w:rsidR="005B4FB0">
        <w:t>insured people</w:t>
      </w:r>
      <w:r w:rsidR="00B448EB">
        <w:t>”</w:t>
      </w:r>
      <w:r w:rsidR="005B4FB0">
        <w:t xml:space="preserve"> </w:t>
      </w:r>
      <w:r w:rsidR="0002640D">
        <w:t>should</w:t>
      </w:r>
      <w:r w:rsidR="005B4FB0">
        <w:t xml:space="preserve"> be consistent </w:t>
      </w:r>
      <w:r w:rsidRPr="00EE3C7F">
        <w:t xml:space="preserve">with HRF601 for the </w:t>
      </w:r>
      <w:r w:rsidRPr="00B153ED">
        <w:rPr>
          <w:rStyle w:val="Strong"/>
        </w:rPr>
        <w:t xml:space="preserve">September </w:t>
      </w:r>
      <w:r w:rsidR="00D20A6C" w:rsidRPr="00B153ED">
        <w:rPr>
          <w:rStyle w:val="Strong"/>
        </w:rPr>
        <w:t>202</w:t>
      </w:r>
      <w:r w:rsidR="008E3DBE" w:rsidRPr="00B153ED">
        <w:rPr>
          <w:rStyle w:val="Strong"/>
        </w:rPr>
        <w:t>2</w:t>
      </w:r>
      <w:r w:rsidR="00D20A6C">
        <w:t xml:space="preserve"> </w:t>
      </w:r>
      <w:r w:rsidRPr="00EE3C7F">
        <w:t>quarter.</w:t>
      </w:r>
    </w:p>
    <w:p w14:paraId="3235E578" w14:textId="77777777" w:rsidR="00750D47" w:rsidRPr="009637F7" w:rsidRDefault="00750D47" w:rsidP="00B153ED">
      <w:pPr>
        <w:pStyle w:val="ListBullet"/>
      </w:pPr>
      <w:r w:rsidRPr="00B153ED">
        <w:t xml:space="preserve">Products listed in all templates should be identified with a unique ‘Product Code’ identifier. This </w:t>
      </w:r>
      <w:r>
        <w:t>should</w:t>
      </w:r>
      <w:r w:rsidRPr="009637F7">
        <w:t xml:space="preserve"> be the PHIS ID. </w:t>
      </w:r>
    </w:p>
    <w:p w14:paraId="58B0F5B9" w14:textId="5F75F4F8" w:rsidR="00750D47" w:rsidRDefault="00750D47" w:rsidP="00B153ED">
      <w:pPr>
        <w:pStyle w:val="ListBullet"/>
      </w:pPr>
      <w:r w:rsidRPr="009637F7">
        <w:t xml:space="preserve">If an insurer plans to terminate products from </w:t>
      </w:r>
      <w:r w:rsidRPr="00B153ED">
        <w:rPr>
          <w:rStyle w:val="Strong"/>
        </w:rPr>
        <w:t>1 April 202</w:t>
      </w:r>
      <w:r w:rsidR="008E3DBE" w:rsidRPr="00B153ED">
        <w:rPr>
          <w:rStyle w:val="Strong"/>
        </w:rPr>
        <w:t>3</w:t>
      </w:r>
      <w:r w:rsidRPr="009637F7">
        <w:t>, the 202</w:t>
      </w:r>
      <w:r w:rsidR="008E3DBE">
        <w:t>3</w:t>
      </w:r>
      <w:r w:rsidRPr="009637F7">
        <w:t xml:space="preserve"> price </w:t>
      </w:r>
      <w:r>
        <w:t>should</w:t>
      </w:r>
      <w:r w:rsidRPr="009637F7">
        <w:t xml:space="preserve"> be</w:t>
      </w:r>
      <w:r w:rsidRPr="00187FCD">
        <w:t xml:space="preserve"> </w:t>
      </w:r>
      <w:r w:rsidR="00061DA0">
        <w:t>identical to the 202</w:t>
      </w:r>
      <w:r w:rsidR="008E3DBE">
        <w:t>2</w:t>
      </w:r>
      <w:r w:rsidR="00061DA0">
        <w:t xml:space="preserve"> price</w:t>
      </w:r>
      <w:r w:rsidRPr="00187FCD">
        <w:t>.</w:t>
      </w:r>
    </w:p>
    <w:p w14:paraId="17CF9ED7" w14:textId="77777777" w:rsidR="00CB39E1" w:rsidRDefault="00A525A0" w:rsidP="00B153ED">
      <w:pPr>
        <w:pStyle w:val="ListBullet"/>
      </w:pPr>
      <w:r w:rsidRPr="00B153ED">
        <w:rPr>
          <w:rStyle w:val="Strong"/>
        </w:rPr>
        <w:t>ANNUAL CO_PAYMENTS</w:t>
      </w:r>
      <w:r w:rsidR="00CB39E1" w:rsidRPr="00B153ED">
        <w:t xml:space="preserve"> </w:t>
      </w:r>
      <w:r w:rsidR="00CB39E1">
        <w:t xml:space="preserve">(column J) </w:t>
      </w:r>
      <w:r w:rsidR="00064D9B" w:rsidRPr="00D3479F">
        <w:t xml:space="preserve">to </w:t>
      </w:r>
      <w:r w:rsidR="00CB39E1" w:rsidRPr="00D3479F">
        <w:t xml:space="preserve">be </w:t>
      </w:r>
      <w:r w:rsidR="00CB39E1">
        <w:t xml:space="preserve">entered as a dollar amount </w:t>
      </w:r>
      <w:r w:rsidR="00E97209">
        <w:t>or as “no cap”.</w:t>
      </w:r>
      <w:r w:rsidR="00CB39E1">
        <w:t xml:space="preserve"> </w:t>
      </w:r>
      <w:r w:rsidR="00E97209">
        <w:t xml:space="preserve">A dollar amount </w:t>
      </w:r>
      <w:r w:rsidR="00CB39E1">
        <w:t xml:space="preserve">should report the </w:t>
      </w:r>
      <w:r w:rsidR="00CB39E1" w:rsidRPr="00B153ED">
        <w:rPr>
          <w:rStyle w:val="Strong"/>
        </w:rPr>
        <w:t>maximum</w:t>
      </w:r>
      <w:r w:rsidR="00CB39E1">
        <w:t xml:space="preserve"> allowable </w:t>
      </w:r>
      <w:r w:rsidR="00CB39E1" w:rsidRPr="00B153ED">
        <w:rPr>
          <w:rStyle w:val="Strong"/>
        </w:rPr>
        <w:t>annual total</w:t>
      </w:r>
      <w:r w:rsidR="00CB39E1">
        <w:t xml:space="preserve"> co-payment amount (this is an amount separate to </w:t>
      </w:r>
      <w:r w:rsidRPr="00B153ED">
        <w:t>ANNUAL EXCESS</w:t>
      </w:r>
      <w:r w:rsidR="00CB39E1">
        <w:t>).</w:t>
      </w:r>
    </w:p>
    <w:p w14:paraId="130D4F69" w14:textId="3DBF38D8" w:rsidR="009E7D83" w:rsidRDefault="009E7D83" w:rsidP="00B153ED">
      <w:pPr>
        <w:pStyle w:val="ListBullet"/>
      </w:pPr>
      <w:r w:rsidRPr="00B153ED">
        <w:rPr>
          <w:rStyle w:val="Strong"/>
        </w:rPr>
        <w:t>202</w:t>
      </w:r>
      <w:r w:rsidR="008E3DBE" w:rsidRPr="00B153ED">
        <w:rPr>
          <w:rStyle w:val="Strong"/>
        </w:rPr>
        <w:t>2</w:t>
      </w:r>
      <w:r w:rsidRPr="00B153ED">
        <w:rPr>
          <w:rStyle w:val="Strong"/>
        </w:rPr>
        <w:t xml:space="preserve"> MONTHLY PREMIUM ($)</w:t>
      </w:r>
      <w:r w:rsidRPr="000D412D">
        <w:t xml:space="preserve"> is the approved 1 April 202</w:t>
      </w:r>
      <w:r w:rsidR="008E3DBE">
        <w:t>2</w:t>
      </w:r>
      <w:r w:rsidRPr="000D412D">
        <w:t xml:space="preserve"> price, regardless of whether this price has been applied or not. The 202</w:t>
      </w:r>
      <w:r w:rsidR="008E3DBE">
        <w:t>3</w:t>
      </w:r>
      <w:r w:rsidRPr="000D412D">
        <w:t xml:space="preserve"> average premium increase will be calculated from the base price as agreed by the Minister for Health in the 202</w:t>
      </w:r>
      <w:r w:rsidR="008E3DBE">
        <w:t>2</w:t>
      </w:r>
      <w:r w:rsidRPr="000D412D">
        <w:t xml:space="preserve"> premium round, regardless of whether this price has been applied or not.</w:t>
      </w:r>
    </w:p>
    <w:p w14:paraId="4BE0E1B9" w14:textId="77777777" w:rsidR="00B153ED" w:rsidRDefault="00844EBF" w:rsidP="00B153ED">
      <w:pPr>
        <w:pStyle w:val="ListBullet"/>
      </w:pPr>
      <w:r w:rsidRPr="00EE3C7F">
        <w:t>The</w:t>
      </w:r>
      <w:r>
        <w:t xml:space="preserve"> </w:t>
      </w:r>
      <w:r w:rsidRPr="00EE3C7F">
        <w:t xml:space="preserve">age-based discount conversion factor at Column </w:t>
      </w:r>
      <w:r w:rsidR="000873F7">
        <w:t>O should be identical to that identified in the 202</w:t>
      </w:r>
      <w:r w:rsidR="008E3DBE">
        <w:t>2</w:t>
      </w:r>
      <w:r w:rsidR="000873F7">
        <w:t xml:space="preserve"> premium round. </w:t>
      </w:r>
      <w:r w:rsidR="000873F7" w:rsidRPr="000873F7">
        <w:t xml:space="preserve"> </w:t>
      </w:r>
      <w:r w:rsidR="000873F7" w:rsidRPr="00EE3C7F">
        <w:t xml:space="preserve">If the discount </w:t>
      </w:r>
      <w:r w:rsidR="000873F7">
        <w:t>did</w:t>
      </w:r>
      <w:r w:rsidR="000873F7" w:rsidRPr="00EE3C7F">
        <w:t xml:space="preserve"> not apply to the product, the factor will be 100</w:t>
      </w:r>
      <w:r w:rsidR="000873F7">
        <w:t xml:space="preserve"> per cent</w:t>
      </w:r>
      <w:r w:rsidR="000873F7" w:rsidRPr="00EE3C7F">
        <w:t>.</w:t>
      </w:r>
    </w:p>
    <w:p w14:paraId="69B59D08" w14:textId="28E748CE" w:rsidR="000873F7" w:rsidRPr="006C1320" w:rsidRDefault="000873F7" w:rsidP="00B153ED">
      <w:pPr>
        <w:pStyle w:val="ListBullet"/>
      </w:pPr>
      <w:r w:rsidRPr="006C1320">
        <w:t>The age-based discount conversion factor at Column P</w:t>
      </w:r>
      <w:r w:rsidR="006C1320" w:rsidRPr="006C1320">
        <w:t xml:space="preserve"> of Template A is only relevant to products where the aged-based discount will be applied.</w:t>
      </w:r>
    </w:p>
    <w:p w14:paraId="775625A1" w14:textId="77777777" w:rsidR="006C1320" w:rsidRPr="00B153ED" w:rsidRDefault="006C1320" w:rsidP="00B153ED">
      <w:pPr>
        <w:pStyle w:val="ListBullet2"/>
      </w:pPr>
      <w:r w:rsidRPr="00B153ED">
        <w:t>If the discount does not apply to the product, the factor will be 100 per cent.</w:t>
      </w:r>
    </w:p>
    <w:p w14:paraId="3EEE821B" w14:textId="77777777" w:rsidR="006C1320" w:rsidRPr="006C1320" w:rsidRDefault="006C1320" w:rsidP="00B153ED">
      <w:pPr>
        <w:pStyle w:val="ListBullet2"/>
      </w:pPr>
      <w:r w:rsidRPr="00B153ED">
        <w:t xml:space="preserve">If 100 people are on a product, and 10 people are eligible for a 2 per cent aged-based discount, the difference in monthly income when the discount is applied is 0.2 </w:t>
      </w:r>
      <w:r>
        <w:t>per cent</w:t>
      </w:r>
      <w:r w:rsidRPr="00EE3C7F">
        <w:t>, therefore, the aged-based discount conversion factor is 99.8</w:t>
      </w:r>
      <w:r w:rsidR="00DB6623">
        <w:t> </w:t>
      </w:r>
      <w:r>
        <w:t>per</w:t>
      </w:r>
      <w:r w:rsidR="00DB6623">
        <w:t> </w:t>
      </w:r>
      <w:r>
        <w:t>cent</w:t>
      </w:r>
      <w:r w:rsidRPr="00EE3C7F">
        <w:t>.</w:t>
      </w:r>
    </w:p>
    <w:p w14:paraId="5F021FF2" w14:textId="2552E103" w:rsidR="006C1320" w:rsidRPr="00B153ED" w:rsidRDefault="006C1320" w:rsidP="00B153ED">
      <w:pPr>
        <w:pStyle w:val="ListBullet"/>
        <w:rPr>
          <w:rFonts w:eastAsiaTheme="minorEastAsia"/>
        </w:rPr>
      </w:pPr>
      <w:r w:rsidRPr="00D3479F">
        <w:rPr>
          <w:rFonts w:cstheme="minorHAnsi"/>
        </w:rPr>
        <w:t xml:space="preserve">The age-based discount conversion factor at Column Q of Template A will calculate the change in the </w:t>
      </w:r>
      <w:proofErr w:type="gramStart"/>
      <w:r w:rsidRPr="00D3479F">
        <w:rPr>
          <w:rFonts w:cstheme="minorHAnsi"/>
        </w:rPr>
        <w:t>aged based</w:t>
      </w:r>
      <w:proofErr w:type="gramEnd"/>
      <w:r w:rsidRPr="00D3479F">
        <w:rPr>
          <w:rFonts w:cstheme="minorHAnsi"/>
        </w:rPr>
        <w:t xml:space="preserve"> discount. The figures in Column Q flow through to the insurer average premium change figure in Template C.</w:t>
      </w:r>
      <w:r w:rsidRPr="00B153ED">
        <w:rPr>
          <w:rFonts w:eastAsiaTheme="minorEastAsia"/>
        </w:rPr>
        <w:br w:type="page"/>
      </w:r>
    </w:p>
    <w:p w14:paraId="6F907475" w14:textId="77777777" w:rsidR="00EA73F6" w:rsidRPr="00B153ED" w:rsidRDefault="00EA33F3" w:rsidP="00B173D7">
      <w:pPr>
        <w:pStyle w:val="Heading2"/>
      </w:pPr>
      <w:r w:rsidRPr="00B153ED">
        <w:lastRenderedPageBreak/>
        <w:t>Field</w:t>
      </w:r>
      <w:r w:rsidR="009965AB" w:rsidRPr="00B153ED">
        <w:t xml:space="preserve"> Descriptions</w:t>
      </w:r>
    </w:p>
    <w:tbl>
      <w:tblPr>
        <w:tblStyle w:val="TableGrid"/>
        <w:tblW w:w="9072" w:type="dxa"/>
        <w:tblLook w:val="01E0" w:firstRow="1" w:lastRow="1" w:firstColumn="1" w:lastColumn="1" w:noHBand="0" w:noVBand="0"/>
      </w:tblPr>
      <w:tblGrid>
        <w:gridCol w:w="1532"/>
        <w:gridCol w:w="4182"/>
        <w:gridCol w:w="3358"/>
      </w:tblGrid>
      <w:tr w:rsidR="00930744" w:rsidRPr="00B153ED" w14:paraId="559C505A" w14:textId="77777777" w:rsidTr="00B153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Pr>
          <w:p w14:paraId="44F4CABA" w14:textId="77777777" w:rsidR="006A5B14" w:rsidRPr="00B153ED" w:rsidRDefault="006A5B14" w:rsidP="00B153ED">
            <w:r w:rsidRPr="00B153ED">
              <w:t>Field</w:t>
            </w:r>
          </w:p>
        </w:tc>
        <w:tc>
          <w:tcPr>
            <w:tcW w:w="4519" w:type="dxa"/>
          </w:tcPr>
          <w:p w14:paraId="7E122C90" w14:textId="77777777" w:rsidR="006A5B14" w:rsidRPr="00B153ED" w:rsidRDefault="006A5B14" w:rsidP="00B153ED">
            <w:pPr>
              <w:cnfStyle w:val="100000000000" w:firstRow="1" w:lastRow="0" w:firstColumn="0" w:lastColumn="0" w:oddVBand="0" w:evenVBand="0" w:oddHBand="0" w:evenHBand="0" w:firstRowFirstColumn="0" w:firstRowLastColumn="0" w:lastRowFirstColumn="0" w:lastRowLastColumn="0"/>
            </w:pPr>
            <w:r w:rsidRPr="00B153ED">
              <w:t>Data Entry Guidelines</w:t>
            </w:r>
          </w:p>
        </w:tc>
        <w:tc>
          <w:tcPr>
            <w:tcW w:w="2998" w:type="dxa"/>
          </w:tcPr>
          <w:p w14:paraId="1A449F34" w14:textId="77777777" w:rsidR="006A5B14" w:rsidRPr="00B153ED" w:rsidRDefault="006A5B14" w:rsidP="00B153ED">
            <w:pPr>
              <w:cnfStyle w:val="100000000000" w:firstRow="1" w:lastRow="0" w:firstColumn="0" w:lastColumn="0" w:oddVBand="0" w:evenVBand="0" w:oddHBand="0" w:evenHBand="0" w:firstRowFirstColumn="0" w:firstRowLastColumn="0" w:lastRowFirstColumn="0" w:lastRowLastColumn="0"/>
            </w:pPr>
            <w:r w:rsidRPr="00B153ED">
              <w:t>Example</w:t>
            </w:r>
          </w:p>
        </w:tc>
      </w:tr>
      <w:tr w:rsidR="00EF5A8B" w:rsidRPr="00B153ED" w14:paraId="3B9AC03D"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68C36AF4" w14:textId="517168C2" w:rsidR="00EF5A8B" w:rsidRPr="00B153ED" w:rsidRDefault="00B173D7" w:rsidP="004B55E1">
            <w:r w:rsidRPr="00B153ED">
              <w:t>Insurer</w:t>
            </w:r>
          </w:p>
        </w:tc>
        <w:tc>
          <w:tcPr>
            <w:tcW w:w="4519" w:type="dxa"/>
          </w:tcPr>
          <w:p w14:paraId="2BEAFFD0" w14:textId="77777777" w:rsidR="00EF5A8B" w:rsidRPr="00B153ED" w:rsidRDefault="00E34182" w:rsidP="004B55E1">
            <w:pPr>
              <w:cnfStyle w:val="000000000000" w:firstRow="0" w:lastRow="0" w:firstColumn="0" w:lastColumn="0" w:oddVBand="0" w:evenVBand="0" w:oddHBand="0" w:evenHBand="0" w:firstRowFirstColumn="0" w:firstRowLastColumn="0" w:lastRowFirstColumn="0" w:lastRowLastColumn="0"/>
            </w:pPr>
            <w:r w:rsidRPr="00B153ED">
              <w:t>Name of insurer.</w:t>
            </w:r>
          </w:p>
        </w:tc>
        <w:tc>
          <w:tcPr>
            <w:tcW w:w="2998" w:type="dxa"/>
          </w:tcPr>
          <w:p w14:paraId="71649AFD" w14:textId="77777777" w:rsidR="00EF5A8B" w:rsidRPr="00B153ED" w:rsidRDefault="00EF5A8B" w:rsidP="00B153ED">
            <w:pPr>
              <w:cnfStyle w:val="000000000000" w:firstRow="0" w:lastRow="0" w:firstColumn="0" w:lastColumn="0" w:oddVBand="0" w:evenVBand="0" w:oddHBand="0" w:evenHBand="0" w:firstRowFirstColumn="0" w:firstRowLastColumn="0" w:lastRowFirstColumn="0" w:lastRowLastColumn="0"/>
            </w:pPr>
          </w:p>
        </w:tc>
      </w:tr>
      <w:tr w:rsidR="00930744" w:rsidRPr="00B153ED" w14:paraId="75D2990A"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3ACDC664" w14:textId="1CE07753" w:rsidR="00CD2337" w:rsidRPr="00B153ED" w:rsidRDefault="00B173D7" w:rsidP="004B55E1">
            <w:r>
              <w:t>S</w:t>
            </w:r>
            <w:r w:rsidRPr="00B153ED">
              <w:t>tate</w:t>
            </w:r>
          </w:p>
        </w:tc>
        <w:tc>
          <w:tcPr>
            <w:tcW w:w="4519" w:type="dxa"/>
          </w:tcPr>
          <w:p w14:paraId="0340C931" w14:textId="77777777" w:rsidR="00CD2337" w:rsidRPr="00B153ED" w:rsidRDefault="00CD2337" w:rsidP="004B55E1">
            <w:pPr>
              <w:cnfStyle w:val="000000000000" w:firstRow="0" w:lastRow="0" w:firstColumn="0" w:lastColumn="0" w:oddVBand="0" w:evenVBand="0" w:oddHBand="0" w:evenHBand="0" w:firstRowFirstColumn="0" w:firstRowLastColumn="0" w:lastRowFirstColumn="0" w:lastRowLastColumn="0"/>
            </w:pPr>
            <w:r w:rsidRPr="00B153ED">
              <w:t>Select from the drop down list the State</w:t>
            </w:r>
            <w:r w:rsidR="0020697D" w:rsidRPr="00B153ED">
              <w:t>/</w:t>
            </w:r>
            <w:r w:rsidRPr="00B153ED">
              <w:t xml:space="preserve">Territory in which the product is available.  This should be consistent with the risk equalisation jurisdiction for </w:t>
            </w:r>
            <w:r w:rsidR="00021EB2" w:rsidRPr="00B153ED">
              <w:t>APRA</w:t>
            </w:r>
            <w:r w:rsidRPr="00B153ED">
              <w:t xml:space="preserve"> reporting</w:t>
            </w:r>
            <w:r w:rsidR="00AC39E9" w:rsidRPr="00B153ED">
              <w:t xml:space="preserve"> </w:t>
            </w:r>
            <w:r w:rsidR="00E54622" w:rsidRPr="00B153ED">
              <w:t xml:space="preserve">  </w:t>
            </w:r>
            <w:r w:rsidRPr="00B153ED">
              <w:t xml:space="preserve">Each State/Territory </w:t>
            </w:r>
            <w:r w:rsidR="0002640D" w:rsidRPr="00B153ED">
              <w:t>should</w:t>
            </w:r>
            <w:r w:rsidRPr="00B153ED">
              <w:t xml:space="preserve"> be recorded separately (</w:t>
            </w:r>
            <w:proofErr w:type="gramStart"/>
            <w:r w:rsidR="002B5F87" w:rsidRPr="00B153ED">
              <w:t>i</w:t>
            </w:r>
            <w:r w:rsidR="00797D29" w:rsidRPr="00B153ED">
              <w:t>.</w:t>
            </w:r>
            <w:r w:rsidRPr="00B153ED">
              <w:t>e.</w:t>
            </w:r>
            <w:proofErr w:type="gramEnd"/>
            <w:r w:rsidRPr="00B153ED">
              <w:t xml:space="preserve"> if the same product is available in multiple states</w:t>
            </w:r>
            <w:r w:rsidR="00BF644B" w:rsidRPr="00B153ED">
              <w:t>,</w:t>
            </w:r>
            <w:r w:rsidRPr="00B153ED">
              <w:t xml:space="preserve"> record </w:t>
            </w:r>
            <w:r w:rsidR="000B2E61" w:rsidRPr="00B153ED">
              <w:t>in individual rows.</w:t>
            </w:r>
          </w:p>
        </w:tc>
        <w:tc>
          <w:tcPr>
            <w:tcW w:w="2998" w:type="dxa"/>
          </w:tcPr>
          <w:p w14:paraId="67730EA0" w14:textId="77777777" w:rsidR="00CD2337" w:rsidRPr="00B153ED" w:rsidRDefault="0079545E" w:rsidP="00B153ED">
            <w:pPr>
              <w:cnfStyle w:val="000000000000" w:firstRow="0" w:lastRow="0" w:firstColumn="0" w:lastColumn="0" w:oddVBand="0" w:evenVBand="0" w:oddHBand="0" w:evenHBand="0" w:firstRowFirstColumn="0" w:firstRowLastColumn="0" w:lastRowFirstColumn="0" w:lastRowLastColumn="0"/>
            </w:pPr>
            <w:r w:rsidRPr="00B153ED">
              <w:t>Drop down list</w:t>
            </w:r>
            <w:r w:rsidR="00CD2337" w:rsidRPr="00B153ED">
              <w:t>:</w:t>
            </w:r>
          </w:p>
          <w:p w14:paraId="44050850" w14:textId="77777777" w:rsidR="00CD2337" w:rsidRPr="00B153ED" w:rsidRDefault="00CD2337" w:rsidP="004B55E1">
            <w:pPr>
              <w:pStyle w:val="ListBullet"/>
              <w:cnfStyle w:val="000000000000" w:firstRow="0" w:lastRow="0" w:firstColumn="0" w:lastColumn="0" w:oddVBand="0" w:evenVBand="0" w:oddHBand="0" w:evenHBand="0" w:firstRowFirstColumn="0" w:firstRowLastColumn="0" w:lastRowFirstColumn="0" w:lastRowLastColumn="0"/>
            </w:pPr>
            <w:r w:rsidRPr="00B153ED">
              <w:t>NSW</w:t>
            </w:r>
            <w:r w:rsidR="00BF644B" w:rsidRPr="00B153ED">
              <w:t xml:space="preserve"> / ACT</w:t>
            </w:r>
            <w:r w:rsidR="004C6F98" w:rsidRPr="00B153ED">
              <w:t xml:space="preserve"> </w:t>
            </w:r>
          </w:p>
          <w:p w14:paraId="1ED6E49D" w14:textId="77777777" w:rsidR="00C63E48" w:rsidRDefault="00CD2337" w:rsidP="004B55E1">
            <w:pPr>
              <w:pStyle w:val="ListBullet"/>
              <w:cnfStyle w:val="000000000000" w:firstRow="0" w:lastRow="0" w:firstColumn="0" w:lastColumn="0" w:oddVBand="0" w:evenVBand="0" w:oddHBand="0" w:evenHBand="0" w:firstRowFirstColumn="0" w:firstRowLastColumn="0" w:lastRowFirstColumn="0" w:lastRowLastColumn="0"/>
            </w:pPr>
            <w:r w:rsidRPr="00B153ED">
              <w:t>NT</w:t>
            </w:r>
          </w:p>
          <w:p w14:paraId="101CBD08" w14:textId="2ED0E466" w:rsidR="00CD2337" w:rsidRPr="00B153ED" w:rsidRDefault="00CD2337" w:rsidP="004B55E1">
            <w:pPr>
              <w:pStyle w:val="ListBullet"/>
              <w:cnfStyle w:val="000000000000" w:firstRow="0" w:lastRow="0" w:firstColumn="0" w:lastColumn="0" w:oddVBand="0" w:evenVBand="0" w:oddHBand="0" w:evenHBand="0" w:firstRowFirstColumn="0" w:firstRowLastColumn="0" w:lastRowFirstColumn="0" w:lastRowLastColumn="0"/>
            </w:pPr>
            <w:r w:rsidRPr="00B153ED">
              <w:t>QLD</w:t>
            </w:r>
          </w:p>
          <w:p w14:paraId="3ADCEDEA" w14:textId="77777777" w:rsidR="00C63E48" w:rsidRDefault="00CD2337" w:rsidP="004B55E1">
            <w:pPr>
              <w:pStyle w:val="ListBullet"/>
              <w:cnfStyle w:val="000000000000" w:firstRow="0" w:lastRow="0" w:firstColumn="0" w:lastColumn="0" w:oddVBand="0" w:evenVBand="0" w:oddHBand="0" w:evenHBand="0" w:firstRowFirstColumn="0" w:firstRowLastColumn="0" w:lastRowFirstColumn="0" w:lastRowLastColumn="0"/>
            </w:pPr>
            <w:r w:rsidRPr="00B153ED">
              <w:t>SA</w:t>
            </w:r>
          </w:p>
          <w:p w14:paraId="398C98D3" w14:textId="40FCBC9F" w:rsidR="00CD2337" w:rsidRPr="00B153ED" w:rsidRDefault="00CD2337" w:rsidP="004B55E1">
            <w:pPr>
              <w:pStyle w:val="ListBullet"/>
              <w:cnfStyle w:val="000000000000" w:firstRow="0" w:lastRow="0" w:firstColumn="0" w:lastColumn="0" w:oddVBand="0" w:evenVBand="0" w:oddHBand="0" w:evenHBand="0" w:firstRowFirstColumn="0" w:firstRowLastColumn="0" w:lastRowFirstColumn="0" w:lastRowLastColumn="0"/>
            </w:pPr>
            <w:r w:rsidRPr="00B153ED">
              <w:t>TAS</w:t>
            </w:r>
          </w:p>
          <w:p w14:paraId="45975B2C" w14:textId="77777777" w:rsidR="00C63E48" w:rsidRDefault="00CD2337" w:rsidP="004B55E1">
            <w:pPr>
              <w:pStyle w:val="ListBullet"/>
              <w:cnfStyle w:val="000000000000" w:firstRow="0" w:lastRow="0" w:firstColumn="0" w:lastColumn="0" w:oddVBand="0" w:evenVBand="0" w:oddHBand="0" w:evenHBand="0" w:firstRowFirstColumn="0" w:firstRowLastColumn="0" w:lastRowFirstColumn="0" w:lastRowLastColumn="0"/>
            </w:pPr>
            <w:r w:rsidRPr="00B153ED">
              <w:t>VIC</w:t>
            </w:r>
          </w:p>
          <w:p w14:paraId="61CFA3FA" w14:textId="7D65CDDC" w:rsidR="000B2E61" w:rsidRPr="00B153ED" w:rsidRDefault="00CD2337" w:rsidP="004B55E1">
            <w:pPr>
              <w:pStyle w:val="ListBullet"/>
              <w:cnfStyle w:val="000000000000" w:firstRow="0" w:lastRow="0" w:firstColumn="0" w:lastColumn="0" w:oddVBand="0" w:evenVBand="0" w:oddHBand="0" w:evenHBand="0" w:firstRowFirstColumn="0" w:firstRowLastColumn="0" w:lastRowFirstColumn="0" w:lastRowLastColumn="0"/>
            </w:pPr>
            <w:r w:rsidRPr="00B153ED">
              <w:t>WA</w:t>
            </w:r>
          </w:p>
        </w:tc>
      </w:tr>
      <w:tr w:rsidR="00930744" w:rsidRPr="00B153ED" w14:paraId="05BA1010"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2B461210" w14:textId="6084BF20" w:rsidR="00CD2337" w:rsidRPr="00B153ED" w:rsidRDefault="00B173D7" w:rsidP="004B55E1">
            <w:r>
              <w:t>P</w:t>
            </w:r>
            <w:r w:rsidRPr="00B153ED">
              <w:t>roduct code phis id</w:t>
            </w:r>
          </w:p>
        </w:tc>
        <w:tc>
          <w:tcPr>
            <w:tcW w:w="4519" w:type="dxa"/>
          </w:tcPr>
          <w:p w14:paraId="3A2FCC5A" w14:textId="77777777" w:rsidR="00CD2337" w:rsidRPr="004B55E1" w:rsidRDefault="00CD2337" w:rsidP="004B55E1">
            <w:pPr>
              <w:cnfStyle w:val="000000000000" w:firstRow="0" w:lastRow="0" w:firstColumn="0" w:lastColumn="0" w:oddVBand="0" w:evenVBand="0" w:oddHBand="0" w:evenHBand="0" w:firstRowFirstColumn="0" w:firstRowLastColumn="0" w:lastRowFirstColumn="0" w:lastRowLastColumn="0"/>
            </w:pPr>
            <w:r w:rsidRPr="00B153ED">
              <w:t xml:space="preserve">Enter </w:t>
            </w:r>
            <w:r w:rsidR="00780310" w:rsidRPr="00B153ED">
              <w:t xml:space="preserve">in full </w:t>
            </w:r>
            <w:r w:rsidRPr="00B153ED">
              <w:t>the unique product identification code for the p</w:t>
            </w:r>
            <w:r w:rsidR="000B2E61" w:rsidRPr="00B153ED">
              <w:t xml:space="preserve">roduct, exactly </w:t>
            </w:r>
            <w:r w:rsidRPr="00B153ED">
              <w:t xml:space="preserve">as generated </w:t>
            </w:r>
            <w:r w:rsidR="00702154" w:rsidRPr="00B153ED">
              <w:t xml:space="preserve">in </w:t>
            </w:r>
            <w:r w:rsidRPr="00B153ED">
              <w:t>th</w:t>
            </w:r>
            <w:r w:rsidR="001F40FD" w:rsidRPr="00B153ED">
              <w:t>e PHIS</w:t>
            </w:r>
            <w:r w:rsidRPr="00B153ED">
              <w:t xml:space="preserve"> by privatehealth.gov.au</w:t>
            </w:r>
            <w:r w:rsidR="002B5F87" w:rsidRPr="00B153ED">
              <w:t xml:space="preserve"> (</w:t>
            </w:r>
            <w:proofErr w:type="gramStart"/>
            <w:r w:rsidR="002B5F87" w:rsidRPr="00B153ED">
              <w:t>i</w:t>
            </w:r>
            <w:r w:rsidR="00797D29" w:rsidRPr="00B153ED">
              <w:t>.</w:t>
            </w:r>
            <w:r w:rsidR="002B5F87" w:rsidRPr="00B153ED">
              <w:t>e.</w:t>
            </w:r>
            <w:proofErr w:type="gramEnd"/>
            <w:r w:rsidR="002B5F87" w:rsidRPr="00B153ED">
              <w:t xml:space="preserve"> do not truncate by omitting insurer identifier component of code)</w:t>
            </w:r>
            <w:r w:rsidRPr="00B153ED">
              <w:t>.</w:t>
            </w:r>
            <w:r w:rsidR="00780310" w:rsidRPr="00B153ED">
              <w:t xml:space="preserve">  </w:t>
            </w:r>
            <w:r w:rsidR="0079545E" w:rsidRPr="00B153ED">
              <w:t xml:space="preserve">This includes products </w:t>
            </w:r>
            <w:r w:rsidR="00C55580" w:rsidRPr="00B153ED">
              <w:t xml:space="preserve">that are </w:t>
            </w:r>
            <w:proofErr w:type="gramStart"/>
            <w:r w:rsidR="00C55580" w:rsidRPr="00B153ED">
              <w:t>closed, or</w:t>
            </w:r>
            <w:proofErr w:type="gramEnd"/>
            <w:r w:rsidR="00C55580" w:rsidRPr="00B153ED">
              <w:t xml:space="preserve"> have </w:t>
            </w:r>
            <w:r w:rsidR="00581726" w:rsidRPr="00B153ED">
              <w:t>zero policies</w:t>
            </w:r>
            <w:r w:rsidR="004C5774" w:rsidRPr="00B153ED">
              <w:t>/</w:t>
            </w:r>
            <w:r w:rsidR="00581726" w:rsidRPr="00B153ED">
              <w:t>people.</w:t>
            </w:r>
            <w:r w:rsidR="00262A2F" w:rsidRPr="004B55E1">
              <w:t xml:space="preserve"> </w:t>
            </w:r>
          </w:p>
        </w:tc>
        <w:tc>
          <w:tcPr>
            <w:tcW w:w="2998" w:type="dxa"/>
          </w:tcPr>
          <w:p w14:paraId="56BF58AF" w14:textId="77777777" w:rsidR="00CD2337" w:rsidRPr="00B153ED" w:rsidRDefault="00CD2337" w:rsidP="00B153ED">
            <w:pPr>
              <w:cnfStyle w:val="000000000000" w:firstRow="0" w:lastRow="0" w:firstColumn="0" w:lastColumn="0" w:oddVBand="0" w:evenVBand="0" w:oddHBand="0" w:evenHBand="0" w:firstRowFirstColumn="0" w:firstRowLastColumn="0" w:lastRowFirstColumn="0" w:lastRowLastColumn="0"/>
            </w:pPr>
          </w:p>
        </w:tc>
      </w:tr>
      <w:tr w:rsidR="00930744" w:rsidRPr="00B153ED" w14:paraId="55036F43"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4E06EB29" w14:textId="5CCC062A" w:rsidR="006079CD" w:rsidRPr="00B153ED" w:rsidRDefault="00B173D7" w:rsidP="004B55E1">
            <w:r>
              <w:t>P</w:t>
            </w:r>
            <w:r w:rsidRPr="00B153ED">
              <w:t>roduct name as at 1 </w:t>
            </w:r>
            <w:proofErr w:type="spellStart"/>
            <w:r w:rsidRPr="00B153ED">
              <w:t>april</w:t>
            </w:r>
            <w:proofErr w:type="spellEnd"/>
            <w:r w:rsidRPr="00B153ED">
              <w:t xml:space="preserve"> 2023</w:t>
            </w:r>
          </w:p>
        </w:tc>
        <w:tc>
          <w:tcPr>
            <w:tcW w:w="4519" w:type="dxa"/>
          </w:tcPr>
          <w:p w14:paraId="7A786A51" w14:textId="77777777" w:rsidR="006079CD" w:rsidRPr="00B153ED" w:rsidRDefault="004C5774" w:rsidP="004B55E1">
            <w:pPr>
              <w:cnfStyle w:val="000000000000" w:firstRow="0" w:lastRow="0" w:firstColumn="0" w:lastColumn="0" w:oddVBand="0" w:evenVBand="0" w:oddHBand="0" w:evenHBand="0" w:firstRowFirstColumn="0" w:firstRowLastColumn="0" w:lastRowFirstColumn="0" w:lastRowLastColumn="0"/>
            </w:pPr>
            <w:r w:rsidRPr="00B153ED">
              <w:t xml:space="preserve">Enter the product name. </w:t>
            </w:r>
            <w:r w:rsidR="006079CD" w:rsidRPr="00B153ED">
              <w:t>If the name is duplicated across products, do not leave any rows blank, but instead enter the identical name for each</w:t>
            </w:r>
            <w:r w:rsidRPr="00B153ED">
              <w:t xml:space="preserve"> product.  T</w:t>
            </w:r>
            <w:r w:rsidR="006079CD" w:rsidRPr="00B153ED">
              <w:t>his should be consistent with the information recorded in the PHIS for the product.</w:t>
            </w:r>
          </w:p>
        </w:tc>
        <w:tc>
          <w:tcPr>
            <w:tcW w:w="2998" w:type="dxa"/>
          </w:tcPr>
          <w:p w14:paraId="7893B13D" w14:textId="77777777" w:rsidR="006079CD" w:rsidRPr="00B153ED" w:rsidRDefault="004D47E0" w:rsidP="004B55E1">
            <w:pPr>
              <w:cnfStyle w:val="000000000000" w:firstRow="0" w:lastRow="0" w:firstColumn="0" w:lastColumn="0" w:oddVBand="0" w:evenVBand="0" w:oddHBand="0" w:evenHBand="0" w:firstRowFirstColumn="0" w:firstRowLastColumn="0" w:lastRowFirstColumn="0" w:lastRowLastColumn="0"/>
            </w:pPr>
            <w:r w:rsidRPr="00B153ED">
              <w:t>Gold Hospital Cover</w:t>
            </w:r>
          </w:p>
        </w:tc>
      </w:tr>
      <w:tr w:rsidR="00930744" w:rsidRPr="00B153ED" w14:paraId="0EBB8A9A"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7FD05226" w14:textId="2AE610B7" w:rsidR="006079CD" w:rsidRPr="00B153ED" w:rsidRDefault="00B173D7" w:rsidP="004B55E1">
            <w:r>
              <w:t>P</w:t>
            </w:r>
            <w:r w:rsidRPr="00B153ED">
              <w:t xml:space="preserve">roduct status as at 1 </w:t>
            </w:r>
            <w:proofErr w:type="spellStart"/>
            <w:r w:rsidRPr="00B153ED">
              <w:t>april</w:t>
            </w:r>
            <w:proofErr w:type="spellEnd"/>
            <w:r w:rsidRPr="00B153ED">
              <w:t xml:space="preserve"> 2023</w:t>
            </w:r>
          </w:p>
        </w:tc>
        <w:tc>
          <w:tcPr>
            <w:tcW w:w="4519" w:type="dxa"/>
          </w:tcPr>
          <w:p w14:paraId="75EC82D3" w14:textId="77777777" w:rsidR="000931F4" w:rsidRPr="00B153ED" w:rsidRDefault="006079CD" w:rsidP="004B55E1">
            <w:pPr>
              <w:cnfStyle w:val="000000000000" w:firstRow="0" w:lastRow="0" w:firstColumn="0" w:lastColumn="0" w:oddVBand="0" w:evenVBand="0" w:oddHBand="0" w:evenHBand="0" w:firstRowFirstColumn="0" w:firstRowLastColumn="0" w:lastRowFirstColumn="0" w:lastRowLastColumn="0"/>
            </w:pPr>
            <w:r w:rsidRPr="00B153ED">
              <w:t xml:space="preserve">Select from the </w:t>
            </w:r>
            <w:proofErr w:type="gramStart"/>
            <w:r w:rsidRPr="00B153ED">
              <w:t>drop down</w:t>
            </w:r>
            <w:proofErr w:type="gramEnd"/>
            <w:r w:rsidRPr="00B153ED">
              <w:t xml:space="preserve"> list whether the product is</w:t>
            </w:r>
            <w:r w:rsidR="000931F4" w:rsidRPr="00B153ED">
              <w:t>:</w:t>
            </w:r>
          </w:p>
          <w:p w14:paraId="0D63BEC8" w14:textId="77777777" w:rsidR="000931F4" w:rsidRPr="00B153ED" w:rsidRDefault="003107C3" w:rsidP="00792E4A">
            <w:pPr>
              <w:pStyle w:val="ListBullet"/>
              <w:cnfStyle w:val="000000000000" w:firstRow="0" w:lastRow="0" w:firstColumn="0" w:lastColumn="0" w:oddVBand="0" w:evenVBand="0" w:oddHBand="0" w:evenHBand="0" w:firstRowFirstColumn="0" w:firstRowLastColumn="0" w:lastRowFirstColumn="0" w:lastRowLastColumn="0"/>
            </w:pPr>
            <w:r w:rsidRPr="00B153ED">
              <w:t>O</w:t>
            </w:r>
            <w:r w:rsidR="006079CD" w:rsidRPr="00B153ED">
              <w:t>pen</w:t>
            </w:r>
            <w:r w:rsidRPr="00B153ED">
              <w:t xml:space="preserve"> </w:t>
            </w:r>
            <w:r w:rsidR="000931F4" w:rsidRPr="00B153ED">
              <w:t>and is a New Product</w:t>
            </w:r>
            <w:r w:rsidRPr="00B153ED">
              <w:t xml:space="preserve"> to the market</w:t>
            </w:r>
            <w:r w:rsidR="00163D41" w:rsidRPr="00B153ED">
              <w:t>.</w:t>
            </w:r>
          </w:p>
          <w:p w14:paraId="469AC850" w14:textId="77777777" w:rsidR="003107C3" w:rsidRPr="00B153ED" w:rsidRDefault="000931F4" w:rsidP="00792E4A">
            <w:pPr>
              <w:pStyle w:val="ListBullet"/>
              <w:cnfStyle w:val="000000000000" w:firstRow="0" w:lastRow="0" w:firstColumn="0" w:lastColumn="0" w:oddVBand="0" w:evenVBand="0" w:oddHBand="0" w:evenHBand="0" w:firstRowFirstColumn="0" w:firstRowLastColumn="0" w:lastRowFirstColumn="0" w:lastRowLastColumn="0"/>
            </w:pPr>
            <w:r w:rsidRPr="00B153ED">
              <w:t>Open</w:t>
            </w:r>
            <w:r w:rsidR="003107C3" w:rsidRPr="00B153ED">
              <w:t xml:space="preserve"> already E</w:t>
            </w:r>
            <w:r w:rsidR="006079CD" w:rsidRPr="00B153ED">
              <w:t xml:space="preserve">xisting product. </w:t>
            </w:r>
          </w:p>
          <w:p w14:paraId="3B036DBE" w14:textId="30A70E6A" w:rsidR="00163D41" w:rsidRPr="00B153ED" w:rsidRDefault="00163D41" w:rsidP="00792E4A">
            <w:pPr>
              <w:pStyle w:val="ListBullet"/>
              <w:cnfStyle w:val="000000000000" w:firstRow="0" w:lastRow="0" w:firstColumn="0" w:lastColumn="0" w:oddVBand="0" w:evenVBand="0" w:oddHBand="0" w:evenHBand="0" w:firstRowFirstColumn="0" w:firstRowLastColumn="0" w:lastRowFirstColumn="0" w:lastRowLastColumn="0"/>
            </w:pPr>
            <w:r w:rsidRPr="00B153ED">
              <w:t xml:space="preserve">Closed – Closing, if the insurer plans to close the product anytime between 1 April </w:t>
            </w:r>
            <w:r w:rsidR="000E4C92" w:rsidRPr="00B153ED">
              <w:t>202</w:t>
            </w:r>
            <w:r w:rsidR="008E3DBE" w:rsidRPr="00B153ED">
              <w:t>2</w:t>
            </w:r>
            <w:r w:rsidR="000E4C92" w:rsidRPr="00B153ED">
              <w:t xml:space="preserve"> </w:t>
            </w:r>
            <w:r w:rsidRPr="00B153ED">
              <w:t>to 31 Mar </w:t>
            </w:r>
            <w:r w:rsidR="000E4C92" w:rsidRPr="00B153ED">
              <w:t>202</w:t>
            </w:r>
            <w:r w:rsidR="008E3DBE" w:rsidRPr="00B153ED">
              <w:t>3</w:t>
            </w:r>
            <w:r w:rsidRPr="00B153ED">
              <w:t>.</w:t>
            </w:r>
          </w:p>
          <w:p w14:paraId="0D95F335" w14:textId="66E5A898" w:rsidR="003107C3" w:rsidRPr="00B153ED" w:rsidRDefault="003107C3" w:rsidP="00792E4A">
            <w:pPr>
              <w:pStyle w:val="ListBullet"/>
              <w:cnfStyle w:val="000000000000" w:firstRow="0" w:lastRow="0" w:firstColumn="0" w:lastColumn="0" w:oddVBand="0" w:evenVBand="0" w:oddHBand="0" w:evenHBand="0" w:firstRowFirstColumn="0" w:firstRowLastColumn="0" w:lastRowFirstColumn="0" w:lastRowLastColumn="0"/>
            </w:pPr>
            <w:r w:rsidRPr="00B153ED">
              <w:t>C</w:t>
            </w:r>
            <w:r w:rsidR="000931F4" w:rsidRPr="00B153ED">
              <w:t>losed</w:t>
            </w:r>
            <w:r w:rsidRPr="00B153ED">
              <w:t xml:space="preserve"> prior to 1 April </w:t>
            </w:r>
            <w:r w:rsidR="000E4C92" w:rsidRPr="00B153ED">
              <w:t>202</w:t>
            </w:r>
            <w:r w:rsidR="008E3DBE" w:rsidRPr="00B153ED">
              <w:t>2</w:t>
            </w:r>
            <w:r w:rsidR="000E4C92" w:rsidRPr="00B153ED">
              <w:t xml:space="preserve"> </w:t>
            </w:r>
            <w:r w:rsidR="000931F4" w:rsidRPr="00B153ED">
              <w:t>–</w:t>
            </w:r>
            <w:r w:rsidRPr="00B153ED">
              <w:t xml:space="preserve"> E</w:t>
            </w:r>
            <w:r w:rsidR="000931F4" w:rsidRPr="00B153ED">
              <w:t xml:space="preserve">xisting. </w:t>
            </w:r>
          </w:p>
          <w:p w14:paraId="4CA00248" w14:textId="72CBF8C3" w:rsidR="006079CD" w:rsidRPr="00B153ED" w:rsidRDefault="003107C3" w:rsidP="00AD1532">
            <w:pPr>
              <w:pStyle w:val="ListBullet"/>
              <w:cnfStyle w:val="000000000000" w:firstRow="0" w:lastRow="0" w:firstColumn="0" w:lastColumn="0" w:oddVBand="0" w:evenVBand="0" w:oddHBand="0" w:evenHBand="0" w:firstRowFirstColumn="0" w:firstRowLastColumn="0" w:lastRowFirstColumn="0" w:lastRowLastColumn="0"/>
            </w:pPr>
            <w:r w:rsidRPr="00B153ED">
              <w:lastRenderedPageBreak/>
              <w:t xml:space="preserve">Terminating, if planning to terminate the product prior to </w:t>
            </w:r>
            <w:r w:rsidR="000231F9" w:rsidRPr="00B153ED">
              <w:t xml:space="preserve">1 April </w:t>
            </w:r>
            <w:r w:rsidR="000E4C92" w:rsidRPr="00B153ED">
              <w:t>202</w:t>
            </w:r>
            <w:r w:rsidR="008E3DBE" w:rsidRPr="00B153ED">
              <w:t>3</w:t>
            </w:r>
            <w:r w:rsidR="000E4C92" w:rsidRPr="00B153ED">
              <w:t xml:space="preserve"> </w:t>
            </w:r>
            <w:r w:rsidR="000931F4" w:rsidRPr="00B153ED">
              <w:t>with customers being migrated</w:t>
            </w:r>
            <w:r w:rsidR="00163D41" w:rsidRPr="00B153ED">
              <w:t xml:space="preserve"> to alternative products</w:t>
            </w:r>
            <w:r w:rsidRPr="00B153ED">
              <w:t>.</w:t>
            </w:r>
          </w:p>
        </w:tc>
        <w:tc>
          <w:tcPr>
            <w:tcW w:w="2998" w:type="dxa"/>
          </w:tcPr>
          <w:p w14:paraId="31846FAE" w14:textId="77777777" w:rsidR="006079CD" w:rsidRPr="00B153ED" w:rsidRDefault="006079CD" w:rsidP="00B153ED">
            <w:pPr>
              <w:cnfStyle w:val="000000000000" w:firstRow="0" w:lastRow="0" w:firstColumn="0" w:lastColumn="0" w:oddVBand="0" w:evenVBand="0" w:oddHBand="0" w:evenHBand="0" w:firstRowFirstColumn="0" w:firstRowLastColumn="0" w:lastRowFirstColumn="0" w:lastRowLastColumn="0"/>
            </w:pPr>
            <w:r w:rsidRPr="00B153ED">
              <w:lastRenderedPageBreak/>
              <w:t>Drop down list:</w:t>
            </w:r>
          </w:p>
          <w:p w14:paraId="40BD32CA"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Open – New Product</w:t>
            </w:r>
          </w:p>
          <w:p w14:paraId="35523B49"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Open – Existing</w:t>
            </w:r>
          </w:p>
          <w:p w14:paraId="2EB9396F"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Closed – Closing</w:t>
            </w:r>
          </w:p>
          <w:p w14:paraId="12DD2FF8"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Closed – Existing</w:t>
            </w:r>
          </w:p>
          <w:p w14:paraId="4A85EC00"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Terminating</w:t>
            </w:r>
          </w:p>
        </w:tc>
      </w:tr>
      <w:tr w:rsidR="00930744" w:rsidRPr="00B153ED" w14:paraId="52C1C2F7"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4BC0FE2D" w14:textId="7C3EE324" w:rsidR="006079CD" w:rsidRPr="00B153ED" w:rsidRDefault="00B173D7" w:rsidP="004B55E1">
            <w:r w:rsidRPr="00B153ED">
              <w:t>Product Coverage</w:t>
            </w:r>
          </w:p>
        </w:tc>
        <w:tc>
          <w:tcPr>
            <w:tcW w:w="4519" w:type="dxa"/>
          </w:tcPr>
          <w:p w14:paraId="45E3E215" w14:textId="75A3BB3C" w:rsidR="006079CD" w:rsidRPr="00B153ED" w:rsidRDefault="006079CD" w:rsidP="004B55E1">
            <w:pPr>
              <w:cnfStyle w:val="000000000000" w:firstRow="0" w:lastRow="0" w:firstColumn="0" w:lastColumn="0" w:oddVBand="0" w:evenVBand="0" w:oddHBand="0" w:evenHBand="0" w:firstRowFirstColumn="0" w:firstRowLastColumn="0" w:lastRowFirstColumn="0" w:lastRowLastColumn="0"/>
            </w:pPr>
            <w:r w:rsidRPr="00B153ED">
              <w:t xml:space="preserve">Select </w:t>
            </w:r>
            <w:r w:rsidR="00A466C9" w:rsidRPr="00B153ED">
              <w:t xml:space="preserve">only </w:t>
            </w:r>
            <w:r w:rsidRPr="00B153ED">
              <w:t xml:space="preserve">from the </w:t>
            </w:r>
            <w:proofErr w:type="gramStart"/>
            <w:r w:rsidRPr="00B153ED">
              <w:t>drop down</w:t>
            </w:r>
            <w:proofErr w:type="gramEnd"/>
            <w:r w:rsidRPr="00B153ED">
              <w:t xml:space="preserve"> list.</w:t>
            </w:r>
          </w:p>
        </w:tc>
        <w:tc>
          <w:tcPr>
            <w:tcW w:w="2998" w:type="dxa"/>
          </w:tcPr>
          <w:p w14:paraId="52652262" w14:textId="77777777" w:rsidR="006079CD" w:rsidRPr="00B153ED" w:rsidRDefault="006079CD" w:rsidP="00B153ED">
            <w:pPr>
              <w:cnfStyle w:val="000000000000" w:firstRow="0" w:lastRow="0" w:firstColumn="0" w:lastColumn="0" w:oddVBand="0" w:evenVBand="0" w:oddHBand="0" w:evenHBand="0" w:firstRowFirstColumn="0" w:firstRowLastColumn="0" w:lastRowFirstColumn="0" w:lastRowLastColumn="0"/>
            </w:pPr>
            <w:r w:rsidRPr="00B153ED">
              <w:t>Drop down list:</w:t>
            </w:r>
          </w:p>
          <w:p w14:paraId="0CE4F2E1"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Hospital = Hospital treatment only</w:t>
            </w:r>
          </w:p>
          <w:p w14:paraId="46465D15"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General = General treatment only</w:t>
            </w:r>
          </w:p>
          <w:p w14:paraId="146DC313"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Combined = Combined Hospital and General Treatment</w:t>
            </w:r>
          </w:p>
          <w:p w14:paraId="51E17E94"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 xml:space="preserve">General Ambulance = </w:t>
            </w:r>
            <w:proofErr w:type="spellStart"/>
            <w:r w:rsidRPr="00B153ED">
              <w:t>AmbulanceOnly</w:t>
            </w:r>
            <w:proofErr w:type="spellEnd"/>
          </w:p>
        </w:tc>
      </w:tr>
      <w:tr w:rsidR="00930744" w:rsidRPr="00B153ED" w14:paraId="64AF7A47"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6E615758" w14:textId="047B5BDF" w:rsidR="006079CD" w:rsidRPr="00B153ED" w:rsidRDefault="00B173D7" w:rsidP="004B55E1">
            <w:r>
              <w:t>H</w:t>
            </w:r>
            <w:r w:rsidRPr="00B153ED">
              <w:t xml:space="preserve">ospital category as at 1 </w:t>
            </w:r>
            <w:proofErr w:type="spellStart"/>
            <w:r w:rsidRPr="00B153ED">
              <w:t>april</w:t>
            </w:r>
            <w:proofErr w:type="spellEnd"/>
            <w:r w:rsidRPr="00B153ED">
              <w:t xml:space="preserve"> 2023</w:t>
            </w:r>
          </w:p>
        </w:tc>
        <w:tc>
          <w:tcPr>
            <w:tcW w:w="4519" w:type="dxa"/>
          </w:tcPr>
          <w:p w14:paraId="2760AE1A" w14:textId="77777777" w:rsidR="00806E68" w:rsidRPr="004B55E1" w:rsidRDefault="006079CD" w:rsidP="004B55E1">
            <w:pPr>
              <w:cnfStyle w:val="000000000000" w:firstRow="0" w:lastRow="0" w:firstColumn="0" w:lastColumn="0" w:oddVBand="0" w:evenVBand="0" w:oddHBand="0" w:evenHBand="0" w:firstRowFirstColumn="0" w:firstRowLastColumn="0" w:lastRowFirstColumn="0" w:lastRowLastColumn="0"/>
            </w:pPr>
            <w:r w:rsidRPr="00B153ED">
              <w:t xml:space="preserve">Select </w:t>
            </w:r>
            <w:r w:rsidR="00A466C9" w:rsidRPr="00B153ED">
              <w:t xml:space="preserve">only </w:t>
            </w:r>
            <w:r w:rsidRPr="00B153ED">
              <w:t xml:space="preserve">from the </w:t>
            </w:r>
            <w:proofErr w:type="gramStart"/>
            <w:r w:rsidRPr="00B153ED">
              <w:t>drop down</w:t>
            </w:r>
            <w:proofErr w:type="gramEnd"/>
            <w:r w:rsidRPr="00B153ED">
              <w:t xml:space="preserve"> list. This should be consistent with the information recorded in the PHIS for the product with that </w:t>
            </w:r>
            <w:proofErr w:type="gramStart"/>
            <w:r w:rsidRPr="00B153ED">
              <w:t>particular unique</w:t>
            </w:r>
            <w:proofErr w:type="gramEnd"/>
            <w:r w:rsidRPr="00B153ED">
              <w:t xml:space="preserve"> product identification code. Leave blank for general products.</w:t>
            </w:r>
            <w:r w:rsidR="00483F32" w:rsidRPr="004B55E1">
              <w:t xml:space="preserve"> </w:t>
            </w:r>
          </w:p>
        </w:tc>
        <w:tc>
          <w:tcPr>
            <w:tcW w:w="2998" w:type="dxa"/>
          </w:tcPr>
          <w:p w14:paraId="4303DAE9" w14:textId="77777777" w:rsidR="006079CD" w:rsidRPr="00B153ED" w:rsidRDefault="006079CD" w:rsidP="00B153ED">
            <w:pPr>
              <w:cnfStyle w:val="000000000000" w:firstRow="0" w:lastRow="0" w:firstColumn="0" w:lastColumn="0" w:oddVBand="0" w:evenVBand="0" w:oddHBand="0" w:evenHBand="0" w:firstRowFirstColumn="0" w:firstRowLastColumn="0" w:lastRowFirstColumn="0" w:lastRowLastColumn="0"/>
            </w:pPr>
            <w:r w:rsidRPr="00B153ED">
              <w:t>Drop down list:</w:t>
            </w:r>
          </w:p>
          <w:p w14:paraId="05F1F0B8"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Gold</w:t>
            </w:r>
          </w:p>
          <w:p w14:paraId="2DAC6EAE"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Silver Plus</w:t>
            </w:r>
          </w:p>
          <w:p w14:paraId="4B1EC6A7"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Silver</w:t>
            </w:r>
          </w:p>
          <w:p w14:paraId="76B7CC68"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Bronze Plus</w:t>
            </w:r>
          </w:p>
          <w:p w14:paraId="0429A686"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Bronze</w:t>
            </w:r>
          </w:p>
          <w:p w14:paraId="4CE61628"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Basic Plus</w:t>
            </w:r>
          </w:p>
          <w:p w14:paraId="31ECCE34"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Basic</w:t>
            </w:r>
          </w:p>
        </w:tc>
      </w:tr>
      <w:tr w:rsidR="00930744" w:rsidRPr="00B153ED" w14:paraId="5483485C"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3AF2EA62" w14:textId="68861C82" w:rsidR="006079CD" w:rsidRPr="00B153ED" w:rsidRDefault="00B173D7" w:rsidP="004B55E1">
            <w:r w:rsidRPr="00B153ED">
              <w:t>Insured Group</w:t>
            </w:r>
          </w:p>
        </w:tc>
        <w:tc>
          <w:tcPr>
            <w:tcW w:w="4519" w:type="dxa"/>
          </w:tcPr>
          <w:p w14:paraId="14167D5B" w14:textId="1E45C503" w:rsidR="008179A1" w:rsidRPr="00B153ED" w:rsidRDefault="008179A1" w:rsidP="004B55E1">
            <w:pPr>
              <w:cnfStyle w:val="000000000000" w:firstRow="0" w:lastRow="0" w:firstColumn="0" w:lastColumn="0" w:oddVBand="0" w:evenVBand="0" w:oddHBand="0" w:evenHBand="0" w:firstRowFirstColumn="0" w:firstRowLastColumn="0" w:lastRowFirstColumn="0" w:lastRowLastColumn="0"/>
            </w:pPr>
            <w:r w:rsidRPr="00B153ED">
              <w:t xml:space="preserve">Select </w:t>
            </w:r>
            <w:r w:rsidR="007D6F5F" w:rsidRPr="00B153ED">
              <w:t xml:space="preserve">only </w:t>
            </w:r>
            <w:r w:rsidRPr="00B153ED">
              <w:t xml:space="preserve">from the </w:t>
            </w:r>
            <w:proofErr w:type="gramStart"/>
            <w:r w:rsidRPr="00B153ED">
              <w:t>drop down</w:t>
            </w:r>
            <w:proofErr w:type="gramEnd"/>
            <w:r w:rsidRPr="00B153ED">
              <w:t xml:space="preserve"> list</w:t>
            </w:r>
            <w:r w:rsidR="007D6F5F" w:rsidRPr="00B153ED">
              <w:t>.</w:t>
            </w:r>
          </w:p>
          <w:p w14:paraId="3DD3D809" w14:textId="77777777" w:rsidR="006079CD" w:rsidRPr="00B153ED" w:rsidRDefault="006079CD" w:rsidP="004B55E1">
            <w:pPr>
              <w:cnfStyle w:val="000000000000" w:firstRow="0" w:lastRow="0" w:firstColumn="0" w:lastColumn="0" w:oddVBand="0" w:evenVBand="0" w:oddHBand="0" w:evenHBand="0" w:firstRowFirstColumn="0" w:firstRowLastColumn="0" w:lastRowFirstColumn="0" w:lastRowLastColumn="0"/>
            </w:pPr>
            <w:r w:rsidRPr="00B153ED">
              <w:t>Enter information for each product subgroup separately even if different insured groups have the same price (</w:t>
            </w:r>
            <w:proofErr w:type="gramStart"/>
            <w:r w:rsidRPr="00B153ED">
              <w:t>e.g.</w:t>
            </w:r>
            <w:proofErr w:type="gramEnd"/>
            <w:r w:rsidRPr="00B153ED">
              <w:t xml:space="preserve"> include couples information in a separate row from </w:t>
            </w:r>
            <w:r w:rsidR="00B57966" w:rsidRPr="00B153ED">
              <w:t>family’s</w:t>
            </w:r>
            <w:r w:rsidRPr="00B153ED">
              <w:t xml:space="preserve"> information even if they have the same prices</w:t>
            </w:r>
            <w:r w:rsidR="00D652D9" w:rsidRPr="00B153ED">
              <w:t>, if they have different PHIS’s</w:t>
            </w:r>
            <w:r w:rsidRPr="00B153ED">
              <w:t>).</w:t>
            </w:r>
          </w:p>
        </w:tc>
        <w:tc>
          <w:tcPr>
            <w:tcW w:w="2998" w:type="dxa"/>
          </w:tcPr>
          <w:p w14:paraId="0313B228" w14:textId="77777777" w:rsidR="006079CD" w:rsidRPr="00B153ED" w:rsidRDefault="006079CD" w:rsidP="00B153ED">
            <w:pPr>
              <w:cnfStyle w:val="000000000000" w:firstRow="0" w:lastRow="0" w:firstColumn="0" w:lastColumn="0" w:oddVBand="0" w:evenVBand="0" w:oddHBand="0" w:evenHBand="0" w:firstRowFirstColumn="0" w:firstRowLastColumn="0" w:lastRowFirstColumn="0" w:lastRowLastColumn="0"/>
            </w:pPr>
            <w:r w:rsidRPr="00B153ED">
              <w:t>Drop down list:</w:t>
            </w:r>
          </w:p>
          <w:p w14:paraId="25A656B0"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proofErr w:type="spellStart"/>
            <w:r w:rsidRPr="00B153ED">
              <w:t>ChildrenOnly</w:t>
            </w:r>
            <w:proofErr w:type="spellEnd"/>
          </w:p>
          <w:p w14:paraId="79587394"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Couple</w:t>
            </w:r>
          </w:p>
          <w:p w14:paraId="5156FD36"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proofErr w:type="spellStart"/>
            <w:r w:rsidRPr="00B153ED">
              <w:t>ExtendedFamily</w:t>
            </w:r>
            <w:proofErr w:type="spellEnd"/>
          </w:p>
          <w:p w14:paraId="113CD19E"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proofErr w:type="spellStart"/>
            <w:r w:rsidRPr="00B153ED">
              <w:t>ExtendedSingleParentFamily</w:t>
            </w:r>
            <w:proofErr w:type="spellEnd"/>
          </w:p>
          <w:p w14:paraId="65425B6F"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Family</w:t>
            </w:r>
          </w:p>
          <w:p w14:paraId="3DBAA4A4"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Single</w:t>
            </w:r>
          </w:p>
          <w:p w14:paraId="3C4AEFF6"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proofErr w:type="spellStart"/>
            <w:r w:rsidRPr="00B153ED">
              <w:t>SingleParentFamily</w:t>
            </w:r>
            <w:proofErr w:type="spellEnd"/>
          </w:p>
          <w:p w14:paraId="21E475AE" w14:textId="77777777" w:rsidR="006079CD" w:rsidRPr="00B153ED" w:rsidRDefault="006079CD" w:rsidP="00B173D7">
            <w:pPr>
              <w:pStyle w:val="ListBullet"/>
              <w:cnfStyle w:val="000000000000" w:firstRow="0" w:lastRow="0" w:firstColumn="0" w:lastColumn="0" w:oddVBand="0" w:evenVBand="0" w:oddHBand="0" w:evenHBand="0" w:firstRowFirstColumn="0" w:firstRowLastColumn="0" w:lastRowFirstColumn="0" w:lastRowLastColumn="0"/>
            </w:pPr>
            <w:r w:rsidRPr="00B153ED">
              <w:t>3+Adults</w:t>
            </w:r>
          </w:p>
        </w:tc>
      </w:tr>
      <w:tr w:rsidR="00930744" w:rsidRPr="00B153ED" w14:paraId="7B0137B4"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4B7BDB72" w14:textId="2FF3A7B6" w:rsidR="006079CD" w:rsidRPr="00B153ED" w:rsidRDefault="00B173D7" w:rsidP="004B55E1">
            <w:r>
              <w:t>A</w:t>
            </w:r>
            <w:r w:rsidRPr="00B153ED">
              <w:t xml:space="preserve">nnual excess as at 1 </w:t>
            </w:r>
            <w:proofErr w:type="spellStart"/>
            <w:r w:rsidRPr="00B153ED">
              <w:t>april</w:t>
            </w:r>
            <w:proofErr w:type="spellEnd"/>
            <w:r w:rsidRPr="00B153ED">
              <w:t xml:space="preserve"> 2023</w:t>
            </w:r>
          </w:p>
        </w:tc>
        <w:tc>
          <w:tcPr>
            <w:tcW w:w="4519" w:type="dxa"/>
          </w:tcPr>
          <w:p w14:paraId="699E7F13" w14:textId="77777777" w:rsidR="006079CD" w:rsidRPr="00B153ED" w:rsidRDefault="006079CD" w:rsidP="004B55E1">
            <w:pPr>
              <w:cnfStyle w:val="000000000000" w:firstRow="0" w:lastRow="0" w:firstColumn="0" w:lastColumn="0" w:oddVBand="0" w:evenVBand="0" w:oddHBand="0" w:evenHBand="0" w:firstRowFirstColumn="0" w:firstRowLastColumn="0" w:lastRowFirstColumn="0" w:lastRowLastColumn="0"/>
            </w:pPr>
            <w:r w:rsidRPr="00B153ED">
              <w:t xml:space="preserve">Enter the amount of the excess for the product as </w:t>
            </w:r>
            <w:proofErr w:type="gramStart"/>
            <w:r w:rsidRPr="00B153ED">
              <w:t>at</w:t>
            </w:r>
            <w:proofErr w:type="gramEnd"/>
            <w:r w:rsidRPr="00B153ED">
              <w:t xml:space="preserve"> 1 April </w:t>
            </w:r>
            <w:r w:rsidR="00110B68" w:rsidRPr="00B153ED">
              <w:t>202</w:t>
            </w:r>
            <w:r w:rsidR="00DB051D" w:rsidRPr="00B153ED">
              <w:t>2</w:t>
            </w:r>
            <w:r w:rsidRPr="00B153ED">
              <w:t>.  This is the maximum annual excess for the policy</w:t>
            </w:r>
            <w:r w:rsidR="00110B68" w:rsidRPr="00B153ED">
              <w:t>.</w:t>
            </w:r>
            <w:r w:rsidR="00B57966" w:rsidRPr="00B153ED">
              <w:t xml:space="preserve">  </w:t>
            </w:r>
            <w:r w:rsidR="00110B68" w:rsidRPr="00B153ED">
              <w:t>For example,</w:t>
            </w:r>
            <w:r w:rsidRPr="00B153ED">
              <w:t xml:space="preserve"> $500 should be entered if the excess is $250 per admission per </w:t>
            </w:r>
            <w:r w:rsidRPr="00B153ED">
              <w:lastRenderedPageBreak/>
              <w:t xml:space="preserve">person but limited to a maximum of $500 per year.  This should be consistent with the information recorded in the PHIS for the product with that </w:t>
            </w:r>
            <w:proofErr w:type="gramStart"/>
            <w:r w:rsidRPr="00B153ED">
              <w:t>particular unique</w:t>
            </w:r>
            <w:proofErr w:type="gramEnd"/>
            <w:r w:rsidRPr="00B153ED">
              <w:t xml:space="preserve"> product identification code.</w:t>
            </w:r>
          </w:p>
        </w:tc>
        <w:tc>
          <w:tcPr>
            <w:tcW w:w="2998" w:type="dxa"/>
          </w:tcPr>
          <w:p w14:paraId="007DF3DE" w14:textId="77777777" w:rsidR="006079CD" w:rsidRPr="00B153ED" w:rsidRDefault="006079CD" w:rsidP="004B55E1">
            <w:pPr>
              <w:cnfStyle w:val="000000000000" w:firstRow="0" w:lastRow="0" w:firstColumn="0" w:lastColumn="0" w:oddVBand="0" w:evenVBand="0" w:oddHBand="0" w:evenHBand="0" w:firstRowFirstColumn="0" w:firstRowLastColumn="0" w:lastRowFirstColumn="0" w:lastRowLastColumn="0"/>
            </w:pPr>
            <w:r w:rsidRPr="00B153ED">
              <w:lastRenderedPageBreak/>
              <w:t>$500</w:t>
            </w:r>
          </w:p>
        </w:tc>
      </w:tr>
      <w:tr w:rsidR="00BD6044" w:rsidRPr="00B153ED" w14:paraId="6B849979"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78C2ED19" w14:textId="2CDEBE42" w:rsidR="00BD6044" w:rsidRPr="00B153ED" w:rsidRDefault="00B173D7" w:rsidP="00B173D7">
            <w:r>
              <w:t>A</w:t>
            </w:r>
            <w:r w:rsidRPr="00B153ED">
              <w:t xml:space="preserve">nnual co-payment as at 1 </w:t>
            </w:r>
            <w:proofErr w:type="spellStart"/>
            <w:r w:rsidRPr="00B153ED">
              <w:t>april</w:t>
            </w:r>
            <w:proofErr w:type="spellEnd"/>
            <w:r w:rsidRPr="00B153ED">
              <w:t xml:space="preserve"> 2023 </w:t>
            </w:r>
          </w:p>
        </w:tc>
        <w:tc>
          <w:tcPr>
            <w:tcW w:w="4519" w:type="dxa"/>
          </w:tcPr>
          <w:p w14:paraId="791EFF2D" w14:textId="1763B596"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r w:rsidRPr="00B153ED">
              <w:t xml:space="preserve">Enter the maximum annual total co-payment amount for the product as </w:t>
            </w:r>
            <w:proofErr w:type="gramStart"/>
            <w:r w:rsidRPr="00B153ED">
              <w:t>at</w:t>
            </w:r>
            <w:proofErr w:type="gramEnd"/>
            <w:r w:rsidRPr="00B153ED">
              <w:t xml:space="preserve"> 1 April 2023. For example, enter $500 if the co-payment is $50 per admission for every admission up to a maximum of $500 per year.  If no cap exists, enter “no cap”.</w:t>
            </w:r>
          </w:p>
        </w:tc>
        <w:tc>
          <w:tcPr>
            <w:tcW w:w="2998" w:type="dxa"/>
          </w:tcPr>
          <w:p w14:paraId="1D8DFF37" w14:textId="3E3DD9D7"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r w:rsidRPr="00B153ED">
              <w:t>$500 or “no cap”</w:t>
            </w:r>
          </w:p>
        </w:tc>
      </w:tr>
      <w:tr w:rsidR="00BD6044" w:rsidRPr="00B153ED" w14:paraId="3EB1F395"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0B40347D" w14:textId="6081B9A7" w:rsidR="00BD6044" w:rsidRPr="00B153ED" w:rsidRDefault="00B173D7" w:rsidP="00B153ED">
            <w:r w:rsidRPr="00B153ED">
              <w:t xml:space="preserve">2022 </w:t>
            </w:r>
            <w:r>
              <w:t>M</w:t>
            </w:r>
            <w:r w:rsidRPr="00B153ED">
              <w:t xml:space="preserve">onthly premium ($) </w:t>
            </w:r>
          </w:p>
        </w:tc>
        <w:tc>
          <w:tcPr>
            <w:tcW w:w="4519" w:type="dxa"/>
          </w:tcPr>
          <w:p w14:paraId="392A6758" w14:textId="3C727EB1"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Enter the approved 1 April 2022 price, regardless of whether this price has been applied or not.</w:t>
            </w:r>
          </w:p>
          <w:p w14:paraId="7E3CB963" w14:textId="3A7BFB72"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Enter the price of all products introduced between 1 April 2022 and 30 September 2022.</w:t>
            </w:r>
          </w:p>
          <w:p w14:paraId="0CC0BE9E" w14:textId="0E2AE2A6"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This price should reflect the full price and exclude the rebate, LHC loadings, and discounts.</w:t>
            </w:r>
          </w:p>
          <w:p w14:paraId="72374EE7" w14:textId="1F9BAF57"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For new products commencing on 1 April 2023, please leave blank.</w:t>
            </w:r>
          </w:p>
        </w:tc>
        <w:tc>
          <w:tcPr>
            <w:tcW w:w="2998" w:type="dxa"/>
          </w:tcPr>
          <w:p w14:paraId="4EDAE5E2" w14:textId="77777777"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r w:rsidRPr="00B153ED">
              <w:t>$100.07</w:t>
            </w:r>
          </w:p>
        </w:tc>
      </w:tr>
      <w:tr w:rsidR="00BD6044" w:rsidRPr="00B153ED" w14:paraId="2F2E2DB7"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4BDA64DC" w14:textId="3E72BF75" w:rsidR="00BD6044" w:rsidRPr="00B153ED" w:rsidRDefault="00B173D7" w:rsidP="00B173D7">
            <w:r w:rsidRPr="00B153ED">
              <w:t xml:space="preserve">2023 </w:t>
            </w:r>
            <w:r>
              <w:t>M</w:t>
            </w:r>
            <w:r w:rsidRPr="00B153ED">
              <w:t xml:space="preserve">onthly premium ($) as at 1 </w:t>
            </w:r>
            <w:proofErr w:type="spellStart"/>
            <w:r w:rsidRPr="00B153ED">
              <w:t>april</w:t>
            </w:r>
            <w:proofErr w:type="spellEnd"/>
            <w:r w:rsidRPr="00B153ED">
              <w:t xml:space="preserve"> 2023 - for all products (new and existing)</w:t>
            </w:r>
          </w:p>
        </w:tc>
        <w:tc>
          <w:tcPr>
            <w:tcW w:w="4519" w:type="dxa"/>
          </w:tcPr>
          <w:p w14:paraId="145C1B93" w14:textId="7D4BCA46"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 xml:space="preserve">Enter the proposed new price per month for the product as </w:t>
            </w:r>
            <w:proofErr w:type="gramStart"/>
            <w:r w:rsidRPr="00B153ED">
              <w:t>at</w:t>
            </w:r>
            <w:proofErr w:type="gramEnd"/>
            <w:r w:rsidRPr="00B153ED">
              <w:t xml:space="preserve"> 1 April 2023, including for new products.  This price should reflect the full price and exclude the rebate, LHC loadings, and discounts.</w:t>
            </w:r>
          </w:p>
          <w:p w14:paraId="4023E8D9" w14:textId="345BBDA4"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For products terminating by 1 April 2023, please enter the 2022 price.</w:t>
            </w:r>
          </w:p>
        </w:tc>
        <w:tc>
          <w:tcPr>
            <w:tcW w:w="2998" w:type="dxa"/>
          </w:tcPr>
          <w:p w14:paraId="3CA8B4D5" w14:textId="77777777"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r w:rsidRPr="00B153ED">
              <w:t>$101.67</w:t>
            </w:r>
          </w:p>
        </w:tc>
      </w:tr>
      <w:tr w:rsidR="00BD6044" w:rsidRPr="00B153ED" w14:paraId="2BC797FC"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199C9342" w14:textId="3585ECC4" w:rsidR="00BD6044" w:rsidRPr="00B153ED" w:rsidRDefault="00B173D7" w:rsidP="00B173D7">
            <w:r>
              <w:t>T</w:t>
            </w:r>
            <w:r w:rsidRPr="00B153ED">
              <w:t xml:space="preserve">otal number of people covered by this product </w:t>
            </w:r>
            <w:r w:rsidRPr="00B153ED">
              <w:lastRenderedPageBreak/>
              <w:t xml:space="preserve">as at 30 </w:t>
            </w:r>
            <w:proofErr w:type="spellStart"/>
            <w:r w:rsidRPr="00B153ED">
              <w:t>september</w:t>
            </w:r>
            <w:proofErr w:type="spellEnd"/>
            <w:r w:rsidRPr="00B153ED">
              <w:t xml:space="preserve"> 2022 </w:t>
            </w:r>
          </w:p>
        </w:tc>
        <w:tc>
          <w:tcPr>
            <w:tcW w:w="4519" w:type="dxa"/>
          </w:tcPr>
          <w:p w14:paraId="26CA1349" w14:textId="2E0B9A4A"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lastRenderedPageBreak/>
              <w:t xml:space="preserve">Enter the total number of people covered by the policies comprising the insured group for the particular product as </w:t>
            </w:r>
            <w:proofErr w:type="gramStart"/>
            <w:r w:rsidRPr="00B153ED">
              <w:t>at</w:t>
            </w:r>
            <w:proofErr w:type="gramEnd"/>
            <w:r w:rsidRPr="00B153ED">
              <w:t xml:space="preserve"> 30 September 2022 (e.g. number </w:t>
            </w:r>
            <w:r w:rsidRPr="00B153ED">
              <w:lastRenderedPageBreak/>
              <w:t>of people covered by family policies for the product).  Do not record SEUs.</w:t>
            </w:r>
          </w:p>
          <w:p w14:paraId="484BF78E" w14:textId="3546012E"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Please leave blank for new products commencing on 1 April 2023.</w:t>
            </w:r>
          </w:p>
        </w:tc>
        <w:tc>
          <w:tcPr>
            <w:tcW w:w="2998" w:type="dxa"/>
          </w:tcPr>
          <w:p w14:paraId="2564EC3D" w14:textId="77777777"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lastRenderedPageBreak/>
              <w:t>2,000</w:t>
            </w:r>
          </w:p>
        </w:tc>
      </w:tr>
      <w:tr w:rsidR="00BD6044" w:rsidRPr="00B153ED" w14:paraId="14A76C20"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231E5E63" w14:textId="58DE4646" w:rsidR="00BD6044" w:rsidRPr="00B153ED" w:rsidRDefault="00B173D7" w:rsidP="00B173D7">
            <w:r>
              <w:t>T</w:t>
            </w:r>
            <w:r w:rsidRPr="00B153ED">
              <w:t xml:space="preserve">otal number of policies covered by this product as at 30 </w:t>
            </w:r>
            <w:proofErr w:type="spellStart"/>
            <w:r w:rsidRPr="00B153ED">
              <w:t>september</w:t>
            </w:r>
            <w:proofErr w:type="spellEnd"/>
            <w:r w:rsidRPr="00B153ED">
              <w:t xml:space="preserve"> 2022</w:t>
            </w:r>
          </w:p>
        </w:tc>
        <w:tc>
          <w:tcPr>
            <w:tcW w:w="4519" w:type="dxa"/>
          </w:tcPr>
          <w:p w14:paraId="5F17CC83" w14:textId="5DB619E0"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r w:rsidRPr="00B173D7">
              <w:t xml:space="preserve">Enter the total number of </w:t>
            </w:r>
            <w:r w:rsidRPr="00B153ED">
              <w:t>policies</w:t>
            </w:r>
            <w:r w:rsidRPr="00B173D7">
              <w:t xml:space="preserve"> comprising the insured group for the particular product as </w:t>
            </w:r>
            <w:proofErr w:type="gramStart"/>
            <w:r w:rsidRPr="00B173D7">
              <w:t>at</w:t>
            </w:r>
            <w:proofErr w:type="gramEnd"/>
            <w:r w:rsidRPr="00B173D7">
              <w:t xml:space="preserve"> 30 September 2022 (e.g. number of couple’s policies for the product).  </w:t>
            </w:r>
            <w:r w:rsidRPr="00B153ED">
              <w:t>Do not record SEUs.</w:t>
            </w:r>
          </w:p>
          <w:p w14:paraId="38FB372D" w14:textId="64DA660C"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Please leave blank for new products commencing on 1 April 2023.</w:t>
            </w:r>
          </w:p>
        </w:tc>
        <w:tc>
          <w:tcPr>
            <w:tcW w:w="2998" w:type="dxa"/>
          </w:tcPr>
          <w:p w14:paraId="18807F7C" w14:textId="77777777"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1,000</w:t>
            </w:r>
          </w:p>
        </w:tc>
      </w:tr>
      <w:tr w:rsidR="00BD6044" w:rsidRPr="00B153ED" w14:paraId="520F9BFE"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75EBC450" w14:textId="0310A0DB" w:rsidR="00BD6044" w:rsidRPr="00B153ED" w:rsidRDefault="00B173D7" w:rsidP="00B173D7">
            <w:r>
              <w:t>A</w:t>
            </w:r>
            <w:r w:rsidRPr="00B153ED">
              <w:t>verage age-based discount conversion factor 2022</w:t>
            </w:r>
          </w:p>
        </w:tc>
        <w:tc>
          <w:tcPr>
            <w:tcW w:w="4519" w:type="dxa"/>
          </w:tcPr>
          <w:p w14:paraId="70D73635" w14:textId="359560C8"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The average aged-based discount conversion factor applied in the 2022 premium round should be applied. 100% should be applied to products that did not have an age-based discount in 2022.</w:t>
            </w:r>
          </w:p>
        </w:tc>
        <w:tc>
          <w:tcPr>
            <w:tcW w:w="2998" w:type="dxa"/>
          </w:tcPr>
          <w:p w14:paraId="0B4786EB" w14:textId="77777777"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p>
        </w:tc>
      </w:tr>
      <w:tr w:rsidR="00BD6044" w:rsidRPr="00B153ED" w14:paraId="5B92BC5B"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3BE04913" w14:textId="49EAC2CC" w:rsidR="00BD6044" w:rsidRPr="00B153ED" w:rsidRDefault="00B173D7" w:rsidP="00B173D7">
            <w:r>
              <w:t>A</w:t>
            </w:r>
            <w:r w:rsidRPr="00B153ED">
              <w:t>verage age-based discount conversion factor 2023</w:t>
            </w:r>
          </w:p>
        </w:tc>
        <w:tc>
          <w:tcPr>
            <w:tcW w:w="4519" w:type="dxa"/>
          </w:tcPr>
          <w:p w14:paraId="266023AA" w14:textId="44C98278"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The average aged-based discount conversion factor applied to all policies on this product. 100% should be applied to products that do not have age-based discounts or for all new products.</w:t>
            </w:r>
          </w:p>
        </w:tc>
        <w:tc>
          <w:tcPr>
            <w:tcW w:w="2998" w:type="dxa"/>
          </w:tcPr>
          <w:p w14:paraId="5144E85B" w14:textId="77777777"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p>
        </w:tc>
      </w:tr>
      <w:tr w:rsidR="00BD6044" w:rsidRPr="00B153ED" w14:paraId="1C7FB069"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2750CBF9" w14:textId="06035A55" w:rsidR="00BD6044" w:rsidRPr="00B153ED" w:rsidRDefault="00B173D7" w:rsidP="00B173D7">
            <w:r>
              <w:t>A</w:t>
            </w:r>
            <w:r w:rsidRPr="00B153ED">
              <w:t>verage age-based discount conversion factor net</w:t>
            </w:r>
          </w:p>
        </w:tc>
        <w:tc>
          <w:tcPr>
            <w:tcW w:w="4519" w:type="dxa"/>
          </w:tcPr>
          <w:p w14:paraId="61ADCBEC" w14:textId="77095490"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This is an automated field that calculates the 2022 aged-based factor less the 2023 aged-based factor.  This provides a net factor for 2023 calculations.</w:t>
            </w:r>
          </w:p>
        </w:tc>
        <w:tc>
          <w:tcPr>
            <w:tcW w:w="2998" w:type="dxa"/>
          </w:tcPr>
          <w:p w14:paraId="63750CFA" w14:textId="77777777"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p>
        </w:tc>
      </w:tr>
      <w:tr w:rsidR="00BD6044" w:rsidRPr="00B153ED" w14:paraId="5012541F"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699F5A99" w14:textId="0F48AE8C" w:rsidR="00BD6044" w:rsidRPr="00B153ED" w:rsidRDefault="00B173D7" w:rsidP="00B173D7">
            <w:r>
              <w:t>M</w:t>
            </w:r>
            <w:r w:rsidRPr="00B153ED">
              <w:t xml:space="preserve">onthly income from product </w:t>
            </w:r>
          </w:p>
        </w:tc>
        <w:tc>
          <w:tcPr>
            <w:tcW w:w="4519" w:type="dxa"/>
          </w:tcPr>
          <w:p w14:paraId="2163911A" w14:textId="539C134B"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 xml:space="preserve">This is an automated field that calculates the 2022 monthly income from all policies on the product based on 2022 monthly premium in column K multiplied by the total number of policies covered by this product as </w:t>
            </w:r>
            <w:proofErr w:type="gramStart"/>
            <w:r w:rsidRPr="00B153ED">
              <w:t>at</w:t>
            </w:r>
            <w:proofErr w:type="gramEnd"/>
            <w:r w:rsidRPr="00B153ED">
              <w:t xml:space="preserve"> 30 September 2022 in column N. Because there will be zero policies in column N </w:t>
            </w:r>
            <w:r w:rsidRPr="00B153ED">
              <w:lastRenderedPageBreak/>
              <w:t>for a proposed new product, this field will be zero for all new products.</w:t>
            </w:r>
          </w:p>
        </w:tc>
        <w:tc>
          <w:tcPr>
            <w:tcW w:w="2998" w:type="dxa"/>
          </w:tcPr>
          <w:p w14:paraId="03C24D0B" w14:textId="77777777"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p>
        </w:tc>
      </w:tr>
      <w:tr w:rsidR="00BD6044" w:rsidRPr="00B153ED" w14:paraId="53EAD49A"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6A31FAC8" w14:textId="670CF315" w:rsidR="00BD6044" w:rsidRPr="00B153ED" w:rsidRDefault="00B173D7" w:rsidP="00B173D7">
            <w:r w:rsidRPr="00B153ED">
              <w:t>2023 premium increase ($)</w:t>
            </w:r>
          </w:p>
        </w:tc>
        <w:tc>
          <w:tcPr>
            <w:tcW w:w="4519" w:type="dxa"/>
          </w:tcPr>
          <w:p w14:paraId="1A6EBC7A" w14:textId="6145F8EE"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This is an automated field that calculates the dollar value of the premium change between the 2023 monthly premium price and the 2022 premium price. For new products this field will be automatically flagged as a ‘new’ product. For terminating products this field will be automatically flagged as “terminating”.</w:t>
            </w:r>
          </w:p>
        </w:tc>
        <w:tc>
          <w:tcPr>
            <w:tcW w:w="2998" w:type="dxa"/>
          </w:tcPr>
          <w:p w14:paraId="2541446D" w14:textId="77777777"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p>
        </w:tc>
      </w:tr>
      <w:tr w:rsidR="00BD6044" w:rsidRPr="00B153ED" w14:paraId="2A3659F2" w14:textId="77777777" w:rsidTr="00B153ED">
        <w:tc>
          <w:tcPr>
            <w:cnfStyle w:val="001000000000" w:firstRow="0" w:lastRow="0" w:firstColumn="1" w:lastColumn="0" w:oddVBand="0" w:evenVBand="0" w:oddHBand="0" w:evenHBand="0" w:firstRowFirstColumn="0" w:firstRowLastColumn="0" w:lastRowFirstColumn="0" w:lastRowLastColumn="0"/>
            <w:tcW w:w="1555" w:type="dxa"/>
          </w:tcPr>
          <w:p w14:paraId="72EAEAF7" w14:textId="618B2B09" w:rsidR="00BD6044" w:rsidRPr="00B153ED" w:rsidRDefault="00B173D7" w:rsidP="00B173D7">
            <w:r w:rsidRPr="00B153ED">
              <w:t xml:space="preserve">2023 </w:t>
            </w:r>
            <w:r>
              <w:t>P</w:t>
            </w:r>
            <w:r w:rsidRPr="00B153ED">
              <w:t>remium increase (%)</w:t>
            </w:r>
          </w:p>
        </w:tc>
        <w:tc>
          <w:tcPr>
            <w:tcW w:w="4519" w:type="dxa"/>
          </w:tcPr>
          <w:p w14:paraId="3944E976" w14:textId="5BF8D06F"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This is an automated field that calculates the percentage change of the premium change between the 2023 monthly premium price and the 2022 premium price.  For new products this field will be automatically flagged as a ‘new’ product. For terminating products this field will be automatically flagged as “terminating”.</w:t>
            </w:r>
          </w:p>
        </w:tc>
        <w:tc>
          <w:tcPr>
            <w:tcW w:w="2998" w:type="dxa"/>
          </w:tcPr>
          <w:p w14:paraId="23BD24B8" w14:textId="77777777"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p>
        </w:tc>
      </w:tr>
      <w:tr w:rsidR="00BD6044" w:rsidRPr="00B153ED" w14:paraId="7726EBCC" w14:textId="77777777" w:rsidTr="00B153ED">
        <w:trPr>
          <w:trHeight w:val="1678"/>
        </w:trPr>
        <w:tc>
          <w:tcPr>
            <w:cnfStyle w:val="001000000000" w:firstRow="0" w:lastRow="0" w:firstColumn="1" w:lastColumn="0" w:oddVBand="0" w:evenVBand="0" w:oddHBand="0" w:evenHBand="0" w:firstRowFirstColumn="0" w:firstRowLastColumn="0" w:lastRowFirstColumn="0" w:lastRowLastColumn="0"/>
            <w:tcW w:w="1555" w:type="dxa"/>
          </w:tcPr>
          <w:p w14:paraId="02256E1D" w14:textId="750E8AFF" w:rsidR="00BD6044" w:rsidRPr="00B153ED" w:rsidRDefault="00B173D7" w:rsidP="00B173D7">
            <w:r w:rsidRPr="00B153ED">
              <w:t xml:space="preserve">2023 </w:t>
            </w:r>
            <w:r>
              <w:t>M</w:t>
            </w:r>
            <w:r w:rsidRPr="00B153ED">
              <w:t xml:space="preserve">onthly income from product </w:t>
            </w:r>
          </w:p>
        </w:tc>
        <w:tc>
          <w:tcPr>
            <w:tcW w:w="4519" w:type="dxa"/>
          </w:tcPr>
          <w:p w14:paraId="70FDEFCD" w14:textId="69EEE5C2"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 xml:space="preserve">This is an automated field that calculates the 2023 monthly income for all policies on the product based on the 2023 monthly premium multiplied by the total number of policies covered by this product as </w:t>
            </w:r>
            <w:proofErr w:type="gramStart"/>
            <w:r w:rsidRPr="00B153ED">
              <w:t>at</w:t>
            </w:r>
            <w:proofErr w:type="gramEnd"/>
            <w:r w:rsidRPr="00B153ED">
              <w:t xml:space="preserve"> 30 September 2022. Because there will be zero policies for a proposed new product, this field will be zero for all new products.</w:t>
            </w:r>
          </w:p>
        </w:tc>
        <w:tc>
          <w:tcPr>
            <w:tcW w:w="2998" w:type="dxa"/>
          </w:tcPr>
          <w:p w14:paraId="58E57E30" w14:textId="77777777"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p>
        </w:tc>
      </w:tr>
      <w:tr w:rsidR="00BD6044" w:rsidRPr="00B153ED" w14:paraId="3EC66430" w14:textId="77777777" w:rsidTr="00B153ED">
        <w:trPr>
          <w:trHeight w:val="1678"/>
        </w:trPr>
        <w:tc>
          <w:tcPr>
            <w:cnfStyle w:val="001000000000" w:firstRow="0" w:lastRow="0" w:firstColumn="1" w:lastColumn="0" w:oddVBand="0" w:evenVBand="0" w:oddHBand="0" w:evenHBand="0" w:firstRowFirstColumn="0" w:firstRowLastColumn="0" w:lastRowFirstColumn="0" w:lastRowLastColumn="0"/>
            <w:tcW w:w="1555" w:type="dxa"/>
          </w:tcPr>
          <w:p w14:paraId="1027B5EB" w14:textId="2EF01AAF" w:rsidR="00BD6044" w:rsidRPr="00B153ED" w:rsidRDefault="00B173D7" w:rsidP="00B173D7">
            <w:r>
              <w:t>E</w:t>
            </w:r>
            <w:r w:rsidRPr="00B153ED">
              <w:t xml:space="preserve">stimated migration of people due to dependent reform over the 12 months </w:t>
            </w:r>
            <w:r w:rsidRPr="00B153ED">
              <w:lastRenderedPageBreak/>
              <w:t>from 1 </w:t>
            </w:r>
            <w:proofErr w:type="spellStart"/>
            <w:r w:rsidRPr="00B153ED">
              <w:t>april</w:t>
            </w:r>
            <w:proofErr w:type="spellEnd"/>
            <w:r w:rsidRPr="00B153ED">
              <w:t xml:space="preserve"> 2023</w:t>
            </w:r>
          </w:p>
        </w:tc>
        <w:tc>
          <w:tcPr>
            <w:tcW w:w="4519" w:type="dxa"/>
          </w:tcPr>
          <w:p w14:paraId="5E7AB1C4" w14:textId="77777777"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lastRenderedPageBreak/>
              <w:t xml:space="preserve">Estimate the number of people included in “TOTAL NUMBER OF PEOPLE COVERED BY THIS PRODUCT as at </w:t>
            </w:r>
          </w:p>
          <w:p w14:paraId="24028B4A" w14:textId="2B4603B2"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 xml:space="preserve">30 September 2022 (Leave blank for new products commencing on 1 April 2023)” that will migrate </w:t>
            </w:r>
            <w:proofErr w:type="gramStart"/>
            <w:r w:rsidRPr="00B153ED">
              <w:t>as a result of</w:t>
            </w:r>
            <w:proofErr w:type="gramEnd"/>
            <w:r w:rsidRPr="00B153ED">
              <w:t xml:space="preserve"> the dependents reform.</w:t>
            </w:r>
          </w:p>
          <w:p w14:paraId="593BDEDB" w14:textId="77777777"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 xml:space="preserve">This number should reflect a movement for either part or all of the forecast </w:t>
            </w:r>
            <w:r w:rsidRPr="00B153ED">
              <w:lastRenderedPageBreak/>
              <w:t xml:space="preserve">contribution income </w:t>
            </w:r>
            <w:proofErr w:type="gramStart"/>
            <w:r w:rsidRPr="00B153ED">
              <w:t>12 month</w:t>
            </w:r>
            <w:proofErr w:type="gramEnd"/>
            <w:r w:rsidRPr="00B153ED">
              <w:t xml:space="preserve"> period, therefore this may be a non-integer. </w:t>
            </w:r>
          </w:p>
          <w:p w14:paraId="292D0E82" w14:textId="77777777"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t>For example:</w:t>
            </w:r>
          </w:p>
          <w:p w14:paraId="40926CA4" w14:textId="77777777" w:rsidR="00BD6044" w:rsidRPr="00792E4A" w:rsidRDefault="00BD6044" w:rsidP="00792E4A">
            <w:pPr>
              <w:pStyle w:val="ListBullet"/>
              <w:cnfStyle w:val="000000000000" w:firstRow="0" w:lastRow="0" w:firstColumn="0" w:lastColumn="0" w:oddVBand="0" w:evenVBand="0" w:oddHBand="0" w:evenHBand="0" w:firstRowFirstColumn="0" w:firstRowLastColumn="0" w:lastRowFirstColumn="0" w:lastRowLastColumn="0"/>
            </w:pPr>
            <w:r w:rsidRPr="00792E4A">
              <w:t>One person migrating for 12 months: -1 / +1</w:t>
            </w:r>
          </w:p>
          <w:p w14:paraId="628F3C2E" w14:textId="7E03DEEE" w:rsidR="00AD1532" w:rsidRPr="00792E4A" w:rsidRDefault="00BD6044" w:rsidP="00AD1532">
            <w:pPr>
              <w:pStyle w:val="ListBullet"/>
              <w:cnfStyle w:val="000000000000" w:firstRow="0" w:lastRow="0" w:firstColumn="0" w:lastColumn="0" w:oddVBand="0" w:evenVBand="0" w:oddHBand="0" w:evenHBand="0" w:firstRowFirstColumn="0" w:firstRowLastColumn="0" w:lastRowFirstColumn="0" w:lastRowLastColumn="0"/>
            </w:pPr>
            <w:r w:rsidRPr="00792E4A">
              <w:t>One person migrating for six months: -0.5 / +0.5</w:t>
            </w:r>
          </w:p>
          <w:p w14:paraId="0634404A" w14:textId="77777777" w:rsidR="00BD6044" w:rsidRPr="00B153ED" w:rsidRDefault="00BD6044" w:rsidP="00AD1532">
            <w:pPr>
              <w:cnfStyle w:val="000000000000" w:firstRow="0" w:lastRow="0" w:firstColumn="0" w:lastColumn="0" w:oddVBand="0" w:evenVBand="0" w:oddHBand="0" w:evenHBand="0" w:firstRowFirstColumn="0" w:firstRowLastColumn="0" w:lastRowFirstColumn="0" w:lastRowLastColumn="0"/>
            </w:pPr>
            <w:r w:rsidRPr="00B153ED">
              <w:t>Enter zero where there are no movements.</w:t>
            </w:r>
          </w:p>
          <w:p w14:paraId="4CF42F31" w14:textId="14E68E68" w:rsidR="00814CE5" w:rsidRPr="00B153ED" w:rsidRDefault="00814CE5" w:rsidP="00B173D7">
            <w:pPr>
              <w:cnfStyle w:val="000000000000" w:firstRow="0" w:lastRow="0" w:firstColumn="0" w:lastColumn="0" w:oddVBand="0" w:evenVBand="0" w:oddHBand="0" w:evenHBand="0" w:firstRowFirstColumn="0" w:firstRowLastColumn="0" w:lastRowFirstColumn="0" w:lastRowLastColumn="0"/>
            </w:pPr>
            <w:r w:rsidRPr="00B153ED">
              <w:t xml:space="preserve">If impacts were reported last year, do not double-count in this year’s application. </w:t>
            </w:r>
          </w:p>
        </w:tc>
        <w:tc>
          <w:tcPr>
            <w:tcW w:w="2998" w:type="dxa"/>
          </w:tcPr>
          <w:p w14:paraId="4EC33953" w14:textId="77777777"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r w:rsidRPr="00B153ED">
              <w:lastRenderedPageBreak/>
              <w:t xml:space="preserve">-100 </w:t>
            </w:r>
          </w:p>
          <w:p w14:paraId="327B0CC8" w14:textId="77777777"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r w:rsidRPr="00B153ED">
              <w:t>+100</w:t>
            </w:r>
          </w:p>
          <w:p w14:paraId="35A61026" w14:textId="77777777"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r w:rsidRPr="00B153ED">
              <w:t>0</w:t>
            </w:r>
          </w:p>
        </w:tc>
      </w:tr>
      <w:tr w:rsidR="00BD6044" w:rsidRPr="00B153ED" w14:paraId="79711AAE" w14:textId="77777777" w:rsidTr="00B153ED">
        <w:trPr>
          <w:trHeight w:val="1678"/>
        </w:trPr>
        <w:tc>
          <w:tcPr>
            <w:cnfStyle w:val="001000000000" w:firstRow="0" w:lastRow="0" w:firstColumn="1" w:lastColumn="0" w:oddVBand="0" w:evenVBand="0" w:oddHBand="0" w:evenHBand="0" w:firstRowFirstColumn="0" w:firstRowLastColumn="0" w:lastRowFirstColumn="0" w:lastRowLastColumn="0"/>
            <w:tcW w:w="1555" w:type="dxa"/>
          </w:tcPr>
          <w:p w14:paraId="45B179F6" w14:textId="70E78D8C" w:rsidR="00BD6044" w:rsidRPr="00B153ED" w:rsidRDefault="00B173D7" w:rsidP="004B55E1">
            <w:r>
              <w:t>E</w:t>
            </w:r>
            <w:r w:rsidRPr="00B153ED">
              <w:t>stimated migration of policies due to dependents reform</w:t>
            </w:r>
            <w:r>
              <w:t xml:space="preserve"> </w:t>
            </w:r>
            <w:r w:rsidRPr="00B153ED">
              <w:t>over the 12 months from 1 </w:t>
            </w:r>
            <w:proofErr w:type="spellStart"/>
            <w:r w:rsidRPr="00B153ED">
              <w:t>april</w:t>
            </w:r>
            <w:proofErr w:type="spellEnd"/>
            <w:r w:rsidRPr="00B153ED">
              <w:t xml:space="preserve"> 2023</w:t>
            </w:r>
          </w:p>
        </w:tc>
        <w:tc>
          <w:tcPr>
            <w:tcW w:w="4519" w:type="dxa"/>
          </w:tcPr>
          <w:p w14:paraId="61E46B78" w14:textId="50F1A167" w:rsidR="00BD6044" w:rsidRPr="00B153ED" w:rsidRDefault="00BD6044" w:rsidP="004B55E1">
            <w:pPr>
              <w:cnfStyle w:val="000000000000" w:firstRow="0" w:lastRow="0" w:firstColumn="0" w:lastColumn="0" w:oddVBand="0" w:evenVBand="0" w:oddHBand="0" w:evenHBand="0" w:firstRowFirstColumn="0" w:firstRowLastColumn="0" w:lastRowFirstColumn="0" w:lastRowLastColumn="0"/>
            </w:pPr>
            <w:r w:rsidRPr="00B153ED">
              <w:t xml:space="preserve">Estimate the number of policies included in “TOTAL NUMBER OF POLICIES COVERED BY THIS PRODUCT as </w:t>
            </w:r>
            <w:proofErr w:type="gramStart"/>
            <w:r w:rsidRPr="00B153ED">
              <w:t>at</w:t>
            </w:r>
            <w:proofErr w:type="gramEnd"/>
            <w:r w:rsidRPr="00B153ED">
              <w:t xml:space="preserve"> 30 September 2022” that will migrate as a result of the dependents reform</w:t>
            </w:r>
          </w:p>
          <w:p w14:paraId="62F89E2C" w14:textId="123B4AEC" w:rsidR="00BD6044" w:rsidRPr="004B55E1" w:rsidRDefault="00BD6044" w:rsidP="004B55E1">
            <w:pPr>
              <w:cnfStyle w:val="000000000000" w:firstRow="0" w:lastRow="0" w:firstColumn="0" w:lastColumn="0" w:oddVBand="0" w:evenVBand="0" w:oddHBand="0" w:evenHBand="0" w:firstRowFirstColumn="0" w:firstRowLastColumn="0" w:lastRowFirstColumn="0" w:lastRowLastColumn="0"/>
            </w:pPr>
            <w:r w:rsidRPr="00B153ED">
              <w:t xml:space="preserve">This number should reflect a movement for either part or all of the forecast contribution income </w:t>
            </w:r>
            <w:proofErr w:type="gramStart"/>
            <w:r w:rsidRPr="00B153ED">
              <w:t>12 month</w:t>
            </w:r>
            <w:proofErr w:type="gramEnd"/>
            <w:r w:rsidRPr="00B153ED">
              <w:t xml:space="preserve"> period, therefore this may be a non-integer. </w:t>
            </w:r>
            <w:r w:rsidRPr="004B55E1">
              <w:t>For example:</w:t>
            </w:r>
          </w:p>
          <w:p w14:paraId="76D8F425" w14:textId="610A283A" w:rsidR="00BD6044" w:rsidRPr="004B55E1" w:rsidRDefault="00BD6044" w:rsidP="004B55E1">
            <w:pPr>
              <w:pStyle w:val="ListBullet"/>
              <w:cnfStyle w:val="000000000000" w:firstRow="0" w:lastRow="0" w:firstColumn="0" w:lastColumn="0" w:oddVBand="0" w:evenVBand="0" w:oddHBand="0" w:evenHBand="0" w:firstRowFirstColumn="0" w:firstRowLastColumn="0" w:lastRowFirstColumn="0" w:lastRowLastColumn="0"/>
            </w:pPr>
            <w:r w:rsidRPr="004B55E1">
              <w:t>One person migrating for 12 months: -1</w:t>
            </w:r>
          </w:p>
          <w:p w14:paraId="1BAB3B5A" w14:textId="007204F0" w:rsidR="00AD1532" w:rsidRDefault="00BD6044" w:rsidP="00AD1532">
            <w:pPr>
              <w:pStyle w:val="ListBullet"/>
              <w:cnfStyle w:val="000000000000" w:firstRow="0" w:lastRow="0" w:firstColumn="0" w:lastColumn="0" w:oddVBand="0" w:evenVBand="0" w:oddHBand="0" w:evenHBand="0" w:firstRowFirstColumn="0" w:firstRowLastColumn="0" w:lastRowFirstColumn="0" w:lastRowLastColumn="0"/>
            </w:pPr>
            <w:r w:rsidRPr="004B55E1">
              <w:t>One person migrating for six months: -0.5</w:t>
            </w:r>
          </w:p>
          <w:p w14:paraId="03FDAB1E" w14:textId="4E43D766" w:rsidR="00C63E48" w:rsidRDefault="00BD6044" w:rsidP="00AD1532">
            <w:pPr>
              <w:cnfStyle w:val="000000000000" w:firstRow="0" w:lastRow="0" w:firstColumn="0" w:lastColumn="0" w:oddVBand="0" w:evenVBand="0" w:oddHBand="0" w:evenHBand="0" w:firstRowFirstColumn="0" w:firstRowLastColumn="0" w:lastRowFirstColumn="0" w:lastRowLastColumn="0"/>
            </w:pPr>
            <w:r w:rsidRPr="004B55E1">
              <w:t>Enter zero where there are no movements.</w:t>
            </w:r>
          </w:p>
          <w:p w14:paraId="369DB771" w14:textId="359A4AC8" w:rsidR="00814CE5" w:rsidRPr="00B153ED" w:rsidRDefault="00814CE5" w:rsidP="00C63E48">
            <w:pPr>
              <w:cnfStyle w:val="000000000000" w:firstRow="0" w:lastRow="0" w:firstColumn="0" w:lastColumn="0" w:oddVBand="0" w:evenVBand="0" w:oddHBand="0" w:evenHBand="0" w:firstRowFirstColumn="0" w:firstRowLastColumn="0" w:lastRowFirstColumn="0" w:lastRowLastColumn="0"/>
            </w:pPr>
            <w:r w:rsidRPr="004B55E1">
              <w:t>If impacts were reported last year, do not double-count in this year’s application.</w:t>
            </w:r>
          </w:p>
        </w:tc>
        <w:tc>
          <w:tcPr>
            <w:tcW w:w="2998" w:type="dxa"/>
          </w:tcPr>
          <w:p w14:paraId="5B93484F" w14:textId="77777777"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r w:rsidRPr="00B153ED">
              <w:t>-100</w:t>
            </w:r>
          </w:p>
          <w:p w14:paraId="149A2B05" w14:textId="65DAE033"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r w:rsidRPr="00B153ED">
              <w:t>0</w:t>
            </w:r>
          </w:p>
        </w:tc>
      </w:tr>
      <w:tr w:rsidR="00BD6044" w:rsidRPr="00B153ED" w14:paraId="7DCB8F07" w14:textId="77777777" w:rsidTr="00B153ED">
        <w:trPr>
          <w:trHeight w:val="1678"/>
        </w:trPr>
        <w:tc>
          <w:tcPr>
            <w:cnfStyle w:val="001000000000" w:firstRow="0" w:lastRow="0" w:firstColumn="1" w:lastColumn="0" w:oddVBand="0" w:evenVBand="0" w:oddHBand="0" w:evenHBand="0" w:firstRowFirstColumn="0" w:firstRowLastColumn="0" w:lastRowFirstColumn="0" w:lastRowLastColumn="0"/>
            <w:tcW w:w="1555" w:type="dxa"/>
          </w:tcPr>
          <w:p w14:paraId="03198A70" w14:textId="4B00B90C" w:rsidR="00BD6044" w:rsidRPr="00B153ED" w:rsidRDefault="00B173D7" w:rsidP="00B173D7">
            <w:r>
              <w:t>E</w:t>
            </w:r>
            <w:r w:rsidRPr="00B153ED">
              <w:t xml:space="preserve">stimated 2023 monthly premium ($) adjustment due to </w:t>
            </w:r>
            <w:r w:rsidRPr="00B153ED">
              <w:lastRenderedPageBreak/>
              <w:t>dependents reform migration</w:t>
            </w:r>
          </w:p>
        </w:tc>
        <w:tc>
          <w:tcPr>
            <w:tcW w:w="4519" w:type="dxa"/>
          </w:tcPr>
          <w:p w14:paraId="05E09CAB" w14:textId="65329850" w:rsidR="00BD6044" w:rsidRPr="00B153ED" w:rsidRDefault="00BD6044" w:rsidP="00B173D7">
            <w:pPr>
              <w:cnfStyle w:val="000000000000" w:firstRow="0" w:lastRow="0" w:firstColumn="0" w:lastColumn="0" w:oddVBand="0" w:evenVBand="0" w:oddHBand="0" w:evenHBand="0" w:firstRowFirstColumn="0" w:firstRowLastColumn="0" w:lastRowFirstColumn="0" w:lastRowLastColumn="0"/>
            </w:pPr>
            <w:r w:rsidRPr="00B153ED">
              <w:lastRenderedPageBreak/>
              <w:t>This is an automated field that estimates the 2023 monthly premium adjustment due to dependents reform migration.</w:t>
            </w:r>
          </w:p>
        </w:tc>
        <w:tc>
          <w:tcPr>
            <w:tcW w:w="2998" w:type="dxa"/>
          </w:tcPr>
          <w:p w14:paraId="14E70585" w14:textId="77777777" w:rsidR="00BD6044" w:rsidRPr="00B153ED" w:rsidRDefault="00BD6044" w:rsidP="00B153ED">
            <w:pPr>
              <w:cnfStyle w:val="000000000000" w:firstRow="0" w:lastRow="0" w:firstColumn="0" w:lastColumn="0" w:oddVBand="0" w:evenVBand="0" w:oddHBand="0" w:evenHBand="0" w:firstRowFirstColumn="0" w:firstRowLastColumn="0" w:lastRowFirstColumn="0" w:lastRowLastColumn="0"/>
            </w:pPr>
          </w:p>
        </w:tc>
      </w:tr>
    </w:tbl>
    <w:p w14:paraId="76E8E127" w14:textId="71F87F25" w:rsidR="00843ED3" w:rsidRPr="00B153ED" w:rsidRDefault="00A14959" w:rsidP="00B173D7">
      <w:pPr>
        <w:pStyle w:val="Heading1"/>
        <w:pageBreakBefore/>
      </w:pPr>
      <w:bookmarkStart w:id="1" w:name="_Template_B_(Financials)"/>
      <w:bookmarkEnd w:id="1"/>
      <w:r w:rsidRPr="00B153ED">
        <w:lastRenderedPageBreak/>
        <w:t xml:space="preserve">Template B </w:t>
      </w:r>
      <w:r w:rsidR="009C17C9" w:rsidRPr="00B153ED">
        <w:t>(Financial</w:t>
      </w:r>
      <w:r w:rsidR="00843ED3" w:rsidRPr="00B153ED">
        <w:t>s</w:t>
      </w:r>
      <w:r w:rsidR="009C17C9" w:rsidRPr="00B153ED">
        <w:t>)</w:t>
      </w:r>
    </w:p>
    <w:p w14:paraId="5F128196" w14:textId="77777777" w:rsidR="00EC4FDC" w:rsidRPr="00EE3C7F" w:rsidRDefault="00EC4FDC" w:rsidP="004B55E1">
      <w:pPr>
        <w:pStyle w:val="ListBullet"/>
      </w:pPr>
      <w:r w:rsidRPr="00EE3C7F">
        <w:t>Information requested in dollars should be entered</w:t>
      </w:r>
      <w:r w:rsidR="00930744">
        <w:t xml:space="preserve"> as thousands of dollars (</w:t>
      </w:r>
      <w:r w:rsidR="00EB1904" w:rsidRPr="00EE3C7F">
        <w:t>$’</w:t>
      </w:r>
      <w:r w:rsidRPr="00EE3C7F">
        <w:t>000).</w:t>
      </w:r>
    </w:p>
    <w:p w14:paraId="64025166" w14:textId="13A5C939" w:rsidR="00EB6EB9" w:rsidRPr="00EE3C7F" w:rsidRDefault="00EC4FDC" w:rsidP="004B55E1">
      <w:pPr>
        <w:pStyle w:val="ListBullet"/>
      </w:pPr>
      <w:r w:rsidRPr="00EE3C7F">
        <w:t xml:space="preserve">Forecasts are required for the period </w:t>
      </w:r>
      <w:r w:rsidR="0055428A" w:rsidRPr="00EE3C7F">
        <w:t xml:space="preserve">October </w:t>
      </w:r>
      <w:r w:rsidR="00026064" w:rsidRPr="00EE3C7F">
        <w:t>20</w:t>
      </w:r>
      <w:r w:rsidR="00026064">
        <w:t>2</w:t>
      </w:r>
      <w:r w:rsidR="008E3DBE">
        <w:t>2</w:t>
      </w:r>
      <w:r w:rsidR="00026064" w:rsidRPr="00EE3C7F">
        <w:t xml:space="preserve"> </w:t>
      </w:r>
      <w:r w:rsidR="0023329A" w:rsidRPr="00EE3C7F">
        <w:t xml:space="preserve">to March </w:t>
      </w:r>
      <w:r w:rsidR="00026064" w:rsidRPr="00EE3C7F">
        <w:t>202</w:t>
      </w:r>
      <w:r w:rsidR="008E3DBE">
        <w:t>5</w:t>
      </w:r>
      <w:r w:rsidR="00712194" w:rsidRPr="00EE3C7F">
        <w:t>.</w:t>
      </w:r>
    </w:p>
    <w:p w14:paraId="47F9A433" w14:textId="37CB461E" w:rsidR="00E67B4A" w:rsidRPr="00EE3C7F" w:rsidRDefault="00EB6EB9" w:rsidP="004B55E1">
      <w:pPr>
        <w:pStyle w:val="ListBullet"/>
      </w:pPr>
      <w:r w:rsidRPr="00EE3C7F">
        <w:t xml:space="preserve">Figures under the Balance sheet and Capital Adequacy Standard </w:t>
      </w:r>
      <w:r w:rsidR="00077C8A" w:rsidRPr="00EE3C7F">
        <w:t xml:space="preserve">for September </w:t>
      </w:r>
      <w:r w:rsidR="00026064" w:rsidRPr="00EE3C7F">
        <w:t>20</w:t>
      </w:r>
      <w:r w:rsidR="00026064">
        <w:t>2</w:t>
      </w:r>
      <w:r w:rsidR="008E3DBE">
        <w:t>2</w:t>
      </w:r>
      <w:r w:rsidR="00026064" w:rsidRPr="00EE3C7F">
        <w:t xml:space="preserve"> </w:t>
      </w:r>
      <w:r w:rsidRPr="00EE3C7F">
        <w:t xml:space="preserve">should align </w:t>
      </w:r>
      <w:r w:rsidR="00712194" w:rsidRPr="00EE3C7F">
        <w:t>with</w:t>
      </w:r>
      <w:r w:rsidR="006B7267" w:rsidRPr="00EE3C7F">
        <w:t xml:space="preserve"> the September 20</w:t>
      </w:r>
      <w:r w:rsidR="00666F9E">
        <w:t>2</w:t>
      </w:r>
      <w:r w:rsidR="008E3DBE">
        <w:t>2</w:t>
      </w:r>
      <w:r w:rsidRPr="00EE3C7F">
        <w:t xml:space="preserve"> HRF602 returns</w:t>
      </w:r>
      <w:r w:rsidR="00EC4FDC" w:rsidRPr="00EE3C7F">
        <w:t>.</w:t>
      </w:r>
    </w:p>
    <w:p w14:paraId="4F1D12D1" w14:textId="74B90DB2" w:rsidR="00E67B4A" w:rsidRDefault="001D1802" w:rsidP="004B55E1">
      <w:pPr>
        <w:pStyle w:val="ListBullet"/>
      </w:pPr>
      <w:r w:rsidRPr="00EE3C7F">
        <w:t xml:space="preserve">Hospital SEUs </w:t>
      </w:r>
      <w:proofErr w:type="gramStart"/>
      <w:r w:rsidRPr="00EE3C7F">
        <w:t>at</w:t>
      </w:r>
      <w:proofErr w:type="gramEnd"/>
      <w:r w:rsidRPr="00EE3C7F">
        <w:t xml:space="preserve"> Sep</w:t>
      </w:r>
      <w:r w:rsidR="001241BE" w:rsidRPr="00EE3C7F">
        <w:t xml:space="preserve">tember </w:t>
      </w:r>
      <w:r w:rsidR="00026064" w:rsidRPr="00EE3C7F">
        <w:t>20</w:t>
      </w:r>
      <w:r w:rsidR="00026064">
        <w:t>2</w:t>
      </w:r>
      <w:r w:rsidR="008E3DBE">
        <w:t>2</w:t>
      </w:r>
      <w:r w:rsidR="00026064" w:rsidRPr="00EE3C7F">
        <w:t xml:space="preserve"> </w:t>
      </w:r>
      <w:r w:rsidRPr="00EE3C7F">
        <w:t xml:space="preserve">should reconcile </w:t>
      </w:r>
      <w:r w:rsidR="00930744">
        <w:t>with the</w:t>
      </w:r>
      <w:r w:rsidRPr="00EE3C7F">
        <w:t xml:space="preserve"> HRF601</w:t>
      </w:r>
      <w:r w:rsidR="00EB590E" w:rsidRPr="00EE3C7F">
        <w:t xml:space="preserve"> and HRF</w:t>
      </w:r>
      <w:r w:rsidR="0045048A" w:rsidRPr="00EE3C7F">
        <w:t>602</w:t>
      </w:r>
      <w:r w:rsidRPr="00EE3C7F">
        <w:t>.</w:t>
      </w:r>
    </w:p>
    <w:p w14:paraId="2967B10C" w14:textId="77777777" w:rsidR="004C6F98" w:rsidRPr="00EE3C7F" w:rsidRDefault="004C6F98" w:rsidP="004B55E1">
      <w:pPr>
        <w:pStyle w:val="ListBullet"/>
      </w:pPr>
      <w:r>
        <w:t xml:space="preserve">Expected dividend payments should be entered as a positive value and capital injections expected to be received as a negative </w:t>
      </w:r>
      <w:r w:rsidR="008F6713">
        <w:t xml:space="preserve">value under ‘dividend </w:t>
      </w:r>
      <w:proofErr w:type="gramStart"/>
      <w:r w:rsidR="008F6713">
        <w:t>payments’</w:t>
      </w:r>
      <w:proofErr w:type="gramEnd"/>
      <w:r w:rsidR="008F6713">
        <w:t>.</w:t>
      </w:r>
    </w:p>
    <w:p w14:paraId="09FFDA07" w14:textId="77777777" w:rsidR="00A14959" w:rsidRDefault="00EB6EB9" w:rsidP="004B55E1">
      <w:pPr>
        <w:pStyle w:val="ListBullet"/>
      </w:pPr>
      <w:r w:rsidRPr="00EE3C7F">
        <w:t>Capital Target Range</w:t>
      </w:r>
      <w:r w:rsidR="00FF72E6" w:rsidRPr="00EE3C7F">
        <w:t xml:space="preserve"> should be expressed </w:t>
      </w:r>
      <w:r w:rsidR="00E8105E" w:rsidRPr="00EE3C7F">
        <w:t>as</w:t>
      </w:r>
      <w:r w:rsidR="00FF72E6" w:rsidRPr="00EE3C7F">
        <w:t xml:space="preserve"> total assets</w:t>
      </w:r>
      <w:r w:rsidR="00065CE8" w:rsidRPr="00EE3C7F">
        <w:t xml:space="preserve">. This is the </w:t>
      </w:r>
      <w:r w:rsidR="00E8105E" w:rsidRPr="00EE3C7F">
        <w:t>amount</w:t>
      </w:r>
      <w:r w:rsidR="00A111D9" w:rsidRPr="00EE3C7F">
        <w:t xml:space="preserve"> of</w:t>
      </w:r>
      <w:r w:rsidR="00065CE8" w:rsidRPr="00EE3C7F">
        <w:t xml:space="preserve"> assets</w:t>
      </w:r>
      <w:r w:rsidR="00FF72E6" w:rsidRPr="00EE3C7F">
        <w:t xml:space="preserve"> required to be consistent with the </w:t>
      </w:r>
      <w:r w:rsidR="00DF0608" w:rsidRPr="00EE3C7F">
        <w:t xml:space="preserve">targets outlined </w:t>
      </w:r>
      <w:r w:rsidR="00E8105E" w:rsidRPr="00EE3C7F">
        <w:t xml:space="preserve">in the </w:t>
      </w:r>
      <w:r w:rsidR="00FF72E6" w:rsidRPr="00EE3C7F">
        <w:t>Capital Management Plan</w:t>
      </w:r>
      <w:r w:rsidR="004C6F98">
        <w:t>. Capital target range upper and lower bounds should both be entered. Where only a single target exists, this is to be repeated.</w:t>
      </w:r>
    </w:p>
    <w:p w14:paraId="375BE8A7" w14:textId="77777777" w:rsidR="006079FF" w:rsidRPr="00B31222" w:rsidRDefault="006079FF" w:rsidP="004B55E1">
      <w:pPr>
        <w:pStyle w:val="ListBullet"/>
      </w:pPr>
      <w:r w:rsidRPr="004B55E1">
        <w:rPr>
          <w:rStyle w:val="Strong"/>
        </w:rPr>
        <w:t>Change in DCL due to deferred treatments occurring – dollar amount</w:t>
      </w:r>
      <w:r w:rsidRPr="00B31222">
        <w:t xml:space="preserve"> (row 44) –This is the central estimate of costs of services performed within the month </w:t>
      </w:r>
      <w:r w:rsidRPr="00B31222" w:rsidDel="002E184B">
        <w:t>arising from procedure deferrals</w:t>
      </w:r>
      <w:bookmarkStart w:id="2" w:name="_Ref45027818"/>
      <w:r w:rsidRPr="00B31222">
        <w:rPr>
          <w:rStyle w:val="FootnoteReference"/>
          <w:rFonts w:cstheme="minorHAnsi"/>
        </w:rPr>
        <w:footnoteReference w:id="2"/>
      </w:r>
      <w:bookmarkEnd w:id="2"/>
      <w:r w:rsidRPr="00B31222">
        <w:t xml:space="preserve">.  A negative amount reflects a reduction in the DCL </w:t>
      </w:r>
    </w:p>
    <w:p w14:paraId="5BF92BA7" w14:textId="77777777" w:rsidR="006079FF" w:rsidRPr="00B31222" w:rsidRDefault="006079FF" w:rsidP="004B55E1">
      <w:pPr>
        <w:pStyle w:val="ListBullet"/>
      </w:pPr>
      <w:r w:rsidRPr="004B55E1" w:rsidDel="000338AA">
        <w:rPr>
          <w:rStyle w:val="Strong"/>
        </w:rPr>
        <w:t xml:space="preserve"> </w:t>
      </w:r>
      <w:r w:rsidRPr="004B55E1">
        <w:rPr>
          <w:rStyle w:val="Strong"/>
        </w:rPr>
        <w:t>Change in DCL due to associated risk margin – dollar amount</w:t>
      </w:r>
      <w:r w:rsidRPr="00B31222">
        <w:t xml:space="preserve"> (row 45) – This will capture the change in DCL due to changes in risk margins.</w:t>
      </w:r>
      <w:r w:rsidR="00081CF2" w:rsidRPr="00B31222">
        <w:t xml:space="preserve"> </w:t>
      </w:r>
      <w:r w:rsidRPr="00B31222">
        <w:t xml:space="preserve">A negative amount reflects a reduction in the DCL. </w:t>
      </w:r>
    </w:p>
    <w:p w14:paraId="010C8F79" w14:textId="77777777" w:rsidR="006079FF" w:rsidRPr="00B31222" w:rsidRDefault="006079FF" w:rsidP="004B55E1">
      <w:pPr>
        <w:pStyle w:val="ListBullet"/>
      </w:pPr>
      <w:r w:rsidRPr="004B55E1">
        <w:rPr>
          <w:rStyle w:val="Strong"/>
        </w:rPr>
        <w:t>Other changes in DCL – dollar amount</w:t>
      </w:r>
      <w:r w:rsidRPr="00B31222">
        <w:t xml:space="preserve"> (row 46 – formula driven) – This reflects other changes to the DCL not explained by rows 44 and 45. This would include any additional procedures deferred.</w:t>
      </w:r>
      <w:r w:rsidR="00081CF2" w:rsidRPr="00B31222">
        <w:t xml:space="preserve"> </w:t>
      </w:r>
      <w:r w:rsidRPr="00B31222">
        <w:t>A negative amount reflects a reduction in the DCL. A positive amount reflects an increase in the DCL.</w:t>
      </w:r>
      <w:r w:rsidR="00081CF2" w:rsidRPr="00B31222">
        <w:t xml:space="preserve"> </w:t>
      </w:r>
      <w:r w:rsidRPr="00B31222">
        <w:t>Non-zero amounts should be explained in the written report.</w:t>
      </w:r>
    </w:p>
    <w:p w14:paraId="59E8B45A" w14:textId="77777777" w:rsidR="006079FF" w:rsidRPr="00E02071" w:rsidRDefault="006079FF" w:rsidP="004B55E1">
      <w:pPr>
        <w:pStyle w:val="ListBullet"/>
        <w:rPr>
          <w:rFonts w:cstheme="minorHAnsi"/>
        </w:rPr>
      </w:pPr>
      <w:r w:rsidRPr="004B55E1">
        <w:rPr>
          <w:rStyle w:val="Strong"/>
        </w:rPr>
        <w:t>Deferred Claims Liability</w:t>
      </w:r>
      <w:r w:rsidRPr="00E02071">
        <w:rPr>
          <w:rFonts w:cstheme="minorHAnsi"/>
        </w:rPr>
        <w:t xml:space="preserve"> (row </w:t>
      </w:r>
      <w:r w:rsidR="00F1687C" w:rsidRPr="00E02071">
        <w:rPr>
          <w:rFonts w:cstheme="minorHAnsi"/>
        </w:rPr>
        <w:t>60</w:t>
      </w:r>
      <w:r w:rsidRPr="00E02071">
        <w:rPr>
          <w:rFonts w:cstheme="minorHAnsi"/>
        </w:rPr>
        <w:t xml:space="preserve">). </w:t>
      </w:r>
      <w:r w:rsidR="00E02071" w:rsidRPr="00E02071">
        <w:rPr>
          <w:rFonts w:cstheme="minorHAnsi"/>
        </w:rPr>
        <w:t xml:space="preserve">To be calculated as per APRA’s </w:t>
      </w:r>
      <w:hyperlink r:id="rId14" w:history="1">
        <w:r w:rsidR="00E02071" w:rsidRPr="00DB6623">
          <w:rPr>
            <w:rStyle w:val="Hyperlink"/>
            <w:rFonts w:cstheme="minorHAnsi"/>
          </w:rPr>
          <w:t>DCL FAQ</w:t>
        </w:r>
      </w:hyperlink>
      <w:r w:rsidR="00E02071" w:rsidRPr="00DB6623">
        <w:rPr>
          <w:rFonts w:cstheme="minorHAnsi"/>
        </w:rPr>
        <w:t>.</w:t>
      </w:r>
      <w:r w:rsidR="00DB6623">
        <w:rPr>
          <w:rFonts w:cstheme="minorHAnsi"/>
        </w:rPr>
        <w:t xml:space="preserve"> Method</w:t>
      </w:r>
      <w:r w:rsidRPr="00E02071">
        <w:rPr>
          <w:rFonts w:cstheme="minorHAnsi"/>
        </w:rPr>
        <w:t xml:space="preserve"> for calculating </w:t>
      </w:r>
      <w:proofErr w:type="gramStart"/>
      <w:r w:rsidRPr="004B55E1">
        <w:rPr>
          <w:rStyle w:val="Strong"/>
        </w:rPr>
        <w:t>Other</w:t>
      </w:r>
      <w:proofErr w:type="gramEnd"/>
      <w:r w:rsidRPr="004B55E1">
        <w:rPr>
          <w:rStyle w:val="Strong"/>
        </w:rPr>
        <w:t xml:space="preserve"> liabilities amount (including deferred claims liability)</w:t>
      </w:r>
      <w:r w:rsidRPr="00E02071">
        <w:rPr>
          <w:rFonts w:cstheme="minorHAnsi"/>
        </w:rPr>
        <w:t xml:space="preserve"> (row </w:t>
      </w:r>
      <w:r w:rsidR="00E34182" w:rsidRPr="00E02071">
        <w:rPr>
          <w:rFonts w:cstheme="minorHAnsi"/>
        </w:rPr>
        <w:t>81</w:t>
      </w:r>
      <w:r w:rsidRPr="00E02071">
        <w:rPr>
          <w:rFonts w:cstheme="minorHAnsi"/>
        </w:rPr>
        <w:t>) is unchanged, and per APRA returns.</w:t>
      </w:r>
    </w:p>
    <w:p w14:paraId="4F5BBEA8" w14:textId="77777777" w:rsidR="006079FF" w:rsidRPr="00B31222" w:rsidRDefault="006079FF" w:rsidP="004B55E1">
      <w:pPr>
        <w:pStyle w:val="ListBullet"/>
      </w:pPr>
      <w:r w:rsidRPr="004B55E1">
        <w:rPr>
          <w:rStyle w:val="Strong"/>
        </w:rPr>
        <w:t>Deferred claims liability (valued at 98</w:t>
      </w:r>
      <w:r w:rsidRPr="004B55E1">
        <w:t>th</w:t>
      </w:r>
      <w:r w:rsidRPr="004B55E1">
        <w:rPr>
          <w:rStyle w:val="Strong"/>
        </w:rPr>
        <w:t xml:space="preserve"> percentile)</w:t>
      </w:r>
      <w:r w:rsidRPr="00B31222">
        <w:t xml:space="preserve"> (row </w:t>
      </w:r>
      <w:r w:rsidR="00E34182" w:rsidRPr="00B31222">
        <w:t>82</w:t>
      </w:r>
      <w:r w:rsidRPr="00B31222">
        <w:t>) - This item has been added to express the DCL included within the above item.</w:t>
      </w:r>
    </w:p>
    <w:p w14:paraId="0DAE0FCC" w14:textId="213FB1C1" w:rsidR="00665449" w:rsidRDefault="001272AB" w:rsidP="004B55E1">
      <w:pPr>
        <w:pStyle w:val="ListBullet"/>
      </w:pPr>
      <w:r w:rsidRPr="00B31222">
        <w:t xml:space="preserve">Note: </w:t>
      </w:r>
      <w:r w:rsidR="006118C5" w:rsidRPr="00B31222">
        <w:t>r</w:t>
      </w:r>
      <w:r w:rsidRPr="00B31222">
        <w:t xml:space="preserve">isk equalisation should be included in rows 44 and 45. The inclusion of claims handling in the DCL is at the discretion of the insurer. If claims handling is in the DCL then claims handling should also be in </w:t>
      </w:r>
      <w:r w:rsidR="00824A50" w:rsidRPr="00B31222">
        <w:t xml:space="preserve">rows </w:t>
      </w:r>
      <w:r w:rsidRPr="00B31222">
        <w:t>44 and 45</w:t>
      </w:r>
      <w:r w:rsidR="006118C5" w:rsidRPr="00B31222">
        <w:t>.</w:t>
      </w:r>
    </w:p>
    <w:p w14:paraId="5762C4D4" w14:textId="77777777" w:rsidR="005559C0" w:rsidRPr="008628E7" w:rsidRDefault="005559C0" w:rsidP="004B55E1">
      <w:pPr>
        <w:pStyle w:val="ListBullet"/>
      </w:pPr>
      <w:r w:rsidRPr="004B55E1">
        <w:rPr>
          <w:rStyle w:val="Strong"/>
        </w:rPr>
        <w:t>New Capital Standards</w:t>
      </w:r>
      <w:r w:rsidRPr="008628E7">
        <w:t xml:space="preserve">: insurers may choose to include projections of the fund’s PCA and Capital Base under the new Prudential Standards over the forecast period. This is </w:t>
      </w:r>
      <w:r w:rsidRPr="008628E7">
        <w:lastRenderedPageBreak/>
        <w:t>optional as there is limited time between the final standards being published and submitting premium applications.  This data is on a best endeavours basis and insurers may use simplifications. A brief description of the simplifications used should be outlined in Question 5 ‘Consistency with Capital Management Plan’ of the written report.</w:t>
      </w:r>
    </w:p>
    <w:p w14:paraId="55186CB3" w14:textId="21625F44" w:rsidR="007F12EA" w:rsidRPr="00B153ED" w:rsidRDefault="00A14959" w:rsidP="00B173D7">
      <w:pPr>
        <w:pStyle w:val="Heading1"/>
        <w:pageBreakBefore/>
      </w:pPr>
      <w:bookmarkStart w:id="3" w:name="_Template_C_(Snapshot)"/>
      <w:bookmarkEnd w:id="3"/>
      <w:r w:rsidRPr="00B153ED">
        <w:lastRenderedPageBreak/>
        <w:t xml:space="preserve">Template C </w:t>
      </w:r>
      <w:r w:rsidR="009C17C9" w:rsidRPr="00B153ED">
        <w:t>(</w:t>
      </w:r>
      <w:r w:rsidR="00E16B7A" w:rsidRPr="00B153ED">
        <w:t>Snapshot</w:t>
      </w:r>
      <w:r w:rsidR="009C17C9" w:rsidRPr="00B153ED">
        <w:t>)</w:t>
      </w:r>
    </w:p>
    <w:p w14:paraId="250EEBDE" w14:textId="77777777" w:rsidR="00B36AA2" w:rsidRDefault="00B36AA2" w:rsidP="004B55E1">
      <w:pPr>
        <w:pStyle w:val="ListBullet"/>
      </w:pPr>
      <w:r w:rsidRPr="00EE3C7F">
        <w:t>Insurers are only requir</w:t>
      </w:r>
      <w:r w:rsidR="00E72CDB" w:rsidRPr="00EE3C7F">
        <w:t>ed to complete the white cells.</w:t>
      </w:r>
      <w:r w:rsidR="003107C3">
        <w:t xml:space="preserve"> </w:t>
      </w:r>
      <w:r w:rsidR="002B4B0A" w:rsidRPr="00EE3C7F">
        <w:t xml:space="preserve">Grey cells will </w:t>
      </w:r>
      <w:r w:rsidR="00C41F5D">
        <w:t>auto</w:t>
      </w:r>
      <w:r w:rsidR="00E55883">
        <w:t>matically calculate</w:t>
      </w:r>
      <w:r w:rsidR="002B4B0A" w:rsidRPr="00EE3C7F">
        <w:t>.</w:t>
      </w:r>
    </w:p>
    <w:p w14:paraId="487B5926" w14:textId="77777777" w:rsidR="001A0852" w:rsidRPr="006C1320" w:rsidRDefault="001A0852" w:rsidP="004B55E1">
      <w:pPr>
        <w:pStyle w:val="ListBullet"/>
      </w:pPr>
      <w:r w:rsidRPr="001A0852">
        <w:t>Rate Protection Conversion Factor (%) will convert Excluding Rate Protection (%) into Including Rate Protection (%).</w:t>
      </w:r>
      <w:r>
        <w:t xml:space="preserve"> To be calculated as per prior years.</w:t>
      </w:r>
    </w:p>
    <w:p w14:paraId="3F17D4CE" w14:textId="77777777" w:rsidR="005B6BF8" w:rsidRPr="004B55E1" w:rsidRDefault="00591DC4" w:rsidP="004B55E1">
      <w:pPr>
        <w:pStyle w:val="ListBullet"/>
      </w:pPr>
      <w:r w:rsidRPr="003A231A">
        <w:t>Proposed changes to</w:t>
      </w:r>
      <w:r w:rsidR="009D5B86" w:rsidRPr="003A231A">
        <w:t xml:space="preserve"> benefits</w:t>
      </w:r>
      <w:r w:rsidR="004C6F98" w:rsidRPr="003A231A">
        <w:t>,</w:t>
      </w:r>
      <w:r w:rsidR="00E16B7A" w:rsidRPr="003A231A">
        <w:t xml:space="preserve"> </w:t>
      </w:r>
      <w:r w:rsidR="0002640D" w:rsidRPr="003A231A">
        <w:t>should</w:t>
      </w:r>
      <w:r w:rsidR="00E16B7A" w:rsidRPr="003A231A">
        <w:t xml:space="preserve"> include an estimated cost or saving as a percentage of total </w:t>
      </w:r>
      <w:r w:rsidR="007B476D" w:rsidRPr="003A231A">
        <w:t>contribution income</w:t>
      </w:r>
      <w:r w:rsidR="00DE362B" w:rsidRPr="003A231A">
        <w:t>.</w:t>
      </w:r>
      <w:r w:rsidR="00B57966" w:rsidRPr="003A231A">
        <w:t xml:space="preserve">  </w:t>
      </w:r>
      <w:r w:rsidR="004C6F98" w:rsidRPr="003A231A">
        <w:t xml:space="preserve">Savings should be stated as a negative amount as a percentage of Total Contribution Income. </w:t>
      </w:r>
      <w:r w:rsidR="00E53082">
        <w:t>For changes to benefits due to product changes, details</w:t>
      </w:r>
      <w:r w:rsidR="005B6BF8">
        <w:t xml:space="preserve"> should be included in the Product Changes section of the table. </w:t>
      </w:r>
      <w:r w:rsidR="005B6BF8" w:rsidRPr="005B6BF8">
        <w:t xml:space="preserve">Product </w:t>
      </w:r>
      <w:r w:rsidR="005B6BF8" w:rsidRPr="00A11657">
        <w:t xml:space="preserve">changes may </w:t>
      </w:r>
      <w:r w:rsidR="00E01FC0" w:rsidRPr="00A11657">
        <w:t xml:space="preserve">be </w:t>
      </w:r>
      <w:r w:rsidR="005B6BF8" w:rsidRPr="00A11657">
        <w:t>grouped as the insurer sees fit.</w:t>
      </w:r>
    </w:p>
    <w:p w14:paraId="104BC00D" w14:textId="77777777" w:rsidR="00607E05" w:rsidRPr="004B55E1" w:rsidRDefault="00607E05" w:rsidP="004B55E1">
      <w:pPr>
        <w:pStyle w:val="ListBullet"/>
      </w:pPr>
      <w:r w:rsidRPr="00A11657">
        <w:t xml:space="preserve">The Department intends to publish the insurer average premium rate change including </w:t>
      </w:r>
      <w:proofErr w:type="gramStart"/>
      <w:r w:rsidRPr="00A11657">
        <w:t>age based</w:t>
      </w:r>
      <w:proofErr w:type="gramEnd"/>
      <w:r w:rsidRPr="00A11657">
        <w:t xml:space="preserve"> discount, rate protection and the dependents reform adjustment.</w:t>
      </w:r>
    </w:p>
    <w:p w14:paraId="451364B3" w14:textId="50023BB8" w:rsidR="00D3479F" w:rsidRPr="00B153ED" w:rsidRDefault="005F7F30" w:rsidP="00B173D7">
      <w:pPr>
        <w:pStyle w:val="Heading1"/>
      </w:pPr>
      <w:bookmarkStart w:id="4" w:name="_Template_D_(Other)"/>
      <w:bookmarkEnd w:id="4"/>
      <w:r w:rsidRPr="00A1254B">
        <w:t xml:space="preserve">Template </w:t>
      </w:r>
      <w:r>
        <w:t>D</w:t>
      </w:r>
      <w:r w:rsidRPr="00A1254B">
        <w:t xml:space="preserve"> (</w:t>
      </w:r>
      <w:r w:rsidR="00001F2E">
        <w:t>Other</w:t>
      </w:r>
      <w:r w:rsidRPr="00A1254B">
        <w:t>)</w:t>
      </w:r>
    </w:p>
    <w:p w14:paraId="140B06CA" w14:textId="77777777" w:rsidR="00AA1861" w:rsidRPr="00B153ED" w:rsidRDefault="00AA1861" w:rsidP="00B173D7">
      <w:pPr>
        <w:pStyle w:val="Heading2"/>
      </w:pPr>
      <w:r w:rsidRPr="00183DE5">
        <w:t>Hospital Product Margins</w:t>
      </w:r>
    </w:p>
    <w:p w14:paraId="175BC2CE" w14:textId="37D5F514" w:rsidR="00A82A4D" w:rsidRPr="00792E4A" w:rsidRDefault="00A82A4D" w:rsidP="00792E4A">
      <w:r w:rsidRPr="00792E4A">
        <w:t>Insurers are asked to provide actual and forecast margins by product tier for the years commencing 1 April 202</w:t>
      </w:r>
      <w:r w:rsidR="00EC5598" w:rsidRPr="00792E4A">
        <w:t>1</w:t>
      </w:r>
      <w:r w:rsidRPr="00792E4A">
        <w:t xml:space="preserve"> (actual), 1 April 202</w:t>
      </w:r>
      <w:r w:rsidR="00EC5598" w:rsidRPr="00792E4A">
        <w:t>2</w:t>
      </w:r>
      <w:r w:rsidRPr="00792E4A">
        <w:t xml:space="preserve">, 1 April </w:t>
      </w:r>
      <w:proofErr w:type="gramStart"/>
      <w:r w:rsidRPr="00792E4A">
        <w:t>202</w:t>
      </w:r>
      <w:r w:rsidR="00EC5598" w:rsidRPr="00792E4A">
        <w:t>3</w:t>
      </w:r>
      <w:proofErr w:type="gramEnd"/>
      <w:r w:rsidRPr="00792E4A">
        <w:t xml:space="preserve"> and 1 April 202</w:t>
      </w:r>
      <w:r w:rsidR="00EC5598" w:rsidRPr="00792E4A">
        <w:t>4</w:t>
      </w:r>
      <w:r w:rsidRPr="00792E4A">
        <w:t xml:space="preserve">, based on </w:t>
      </w:r>
      <w:r w:rsidR="00396701" w:rsidRPr="00792E4A">
        <w:t xml:space="preserve">past and </w:t>
      </w:r>
      <w:r w:rsidRPr="00792E4A">
        <w:t xml:space="preserve">proposed price increases. Risk equalisation should include gross deficit and calculated deficit. All relevant allocations should be done on a best endeavours basis. </w:t>
      </w:r>
    </w:p>
    <w:p w14:paraId="3578CE8B" w14:textId="77777777" w:rsidR="00AA1861" w:rsidRPr="00B153ED" w:rsidRDefault="00AA1861" w:rsidP="00B173D7">
      <w:pPr>
        <w:pStyle w:val="Heading2"/>
      </w:pPr>
      <w:r w:rsidRPr="00C16162">
        <w:t>Migration impact</w:t>
      </w:r>
    </w:p>
    <w:p w14:paraId="76986FF4" w14:textId="7A4F5D8C" w:rsidR="00BA76FB" w:rsidRPr="00B153ED" w:rsidRDefault="00AA1861" w:rsidP="00B173D7">
      <w:r w:rsidRPr="00B173D7">
        <w:t>Where insurers</w:t>
      </w:r>
      <w:r w:rsidRPr="00B153ED">
        <w:t xml:space="preserve"> </w:t>
      </w:r>
      <w:r w:rsidR="000F4492" w:rsidRPr="00B153ED">
        <w:t>plan</w:t>
      </w:r>
      <w:r w:rsidRPr="00B153ED">
        <w:t xml:space="preserve"> </w:t>
      </w:r>
      <w:r w:rsidR="00E647EE" w:rsidRPr="00B153ED">
        <w:t xml:space="preserve">to </w:t>
      </w:r>
      <w:r w:rsidRPr="00B153ED">
        <w:t>migrat</w:t>
      </w:r>
      <w:r w:rsidR="000F4492" w:rsidRPr="00B153ED">
        <w:t>e</w:t>
      </w:r>
      <w:r w:rsidRPr="00B153ED">
        <w:t xml:space="preserve"> policyholders between products, </w:t>
      </w:r>
      <w:r w:rsidR="000F4492" w:rsidRPr="00B153ED">
        <w:t>i</w:t>
      </w:r>
      <w:r w:rsidRPr="00B153ED">
        <w:t>nsurers are asked to report</w:t>
      </w:r>
      <w:r w:rsidR="000F4492" w:rsidRPr="00B153ED">
        <w:t xml:space="preserve"> the expected Gross Margin ($) impact of the movement. The calculation should reflect both changes in premium received, relative </w:t>
      </w:r>
      <w:r w:rsidR="00E647EE" w:rsidRPr="00B153ED">
        <w:t>to 202</w:t>
      </w:r>
      <w:r w:rsidR="008E3DBE" w:rsidRPr="00B153ED">
        <w:t>3</w:t>
      </w:r>
      <w:r w:rsidR="00E647EE" w:rsidRPr="00B153ED">
        <w:t xml:space="preserve"> Monthly Premium reported in Template A, and changes in claims net of risk equalisation to reflect changes in coverage between products. </w:t>
      </w:r>
      <w:r w:rsidR="00683CED" w:rsidRPr="00B153ED">
        <w:t xml:space="preserve">Where possible, migration impacts should also consider policyholder terminations. </w:t>
      </w:r>
      <w:r w:rsidR="00E647EE" w:rsidRPr="00B153ED">
        <w:t>The amount should be aggregated for all planned migrations.</w:t>
      </w:r>
      <w:r w:rsidR="003F45DE" w:rsidRPr="00B153ED">
        <w:t xml:space="preserve"> </w:t>
      </w:r>
    </w:p>
    <w:p w14:paraId="510BCC17" w14:textId="73B9C819" w:rsidR="005B6BF8" w:rsidRPr="00B153ED" w:rsidRDefault="005B6BF8" w:rsidP="00B173D7">
      <w:pPr>
        <w:pStyle w:val="Heading2"/>
      </w:pPr>
      <w:proofErr w:type="gramStart"/>
      <w:r w:rsidRPr="007360D2">
        <w:t>Dependents</w:t>
      </w:r>
      <w:proofErr w:type="gramEnd"/>
      <w:r w:rsidRPr="007360D2">
        <w:t xml:space="preserve"> reform</w:t>
      </w:r>
    </w:p>
    <w:p w14:paraId="4CA17049" w14:textId="77777777" w:rsidR="00887759" w:rsidRPr="00792E4A" w:rsidRDefault="00135B7F" w:rsidP="00792E4A">
      <w:r w:rsidRPr="00792E4A">
        <w:t xml:space="preserve">“Net overall impact of implementing dependents reforms $'000” </w:t>
      </w:r>
      <w:r w:rsidR="00887759" w:rsidRPr="00792E4A">
        <w:t>– insurers are asked to report the expected Gross Margin ($) impact of implementing the dependents reforms. This should reflect all impacts including price changes. Insurers may also provide a description.</w:t>
      </w:r>
    </w:p>
    <w:p w14:paraId="685D89DE" w14:textId="3135C24D" w:rsidR="005B6BF8" w:rsidRPr="00792E4A" w:rsidRDefault="00887759" w:rsidP="00792E4A">
      <w:r w:rsidRPr="00792E4A">
        <w:t>Grey cells have been linked to Template</w:t>
      </w:r>
      <w:r w:rsidR="00DB05F9" w:rsidRPr="00792E4A">
        <w:t>s</w:t>
      </w:r>
      <w:r w:rsidRPr="00792E4A">
        <w:t xml:space="preserve"> A</w:t>
      </w:r>
      <w:r w:rsidR="00DB05F9" w:rsidRPr="00792E4A">
        <w:t xml:space="preserve"> and C</w:t>
      </w:r>
      <w:r w:rsidRPr="00792E4A">
        <w:t>. Th</w:t>
      </w:r>
      <w:r w:rsidR="00DB05F9" w:rsidRPr="00792E4A">
        <w:t>e</w:t>
      </w:r>
      <w:r w:rsidRPr="00792E4A">
        <w:t xml:space="preserve"> information </w:t>
      </w:r>
      <w:r w:rsidR="00DB05F9" w:rsidRPr="00792E4A">
        <w:t xml:space="preserve">in the grey cells </w:t>
      </w:r>
      <w:r w:rsidRPr="00792E4A">
        <w:t>for Apr2</w:t>
      </w:r>
      <w:r w:rsidR="008E3DBE" w:rsidRPr="00792E4A">
        <w:t>3</w:t>
      </w:r>
      <w:r w:rsidRPr="00792E4A">
        <w:t xml:space="preserve"> will be used to adjust the forecast contribution income calculated in Template C. </w:t>
      </w:r>
      <w:r w:rsidR="00670C25" w:rsidRPr="00792E4A">
        <w:t>Insurers are asked to estimate</w:t>
      </w:r>
      <w:r w:rsidR="00F4671B" w:rsidRPr="00792E4A">
        <w:t xml:space="preserve"> net overall impact and the migration of policies for</w:t>
      </w:r>
      <w:r w:rsidR="00DB05F9" w:rsidRPr="00792E4A">
        <w:t xml:space="preserve"> </w:t>
      </w:r>
      <w:r w:rsidR="00F4671B" w:rsidRPr="00792E4A">
        <w:t>Apr</w:t>
      </w:r>
      <w:r w:rsidR="00DB05F9" w:rsidRPr="00792E4A">
        <w:t>2</w:t>
      </w:r>
      <w:r w:rsidR="008E3DBE" w:rsidRPr="00792E4A">
        <w:t>4</w:t>
      </w:r>
      <w:r w:rsidR="00F4671B" w:rsidRPr="00792E4A">
        <w:t>.</w:t>
      </w:r>
    </w:p>
    <w:p w14:paraId="3C21595F" w14:textId="77777777" w:rsidR="00213EAE" w:rsidRPr="00B153ED" w:rsidRDefault="00930744" w:rsidP="00B173D7">
      <w:pPr>
        <w:pStyle w:val="Heading1"/>
      </w:pPr>
      <w:r w:rsidRPr="00B153ED">
        <w:t xml:space="preserve">Avoiding </w:t>
      </w:r>
      <w:r w:rsidR="0055395D" w:rsidRPr="00B153ED">
        <w:t xml:space="preserve">Data Issues </w:t>
      </w:r>
      <w:r w:rsidRPr="00B153ED">
        <w:t xml:space="preserve">and </w:t>
      </w:r>
      <w:r w:rsidR="0055395D" w:rsidRPr="00B153ED">
        <w:t>Resubmissions</w:t>
      </w:r>
    </w:p>
    <w:p w14:paraId="666E5D30" w14:textId="77777777" w:rsidR="008F6713" w:rsidRPr="00792E4A" w:rsidRDefault="00930744" w:rsidP="00792E4A">
      <w:r w:rsidRPr="00792E4A">
        <w:t xml:space="preserve">Each year </w:t>
      </w:r>
      <w:proofErr w:type="gramStart"/>
      <w:r w:rsidRPr="00792E4A">
        <w:t>a number of</w:t>
      </w:r>
      <w:proofErr w:type="gramEnd"/>
      <w:r w:rsidRPr="00792E4A">
        <w:t xml:space="preserve"> insurers are asked to resubmit applications due to incorrectly completing the approved form or for data issues. To avoid these in the coming round, insurers are asked to be particularly vigilant of data issues that have historically resulted in insurers being asked to resubmit. </w:t>
      </w:r>
    </w:p>
    <w:p w14:paraId="32F9E5D0" w14:textId="77777777" w:rsidR="00930744" w:rsidRPr="00792E4A" w:rsidRDefault="00930744" w:rsidP="00792E4A">
      <w:r w:rsidRPr="00792E4A">
        <w:lastRenderedPageBreak/>
        <w:t>To ensure each application does not contain data issues it is requested insurers check the following before submitting:</w:t>
      </w:r>
    </w:p>
    <w:p w14:paraId="37F21B34" w14:textId="28DE4019" w:rsidR="00930744" w:rsidRPr="00930744" w:rsidRDefault="00930744" w:rsidP="004B55E1">
      <w:pPr>
        <w:pStyle w:val="ListBullet"/>
        <w:rPr>
          <w:rFonts w:cstheme="minorHAnsi"/>
        </w:rPr>
      </w:pPr>
      <w:r w:rsidRPr="00930744">
        <w:rPr>
          <w:rFonts w:cstheme="minorHAnsi"/>
        </w:rPr>
        <w:t xml:space="preserve">No additional columns or rows are inserted into </w:t>
      </w:r>
      <w:hyperlink w:anchor="_Template_B_(Financials)" w:history="1">
        <w:r w:rsidRPr="004B55E1">
          <w:rPr>
            <w:rStyle w:val="Hyperlink"/>
          </w:rPr>
          <w:t>Template B</w:t>
        </w:r>
      </w:hyperlink>
      <w:r w:rsidR="008F6713" w:rsidRPr="004B55E1">
        <w:rPr>
          <w:rStyle w:val="Strong"/>
        </w:rPr>
        <w:t>.</w:t>
      </w:r>
    </w:p>
    <w:p w14:paraId="5E0A6E09" w14:textId="77777777" w:rsidR="00930744" w:rsidRPr="00930744" w:rsidRDefault="00930744" w:rsidP="004B55E1">
      <w:pPr>
        <w:pStyle w:val="ListBullet"/>
      </w:pPr>
      <w:r w:rsidRPr="00930744">
        <w:t>The excel spreadsheet does not contain links to other files</w:t>
      </w:r>
      <w:r w:rsidR="008F6713">
        <w:t>.</w:t>
      </w:r>
    </w:p>
    <w:p w14:paraId="512C286F" w14:textId="77777777" w:rsidR="00930744" w:rsidRPr="00930744" w:rsidRDefault="00930744" w:rsidP="004B55E1">
      <w:pPr>
        <w:pStyle w:val="ListBullet"/>
      </w:pPr>
      <w:r w:rsidRPr="00930744">
        <w:t>The capital target range is expressed as total assets, not net assets (capital)</w:t>
      </w:r>
      <w:r w:rsidR="008F6713">
        <w:t>.</w:t>
      </w:r>
    </w:p>
    <w:p w14:paraId="26180A02" w14:textId="77777777" w:rsidR="00930744" w:rsidRPr="00930744" w:rsidRDefault="00930744" w:rsidP="004B55E1">
      <w:pPr>
        <w:pStyle w:val="ListBullet"/>
      </w:pPr>
      <w:r w:rsidRPr="00930744">
        <w:t>Cells surrounding the template are blank. Cells outside of the requested fields do not have checking or verification calculations.</w:t>
      </w:r>
    </w:p>
    <w:p w14:paraId="0344C6D9" w14:textId="43BC4A42" w:rsidR="00930744" w:rsidRPr="00930744" w:rsidRDefault="00930744" w:rsidP="004B55E1">
      <w:pPr>
        <w:pStyle w:val="ListBullet"/>
      </w:pPr>
      <w:r w:rsidRPr="00930744">
        <w:t xml:space="preserve">Changes to benefits in </w:t>
      </w:r>
      <w:hyperlink w:anchor="_Template_C_(Snapshot)" w:history="1">
        <w:r w:rsidRPr="004B55E1">
          <w:rPr>
            <w:rStyle w:val="Hyperlink"/>
          </w:rPr>
          <w:t>Template C</w:t>
        </w:r>
      </w:hyperlink>
      <w:r w:rsidRPr="00930744">
        <w:t xml:space="preserve"> that result in savi</w:t>
      </w:r>
      <w:r w:rsidR="008F6713">
        <w:t>ngs are expressed as a negative.</w:t>
      </w:r>
    </w:p>
    <w:p w14:paraId="008D1754" w14:textId="77777777" w:rsidR="00930744" w:rsidRPr="00930744" w:rsidRDefault="00930744" w:rsidP="004B55E1">
      <w:pPr>
        <w:pStyle w:val="ListBullet"/>
      </w:pPr>
      <w:r w:rsidRPr="00930744">
        <w:t xml:space="preserve">Cells requesting a number have a number inserted and not text. </w:t>
      </w:r>
      <w:proofErr w:type="gramStart"/>
      <w:r w:rsidRPr="00930744">
        <w:t>Similarly</w:t>
      </w:r>
      <w:proofErr w:type="gramEnd"/>
      <w:r w:rsidRPr="00930744">
        <w:t xml:space="preserve"> that cells with a number ha</w:t>
      </w:r>
      <w:r w:rsidR="008F6713">
        <w:t>ve not been formatted to ‘text’.</w:t>
      </w:r>
    </w:p>
    <w:p w14:paraId="3FC4903D" w14:textId="6F0A2852" w:rsidR="00930744" w:rsidRPr="00930744" w:rsidRDefault="00930744" w:rsidP="004B55E1">
      <w:pPr>
        <w:pStyle w:val="ListBullet"/>
      </w:pPr>
      <w:r w:rsidRPr="00930744">
        <w:t>Cells in</w:t>
      </w:r>
      <w:r w:rsidRPr="004B55E1">
        <w:t xml:space="preserve"> </w:t>
      </w:r>
      <w:hyperlink w:anchor="_Template_B_(Financials)" w:history="1">
        <w:r w:rsidRPr="004B55E1">
          <w:rPr>
            <w:rStyle w:val="Hyperlink"/>
          </w:rPr>
          <w:t>Template B</w:t>
        </w:r>
      </w:hyperlink>
      <w:r w:rsidRPr="004B55E1">
        <w:t xml:space="preserve"> </w:t>
      </w:r>
      <w:r w:rsidRPr="00930744">
        <w:t xml:space="preserve">without a value have a ‘0’ inserted and are not left blank. </w:t>
      </w:r>
    </w:p>
    <w:p w14:paraId="72DE50C3" w14:textId="77777777" w:rsidR="00930744" w:rsidRPr="00930744" w:rsidRDefault="00930744" w:rsidP="004B55E1">
      <w:pPr>
        <w:pStyle w:val="ListBullet"/>
      </w:pPr>
      <w:r w:rsidRPr="00930744">
        <w:t>If an insurer has a single capital target rather than a range, this figure is entered into both</w:t>
      </w:r>
      <w:r>
        <w:t xml:space="preserve"> the lower and upper bound</w:t>
      </w:r>
      <w:r w:rsidR="008F6713">
        <w:t>.</w:t>
      </w:r>
    </w:p>
    <w:p w14:paraId="55CD496A" w14:textId="77777777" w:rsidR="00930744" w:rsidRPr="00930744" w:rsidRDefault="00930744" w:rsidP="004B55E1">
      <w:pPr>
        <w:pStyle w:val="ListBullet"/>
      </w:pPr>
      <w:r w:rsidRPr="00930744">
        <w:t>The formula cells have not been edited by the insurer</w:t>
      </w:r>
      <w:r w:rsidR="008F6713">
        <w:t>.</w:t>
      </w:r>
    </w:p>
    <w:p w14:paraId="3F865C06" w14:textId="77777777" w:rsidR="00930744" w:rsidRPr="00930744" w:rsidRDefault="00930744" w:rsidP="004B55E1">
      <w:pPr>
        <w:pStyle w:val="ListBullet"/>
      </w:pPr>
      <w:r w:rsidRPr="00930744">
        <w:t>Data entered by the insurer should be values and not include calculations</w:t>
      </w:r>
      <w:r w:rsidR="008F6713">
        <w:t>.</w:t>
      </w:r>
    </w:p>
    <w:p w14:paraId="208516F7" w14:textId="77777777" w:rsidR="00930744" w:rsidRDefault="00930744" w:rsidP="004B55E1">
      <w:pPr>
        <w:pStyle w:val="ListBullet"/>
      </w:pPr>
      <w:r w:rsidRPr="00930744">
        <w:t xml:space="preserve">Expected dividend payments should be entered as a positive value and capital injections expected to be received as a negative value under ‘dividend </w:t>
      </w:r>
      <w:proofErr w:type="gramStart"/>
      <w:r w:rsidRPr="00930744">
        <w:t>payments’</w:t>
      </w:r>
      <w:proofErr w:type="gramEnd"/>
      <w:r w:rsidRPr="00930744">
        <w:t>.</w:t>
      </w:r>
    </w:p>
    <w:p w14:paraId="2CCED1D5" w14:textId="41C0687A" w:rsidR="00861461" w:rsidRPr="00930744" w:rsidRDefault="00861461" w:rsidP="004B55E1">
      <w:pPr>
        <w:pStyle w:val="ListBullet"/>
      </w:pPr>
      <w:r w:rsidRPr="00902BEA">
        <w:t>Compliance checks are routinely carried out</w:t>
      </w:r>
      <w:r>
        <w:t xml:space="preserve"> to ensure premiums approved by the Minister in the premium round process reflect the corresponding PHIS</w:t>
      </w:r>
      <w:r w:rsidRPr="00902BEA">
        <w:t>.  Please ensure</w:t>
      </w:r>
      <w:r w:rsidR="0092684C">
        <w:t xml:space="preserve"> that</w:t>
      </w:r>
      <w:r>
        <w:t xml:space="preserve"> accurate PHIS Product </w:t>
      </w:r>
      <w:proofErr w:type="gramStart"/>
      <w:r>
        <w:t>ID’s</w:t>
      </w:r>
      <w:proofErr w:type="gramEnd"/>
      <w:r>
        <w:t xml:space="preserve"> are provided along with the new premium price requested for each product.</w:t>
      </w:r>
    </w:p>
    <w:sectPr w:rsidR="00861461" w:rsidRPr="00930744" w:rsidSect="004C5774">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FE7B" w14:textId="77777777" w:rsidR="00B71302" w:rsidRDefault="00B71302">
      <w:r>
        <w:separator/>
      </w:r>
    </w:p>
  </w:endnote>
  <w:endnote w:type="continuationSeparator" w:id="0">
    <w:p w14:paraId="64204FC0" w14:textId="77777777" w:rsidR="00B71302" w:rsidRDefault="00B71302">
      <w:r>
        <w:continuationSeparator/>
      </w:r>
    </w:p>
  </w:endnote>
  <w:endnote w:type="continuationNotice" w:id="1">
    <w:p w14:paraId="1022B5CE" w14:textId="77777777" w:rsidR="00B71302" w:rsidRDefault="00B713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82E65" w14:textId="77777777" w:rsidR="0093518F" w:rsidRDefault="0093518F" w:rsidP="008F75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778DB11" w14:textId="77777777" w:rsidR="0093518F" w:rsidRDefault="0093518F" w:rsidP="008F75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E880" w14:textId="77777777" w:rsidR="0093518F" w:rsidRPr="008F75C3" w:rsidRDefault="0093518F" w:rsidP="008F75C3">
    <w:pPr>
      <w:pStyle w:val="Footer"/>
      <w:framePr w:wrap="around" w:vAnchor="text" w:hAnchor="margin" w:xAlign="right" w:y="1"/>
      <w:rPr>
        <w:rStyle w:val="PageNumber"/>
        <w:sz w:val="20"/>
        <w:szCs w:val="20"/>
      </w:rPr>
    </w:pPr>
    <w:r w:rsidRPr="008F75C3">
      <w:rPr>
        <w:rStyle w:val="PageNumber"/>
        <w:sz w:val="20"/>
        <w:szCs w:val="20"/>
      </w:rPr>
      <w:fldChar w:fldCharType="begin"/>
    </w:r>
    <w:r w:rsidRPr="008F75C3">
      <w:rPr>
        <w:rStyle w:val="PageNumber"/>
        <w:sz w:val="20"/>
        <w:szCs w:val="20"/>
      </w:rPr>
      <w:instrText xml:space="preserve">PAGE  </w:instrText>
    </w:r>
    <w:r w:rsidRPr="008F75C3">
      <w:rPr>
        <w:rStyle w:val="PageNumber"/>
        <w:sz w:val="20"/>
        <w:szCs w:val="20"/>
      </w:rPr>
      <w:fldChar w:fldCharType="separate"/>
    </w:r>
    <w:r w:rsidR="00A11657">
      <w:rPr>
        <w:rStyle w:val="PageNumber"/>
        <w:noProof/>
        <w:sz w:val="20"/>
        <w:szCs w:val="20"/>
      </w:rPr>
      <w:t>1</w:t>
    </w:r>
    <w:r w:rsidRPr="008F75C3">
      <w:rPr>
        <w:rStyle w:val="PageNumber"/>
        <w:sz w:val="20"/>
        <w:szCs w:val="20"/>
      </w:rPr>
      <w:fldChar w:fldCharType="end"/>
    </w:r>
  </w:p>
  <w:p w14:paraId="056075F6" w14:textId="2594A319" w:rsidR="0093518F" w:rsidRPr="005E4F82" w:rsidRDefault="00B93F28" w:rsidP="005E4F82">
    <w:pPr>
      <w:pStyle w:val="Footer"/>
      <w:rPr>
        <w:rStyle w:val="IntenseEmphasis"/>
        <w:i w:val="0"/>
        <w:iCs w:val="0"/>
        <w:color w:val="auto"/>
      </w:rPr>
    </w:pPr>
    <w:r w:rsidRPr="005E4F82">
      <w:rPr>
        <w:rStyle w:val="IntenseEmphasis"/>
        <w:i w:val="0"/>
        <w:iCs w:val="0"/>
        <w:color w:val="auto"/>
      </w:rPr>
      <w:t xml:space="preserve">2023 </w:t>
    </w:r>
    <w:r w:rsidR="0093518F" w:rsidRPr="005E4F82">
      <w:rPr>
        <w:rStyle w:val="IntenseEmphasis"/>
        <w:i w:val="0"/>
        <w:iCs w:val="0"/>
        <w:color w:val="auto"/>
      </w:rPr>
      <w:t>Private Health Insurance Premium Application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46BFF" w14:textId="77777777" w:rsidR="005E4F82" w:rsidRDefault="005E4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3BD95" w14:textId="77777777" w:rsidR="00B71302" w:rsidRDefault="00B71302">
      <w:r>
        <w:separator/>
      </w:r>
    </w:p>
  </w:footnote>
  <w:footnote w:type="continuationSeparator" w:id="0">
    <w:p w14:paraId="3309A755" w14:textId="77777777" w:rsidR="00B71302" w:rsidRDefault="00B71302">
      <w:r>
        <w:continuationSeparator/>
      </w:r>
    </w:p>
  </w:footnote>
  <w:footnote w:type="continuationNotice" w:id="1">
    <w:p w14:paraId="09805993" w14:textId="77777777" w:rsidR="00B71302" w:rsidRDefault="00B71302"/>
  </w:footnote>
  <w:footnote w:id="2">
    <w:p w14:paraId="68C1245B" w14:textId="673C09A7" w:rsidR="0093518F" w:rsidRPr="00B173D7" w:rsidRDefault="0093518F" w:rsidP="00B173D7">
      <w:pPr>
        <w:rPr>
          <w:rFonts w:ascii="Segoe UI" w:hAnsi="Segoe UI" w:cs="Segoe UI"/>
          <w:sz w:val="21"/>
          <w:szCs w:val="21"/>
        </w:rPr>
      </w:pPr>
      <w:r>
        <w:rPr>
          <w:rStyle w:val="FootnoteReference"/>
        </w:rPr>
        <w:footnoteRef/>
      </w:r>
      <w:r>
        <w:t xml:space="preserve"> </w:t>
      </w:r>
      <w:r w:rsidRPr="00D235C8">
        <w:rPr>
          <w:rFonts w:cstheme="minorHAnsi"/>
          <w:sz w:val="20"/>
          <w:szCs w:val="20"/>
        </w:rPr>
        <w:t xml:space="preserve">Restrictions on medical services introduced in March 2020 in response to COVID-19 have affected the pattern of claims by private health insurance policyholders. As some treatments were unable to proceed, insurers will typically have experienced a fall in benefit expenditure in the June quarter. However, in many instances policyholders affected by the restrictions will defer rather than forgo treatment, resulting in a delay in when they claim benefits from their health insurance policy. These claims that are deemed to have been deferred are referred to as the "deferred claims". Refer to APRA's </w:t>
      </w:r>
      <w:hyperlink r:id="rId1" w:history="1">
        <w:r w:rsidRPr="00D235C8">
          <w:rPr>
            <w:rStyle w:val="Hyperlink"/>
            <w:rFonts w:cstheme="minorHAnsi"/>
            <w:sz w:val="20"/>
            <w:szCs w:val="20"/>
          </w:rPr>
          <w:t>"Application of the capital framework for COVID-19 related disruptions" letter</w:t>
        </w:r>
      </w:hyperlink>
      <w:r w:rsidRPr="00D235C8">
        <w:rPr>
          <w:rFonts w:cstheme="minorHAnsi"/>
          <w:sz w:val="20"/>
          <w:szCs w:val="20"/>
        </w:rPr>
        <w:t xml:space="preserve"> dated 22 June 2020 for a discussion on the DCL and deferred claims.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48A83" w14:textId="77777777" w:rsidR="005E4F82" w:rsidRDefault="005E4F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88D52" w14:textId="77DA6769" w:rsidR="00674442" w:rsidRDefault="00B173D7" w:rsidP="00B173D7">
    <w:r>
      <w:rPr>
        <w:noProof/>
      </w:rPr>
      <w:drawing>
        <wp:inline distT="0" distB="0" distL="0" distR="0" wp14:anchorId="10BE2939" wp14:editId="245BDED1">
          <wp:extent cx="5731510" cy="937137"/>
          <wp:effectExtent l="0" t="0" r="2540"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t="-9404"/>
                  <a:stretch/>
                </pic:blipFill>
                <pic:spPr bwMode="auto">
                  <a:xfrm>
                    <a:off x="0" y="0"/>
                    <a:ext cx="5731510" cy="937137"/>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BC06" w14:textId="77777777" w:rsidR="005E4F82" w:rsidRDefault="005E4F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5BA11BA"/>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98F44D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82927DD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8EB2E0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B83C8292"/>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12B54B74"/>
    <w:multiLevelType w:val="hybridMultilevel"/>
    <w:tmpl w:val="A18CE9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BE2632"/>
    <w:multiLevelType w:val="hybridMultilevel"/>
    <w:tmpl w:val="9D3229B8"/>
    <w:lvl w:ilvl="0" w:tplc="0C090001">
      <w:start w:val="1"/>
      <w:numFmt w:val="bullet"/>
      <w:lvlText w:val=""/>
      <w:lvlJc w:val="left"/>
      <w:pPr>
        <w:ind w:left="2424" w:hanging="360"/>
      </w:pPr>
      <w:rPr>
        <w:rFonts w:ascii="Symbol" w:hAnsi="Symbol" w:hint="default"/>
      </w:rPr>
    </w:lvl>
    <w:lvl w:ilvl="1" w:tplc="0C090003">
      <w:start w:val="1"/>
      <w:numFmt w:val="bullet"/>
      <w:lvlText w:val="o"/>
      <w:lvlJc w:val="left"/>
      <w:pPr>
        <w:ind w:left="3144" w:hanging="360"/>
      </w:pPr>
      <w:rPr>
        <w:rFonts w:ascii="Courier New" w:hAnsi="Courier New" w:cs="Courier New" w:hint="default"/>
      </w:rPr>
    </w:lvl>
    <w:lvl w:ilvl="2" w:tplc="0C090005" w:tentative="1">
      <w:start w:val="1"/>
      <w:numFmt w:val="bullet"/>
      <w:lvlText w:val=""/>
      <w:lvlJc w:val="left"/>
      <w:pPr>
        <w:ind w:left="3864" w:hanging="360"/>
      </w:pPr>
      <w:rPr>
        <w:rFonts w:ascii="Wingdings" w:hAnsi="Wingdings" w:hint="default"/>
      </w:rPr>
    </w:lvl>
    <w:lvl w:ilvl="3" w:tplc="0C090001" w:tentative="1">
      <w:start w:val="1"/>
      <w:numFmt w:val="bullet"/>
      <w:lvlText w:val=""/>
      <w:lvlJc w:val="left"/>
      <w:pPr>
        <w:ind w:left="4584" w:hanging="360"/>
      </w:pPr>
      <w:rPr>
        <w:rFonts w:ascii="Symbol" w:hAnsi="Symbol" w:hint="default"/>
      </w:rPr>
    </w:lvl>
    <w:lvl w:ilvl="4" w:tplc="0C090003" w:tentative="1">
      <w:start w:val="1"/>
      <w:numFmt w:val="bullet"/>
      <w:lvlText w:val="o"/>
      <w:lvlJc w:val="left"/>
      <w:pPr>
        <w:ind w:left="5304" w:hanging="360"/>
      </w:pPr>
      <w:rPr>
        <w:rFonts w:ascii="Courier New" w:hAnsi="Courier New" w:cs="Courier New" w:hint="default"/>
      </w:rPr>
    </w:lvl>
    <w:lvl w:ilvl="5" w:tplc="0C090005" w:tentative="1">
      <w:start w:val="1"/>
      <w:numFmt w:val="bullet"/>
      <w:lvlText w:val=""/>
      <w:lvlJc w:val="left"/>
      <w:pPr>
        <w:ind w:left="6024" w:hanging="360"/>
      </w:pPr>
      <w:rPr>
        <w:rFonts w:ascii="Wingdings" w:hAnsi="Wingdings" w:hint="default"/>
      </w:rPr>
    </w:lvl>
    <w:lvl w:ilvl="6" w:tplc="0C090001" w:tentative="1">
      <w:start w:val="1"/>
      <w:numFmt w:val="bullet"/>
      <w:lvlText w:val=""/>
      <w:lvlJc w:val="left"/>
      <w:pPr>
        <w:ind w:left="6744" w:hanging="360"/>
      </w:pPr>
      <w:rPr>
        <w:rFonts w:ascii="Symbol" w:hAnsi="Symbol" w:hint="default"/>
      </w:rPr>
    </w:lvl>
    <w:lvl w:ilvl="7" w:tplc="0C090003" w:tentative="1">
      <w:start w:val="1"/>
      <w:numFmt w:val="bullet"/>
      <w:lvlText w:val="o"/>
      <w:lvlJc w:val="left"/>
      <w:pPr>
        <w:ind w:left="7464" w:hanging="360"/>
      </w:pPr>
      <w:rPr>
        <w:rFonts w:ascii="Courier New" w:hAnsi="Courier New" w:cs="Courier New" w:hint="default"/>
      </w:rPr>
    </w:lvl>
    <w:lvl w:ilvl="8" w:tplc="0C090005" w:tentative="1">
      <w:start w:val="1"/>
      <w:numFmt w:val="bullet"/>
      <w:lvlText w:val=""/>
      <w:lvlJc w:val="left"/>
      <w:pPr>
        <w:ind w:left="8184" w:hanging="360"/>
      </w:pPr>
      <w:rPr>
        <w:rFonts w:ascii="Wingdings" w:hAnsi="Wingdings" w:hint="default"/>
      </w:rPr>
    </w:lvl>
  </w:abstractNum>
  <w:abstractNum w:abstractNumId="7" w15:restartNumberingAfterBreak="0">
    <w:nsid w:val="1574390B"/>
    <w:multiLevelType w:val="hybridMultilevel"/>
    <w:tmpl w:val="4BCEA3C4"/>
    <w:lvl w:ilvl="0" w:tplc="0C090001">
      <w:start w:val="1"/>
      <w:numFmt w:val="bullet"/>
      <w:lvlText w:val=""/>
      <w:lvlJc w:val="left"/>
      <w:pPr>
        <w:ind w:left="720" w:hanging="360"/>
      </w:pPr>
      <w:rPr>
        <w:rFonts w:ascii="Symbol" w:hAnsi="Symbol" w:hint="default"/>
      </w:rPr>
    </w:lvl>
    <w:lvl w:ilvl="1" w:tplc="65B8C620">
      <w:start w:val="4"/>
      <w:numFmt w:val="bullet"/>
      <w:lvlText w:val="-"/>
      <w:lvlJc w:val="left"/>
      <w:pPr>
        <w:ind w:left="1440" w:hanging="360"/>
      </w:pPr>
      <w:rPr>
        <w:rFonts w:ascii="Calibri" w:eastAsiaTheme="minorHAnsi" w:hAnsi="Calibri" w:cs="Calibri" w:hint="default"/>
        <w:b w:val="0"/>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12458C"/>
    <w:multiLevelType w:val="hybridMultilevel"/>
    <w:tmpl w:val="841A5042"/>
    <w:lvl w:ilvl="0" w:tplc="04090001">
      <w:start w:val="1"/>
      <w:numFmt w:val="bullet"/>
      <w:lvlText w:val=""/>
      <w:lvlJc w:val="left"/>
      <w:pPr>
        <w:ind w:left="360" w:hanging="360"/>
      </w:pPr>
      <w:rPr>
        <w:rFonts w:ascii="Symbol" w:hAnsi="Symbol" w:hint="default"/>
      </w:rPr>
    </w:lvl>
    <w:lvl w:ilvl="1" w:tplc="6328716A">
      <w:start w:val="1"/>
      <w:numFmt w:val="bullet"/>
      <w:pStyle w:val="ListBullet2"/>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B52DF2"/>
    <w:multiLevelType w:val="hybridMultilevel"/>
    <w:tmpl w:val="9A08A16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EE90428"/>
    <w:multiLevelType w:val="hybridMultilevel"/>
    <w:tmpl w:val="C4605484"/>
    <w:lvl w:ilvl="0" w:tplc="0C090003">
      <w:start w:val="1"/>
      <w:numFmt w:val="bullet"/>
      <w:lvlText w:val="o"/>
      <w:lvlJc w:val="left"/>
      <w:pPr>
        <w:ind w:left="1494" w:hanging="360"/>
      </w:pPr>
      <w:rPr>
        <w:rFonts w:ascii="Courier New" w:hAnsi="Courier New" w:cs="Courier New"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1" w15:restartNumberingAfterBreak="0">
    <w:nsid w:val="2A401367"/>
    <w:multiLevelType w:val="hybridMultilevel"/>
    <w:tmpl w:val="121636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2BEA6438"/>
    <w:multiLevelType w:val="hybridMultilevel"/>
    <w:tmpl w:val="061CC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F81C90"/>
    <w:multiLevelType w:val="hybridMultilevel"/>
    <w:tmpl w:val="E5B619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0FB49E2"/>
    <w:multiLevelType w:val="hybridMultilevel"/>
    <w:tmpl w:val="6AF2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D330861"/>
    <w:multiLevelType w:val="hybridMultilevel"/>
    <w:tmpl w:val="46D02F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1B34510"/>
    <w:multiLevelType w:val="hybridMultilevel"/>
    <w:tmpl w:val="D79E820A"/>
    <w:lvl w:ilvl="0" w:tplc="F152803A">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2114F94"/>
    <w:multiLevelType w:val="hybridMultilevel"/>
    <w:tmpl w:val="512A0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4541399"/>
    <w:multiLevelType w:val="hybridMultilevel"/>
    <w:tmpl w:val="FDD6B39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0633AE4"/>
    <w:multiLevelType w:val="hybridMultilevel"/>
    <w:tmpl w:val="EC320288"/>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7">
      <w:start w:val="1"/>
      <w:numFmt w:val="lowerLetter"/>
      <w:lvlText w:val="%3)"/>
      <w:lvlJc w:val="lef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58DA6F0F"/>
    <w:multiLevelType w:val="hybridMultilevel"/>
    <w:tmpl w:val="43DCA6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AD4E43"/>
    <w:multiLevelType w:val="hybridMultilevel"/>
    <w:tmpl w:val="2BC6B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1E159D"/>
    <w:multiLevelType w:val="hybridMultilevel"/>
    <w:tmpl w:val="1CC89C24"/>
    <w:lvl w:ilvl="0" w:tplc="7D20947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5456429"/>
    <w:multiLevelType w:val="multilevel"/>
    <w:tmpl w:val="9F668088"/>
    <w:lvl w:ilvl="0">
      <w:start w:val="1"/>
      <w:numFmt w:val="lowerLetter"/>
      <w:pStyle w:val="ListNumber"/>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ListNumber2"/>
      <w:lvlText w:val="%2."/>
      <w:lvlJc w:val="left"/>
      <w:pPr>
        <w:ind w:left="738" w:hanging="369"/>
      </w:pPr>
      <w:rPr>
        <w:rFonts w:hint="default"/>
      </w:rPr>
    </w:lvl>
    <w:lvl w:ilvl="2">
      <w:start w:val="1"/>
      <w:numFmt w:val="lowerRoman"/>
      <w:pStyle w:val="ListNumber3"/>
      <w:lvlText w:val="%3."/>
      <w:lvlJc w:val="left"/>
      <w:pPr>
        <w:ind w:left="1107" w:hanging="369"/>
      </w:pPr>
      <w:rPr>
        <w:rFonts w:hint="default"/>
      </w:rPr>
    </w:lvl>
    <w:lvl w:ilvl="3">
      <w:start w:val="1"/>
      <w:numFmt w:val="none"/>
      <w:pStyle w:val="ListNumber4"/>
      <w:lvlText w:val="%4"/>
      <w:lvlJc w:val="left"/>
      <w:pPr>
        <w:ind w:left="1476" w:hanging="369"/>
      </w:pPr>
      <w:rPr>
        <w:rFonts w:hint="default"/>
      </w:rPr>
    </w:lvl>
    <w:lvl w:ilvl="4">
      <w:start w:val="1"/>
      <w:numFmt w:val="none"/>
      <w:pStyle w:val="ListNumber5"/>
      <w:lvlText w:val=""/>
      <w:lvlJc w:val="left"/>
      <w:pPr>
        <w:ind w:left="1845" w:hanging="369"/>
      </w:pPr>
      <w:rPr>
        <w:rFonts w:hint="default"/>
      </w:rPr>
    </w:lvl>
    <w:lvl w:ilvl="5">
      <w:start w:val="1"/>
      <w:numFmt w:val="none"/>
      <w:lvlText w:val=""/>
      <w:lvlJc w:val="left"/>
      <w:pPr>
        <w:ind w:left="2214" w:hanging="369"/>
      </w:pPr>
      <w:rPr>
        <w:rFonts w:hint="default"/>
      </w:rPr>
    </w:lvl>
    <w:lvl w:ilvl="6">
      <w:start w:val="1"/>
      <w:numFmt w:val="none"/>
      <w:lvlText w:val=""/>
      <w:lvlJc w:val="left"/>
      <w:pPr>
        <w:ind w:left="2583" w:hanging="369"/>
      </w:pPr>
      <w:rPr>
        <w:rFonts w:hint="default"/>
      </w:rPr>
    </w:lvl>
    <w:lvl w:ilvl="7">
      <w:start w:val="1"/>
      <w:numFmt w:val="none"/>
      <w:lvlText w:val=""/>
      <w:lvlJc w:val="left"/>
      <w:pPr>
        <w:ind w:left="2952" w:hanging="369"/>
      </w:pPr>
      <w:rPr>
        <w:rFonts w:hint="default"/>
      </w:rPr>
    </w:lvl>
    <w:lvl w:ilvl="8">
      <w:start w:val="1"/>
      <w:numFmt w:val="none"/>
      <w:lvlText w:val=""/>
      <w:lvlJc w:val="left"/>
      <w:pPr>
        <w:ind w:left="3321" w:hanging="369"/>
      </w:pPr>
      <w:rPr>
        <w:rFonts w:hint="default"/>
      </w:rPr>
    </w:lvl>
  </w:abstractNum>
  <w:abstractNum w:abstractNumId="24" w15:restartNumberingAfterBreak="0">
    <w:nsid w:val="68C21713"/>
    <w:multiLevelType w:val="hybridMultilevel"/>
    <w:tmpl w:val="E1389F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4AA6B3D"/>
    <w:multiLevelType w:val="hybridMultilevel"/>
    <w:tmpl w:val="A25AC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8B46692"/>
    <w:multiLevelType w:val="hybridMultilevel"/>
    <w:tmpl w:val="4E0A40B8"/>
    <w:lvl w:ilvl="0" w:tplc="04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A8C129D"/>
    <w:multiLevelType w:val="hybridMultilevel"/>
    <w:tmpl w:val="ABFC560C"/>
    <w:lvl w:ilvl="0" w:tplc="A3EC4224">
      <w:numFmt w:val="bullet"/>
      <w:lvlText w:val="-"/>
      <w:lvlJc w:val="left"/>
      <w:pPr>
        <w:ind w:left="720" w:hanging="360"/>
      </w:pPr>
      <w:rPr>
        <w:rFonts w:ascii="Arial" w:eastAsia="Calibr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7EA9793D"/>
    <w:multiLevelType w:val="hybridMultilevel"/>
    <w:tmpl w:val="E3EC84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1"/>
  </w:num>
  <w:num w:numId="2">
    <w:abstractNumId w:val="16"/>
  </w:num>
  <w:num w:numId="3">
    <w:abstractNumId w:val="8"/>
  </w:num>
  <w:num w:numId="4">
    <w:abstractNumId w:val="26"/>
  </w:num>
  <w:num w:numId="5">
    <w:abstractNumId w:val="23"/>
  </w:num>
  <w:num w:numId="6">
    <w:abstractNumId w:val="28"/>
  </w:num>
  <w:num w:numId="7">
    <w:abstractNumId w:val="11"/>
  </w:num>
  <w:num w:numId="8">
    <w:abstractNumId w:val="9"/>
  </w:num>
  <w:num w:numId="9">
    <w:abstractNumId w:val="19"/>
  </w:num>
  <w:num w:numId="10">
    <w:abstractNumId w:val="17"/>
  </w:num>
  <w:num w:numId="11">
    <w:abstractNumId w:val="5"/>
  </w:num>
  <w:num w:numId="12">
    <w:abstractNumId w:val="6"/>
  </w:num>
  <w:num w:numId="13">
    <w:abstractNumId w:val="14"/>
  </w:num>
  <w:num w:numId="14">
    <w:abstractNumId w:val="13"/>
  </w:num>
  <w:num w:numId="15">
    <w:abstractNumId w:val="12"/>
  </w:num>
  <w:num w:numId="16">
    <w:abstractNumId w:val="25"/>
  </w:num>
  <w:num w:numId="17">
    <w:abstractNumId w:val="10"/>
  </w:num>
  <w:num w:numId="18">
    <w:abstractNumId w:val="20"/>
  </w:num>
  <w:num w:numId="19">
    <w:abstractNumId w:val="18"/>
  </w:num>
  <w:num w:numId="20">
    <w:abstractNumId w:val="24"/>
  </w:num>
  <w:num w:numId="21">
    <w:abstractNumId w:val="7"/>
  </w:num>
  <w:num w:numId="22">
    <w:abstractNumId w:val="27"/>
  </w:num>
  <w:num w:numId="23">
    <w:abstractNumId w:val="15"/>
  </w:num>
  <w:num w:numId="24">
    <w:abstractNumId w:val="4"/>
  </w:num>
  <w:num w:numId="25">
    <w:abstractNumId w:val="3"/>
  </w:num>
  <w:num w:numId="26">
    <w:abstractNumId w:val="2"/>
  </w:num>
  <w:num w:numId="27">
    <w:abstractNumId w:val="1"/>
  </w:num>
  <w:num w:numId="28">
    <w:abstractNumId w:val="0"/>
  </w:num>
  <w:num w:numId="29">
    <w:abstractNumId w:val="4"/>
  </w:num>
  <w:num w:numId="30">
    <w:abstractNumId w:val="22"/>
  </w:num>
  <w:num w:numId="31">
    <w:abstractNumId w:val="4"/>
  </w:num>
  <w:num w:numId="3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F01"/>
    <w:rsid w:val="00000977"/>
    <w:rsid w:val="00001C0F"/>
    <w:rsid w:val="00001F2E"/>
    <w:rsid w:val="000027D1"/>
    <w:rsid w:val="0000291D"/>
    <w:rsid w:val="0000314E"/>
    <w:rsid w:val="00004A04"/>
    <w:rsid w:val="00004CEE"/>
    <w:rsid w:val="00006188"/>
    <w:rsid w:val="00006C75"/>
    <w:rsid w:val="0000782B"/>
    <w:rsid w:val="00007A2C"/>
    <w:rsid w:val="0001118A"/>
    <w:rsid w:val="00011711"/>
    <w:rsid w:val="0001219B"/>
    <w:rsid w:val="00012E57"/>
    <w:rsid w:val="000153D4"/>
    <w:rsid w:val="000165F5"/>
    <w:rsid w:val="00021EB2"/>
    <w:rsid w:val="000231F9"/>
    <w:rsid w:val="000234F2"/>
    <w:rsid w:val="00024510"/>
    <w:rsid w:val="00026064"/>
    <w:rsid w:val="00026102"/>
    <w:rsid w:val="0002640D"/>
    <w:rsid w:val="00026DE3"/>
    <w:rsid w:val="00033326"/>
    <w:rsid w:val="00033E94"/>
    <w:rsid w:val="0003489F"/>
    <w:rsid w:val="0003519F"/>
    <w:rsid w:val="00035C3A"/>
    <w:rsid w:val="00036A89"/>
    <w:rsid w:val="000417AB"/>
    <w:rsid w:val="000434C6"/>
    <w:rsid w:val="00043F01"/>
    <w:rsid w:val="00044A0C"/>
    <w:rsid w:val="00044D68"/>
    <w:rsid w:val="00045A7B"/>
    <w:rsid w:val="00046111"/>
    <w:rsid w:val="0004626D"/>
    <w:rsid w:val="000467AA"/>
    <w:rsid w:val="00046DB6"/>
    <w:rsid w:val="00050FEB"/>
    <w:rsid w:val="000513C2"/>
    <w:rsid w:val="00054365"/>
    <w:rsid w:val="000552BF"/>
    <w:rsid w:val="00055F11"/>
    <w:rsid w:val="00056D4F"/>
    <w:rsid w:val="0005726E"/>
    <w:rsid w:val="00061DA0"/>
    <w:rsid w:val="00064D9B"/>
    <w:rsid w:val="00065CE8"/>
    <w:rsid w:val="00067F48"/>
    <w:rsid w:val="00070EC9"/>
    <w:rsid w:val="00072097"/>
    <w:rsid w:val="00072B56"/>
    <w:rsid w:val="0007393B"/>
    <w:rsid w:val="00074D74"/>
    <w:rsid w:val="00075276"/>
    <w:rsid w:val="00076E3A"/>
    <w:rsid w:val="00077C8A"/>
    <w:rsid w:val="00077DF6"/>
    <w:rsid w:val="00081AB7"/>
    <w:rsid w:val="00081CF2"/>
    <w:rsid w:val="00082754"/>
    <w:rsid w:val="0008340B"/>
    <w:rsid w:val="00083DAB"/>
    <w:rsid w:val="00084C2B"/>
    <w:rsid w:val="00085E65"/>
    <w:rsid w:val="0008627E"/>
    <w:rsid w:val="000873F7"/>
    <w:rsid w:val="00087984"/>
    <w:rsid w:val="00087E63"/>
    <w:rsid w:val="00090F07"/>
    <w:rsid w:val="0009225F"/>
    <w:rsid w:val="00092A1C"/>
    <w:rsid w:val="000931F4"/>
    <w:rsid w:val="00093DDE"/>
    <w:rsid w:val="000941D6"/>
    <w:rsid w:val="00094406"/>
    <w:rsid w:val="00094676"/>
    <w:rsid w:val="000A0CC2"/>
    <w:rsid w:val="000A0DB3"/>
    <w:rsid w:val="000A6C1B"/>
    <w:rsid w:val="000A7F17"/>
    <w:rsid w:val="000B0788"/>
    <w:rsid w:val="000B2E61"/>
    <w:rsid w:val="000B44E3"/>
    <w:rsid w:val="000B5771"/>
    <w:rsid w:val="000B610D"/>
    <w:rsid w:val="000B66EF"/>
    <w:rsid w:val="000C0C16"/>
    <w:rsid w:val="000C0E96"/>
    <w:rsid w:val="000C12CE"/>
    <w:rsid w:val="000C2FAE"/>
    <w:rsid w:val="000C3EBB"/>
    <w:rsid w:val="000C599A"/>
    <w:rsid w:val="000C6A44"/>
    <w:rsid w:val="000C6FCC"/>
    <w:rsid w:val="000D0379"/>
    <w:rsid w:val="000D0DC8"/>
    <w:rsid w:val="000D412D"/>
    <w:rsid w:val="000D47B3"/>
    <w:rsid w:val="000D49CA"/>
    <w:rsid w:val="000D6594"/>
    <w:rsid w:val="000E235F"/>
    <w:rsid w:val="000E282D"/>
    <w:rsid w:val="000E36FB"/>
    <w:rsid w:val="000E3EAE"/>
    <w:rsid w:val="000E4C92"/>
    <w:rsid w:val="000E5918"/>
    <w:rsid w:val="000E5A0B"/>
    <w:rsid w:val="000E7F15"/>
    <w:rsid w:val="000F1BD9"/>
    <w:rsid w:val="000F246A"/>
    <w:rsid w:val="000F261F"/>
    <w:rsid w:val="000F4492"/>
    <w:rsid w:val="000F4628"/>
    <w:rsid w:val="000F60FC"/>
    <w:rsid w:val="000F66CA"/>
    <w:rsid w:val="000F71A2"/>
    <w:rsid w:val="00100C3F"/>
    <w:rsid w:val="00101F7E"/>
    <w:rsid w:val="00102B63"/>
    <w:rsid w:val="00102C45"/>
    <w:rsid w:val="00104C6A"/>
    <w:rsid w:val="001055A9"/>
    <w:rsid w:val="00105F55"/>
    <w:rsid w:val="00106BAB"/>
    <w:rsid w:val="001101E5"/>
    <w:rsid w:val="00110B68"/>
    <w:rsid w:val="00110BCD"/>
    <w:rsid w:val="00111886"/>
    <w:rsid w:val="0011314D"/>
    <w:rsid w:val="00115BE8"/>
    <w:rsid w:val="00116351"/>
    <w:rsid w:val="001205EA"/>
    <w:rsid w:val="001213EF"/>
    <w:rsid w:val="00121749"/>
    <w:rsid w:val="001228F1"/>
    <w:rsid w:val="001241BE"/>
    <w:rsid w:val="00124E60"/>
    <w:rsid w:val="0012560C"/>
    <w:rsid w:val="00125E0E"/>
    <w:rsid w:val="001260A7"/>
    <w:rsid w:val="0012660F"/>
    <w:rsid w:val="001272AB"/>
    <w:rsid w:val="00127C9B"/>
    <w:rsid w:val="00127E30"/>
    <w:rsid w:val="00127FFD"/>
    <w:rsid w:val="0013061A"/>
    <w:rsid w:val="0013115B"/>
    <w:rsid w:val="00132B2E"/>
    <w:rsid w:val="00133524"/>
    <w:rsid w:val="00134331"/>
    <w:rsid w:val="001346D6"/>
    <w:rsid w:val="0013565E"/>
    <w:rsid w:val="00135B7F"/>
    <w:rsid w:val="00136C6E"/>
    <w:rsid w:val="00136F8D"/>
    <w:rsid w:val="001400B0"/>
    <w:rsid w:val="00140C2C"/>
    <w:rsid w:val="00141996"/>
    <w:rsid w:val="00142496"/>
    <w:rsid w:val="00142563"/>
    <w:rsid w:val="001429A5"/>
    <w:rsid w:val="00142ACE"/>
    <w:rsid w:val="00142E4D"/>
    <w:rsid w:val="00143F8F"/>
    <w:rsid w:val="00144261"/>
    <w:rsid w:val="0014761F"/>
    <w:rsid w:val="00152930"/>
    <w:rsid w:val="00152C63"/>
    <w:rsid w:val="00152E10"/>
    <w:rsid w:val="001538F3"/>
    <w:rsid w:val="00154DAE"/>
    <w:rsid w:val="0015585E"/>
    <w:rsid w:val="00156BAB"/>
    <w:rsid w:val="00156C0D"/>
    <w:rsid w:val="001571AE"/>
    <w:rsid w:val="001606EA"/>
    <w:rsid w:val="00163722"/>
    <w:rsid w:val="00163AA5"/>
    <w:rsid w:val="00163CC7"/>
    <w:rsid w:val="00163D41"/>
    <w:rsid w:val="00164FCA"/>
    <w:rsid w:val="0016524E"/>
    <w:rsid w:val="001654BC"/>
    <w:rsid w:val="001663E1"/>
    <w:rsid w:val="00166922"/>
    <w:rsid w:val="001677A8"/>
    <w:rsid w:val="001713A7"/>
    <w:rsid w:val="001715C9"/>
    <w:rsid w:val="00172CA3"/>
    <w:rsid w:val="00176237"/>
    <w:rsid w:val="00181202"/>
    <w:rsid w:val="0018198B"/>
    <w:rsid w:val="001822E5"/>
    <w:rsid w:val="00183DE5"/>
    <w:rsid w:val="00184031"/>
    <w:rsid w:val="0018639D"/>
    <w:rsid w:val="0018656C"/>
    <w:rsid w:val="00186B76"/>
    <w:rsid w:val="00186CFE"/>
    <w:rsid w:val="00187B19"/>
    <w:rsid w:val="00187E10"/>
    <w:rsid w:val="00187ED0"/>
    <w:rsid w:val="00187FCD"/>
    <w:rsid w:val="00193316"/>
    <w:rsid w:val="00193ACA"/>
    <w:rsid w:val="001951C6"/>
    <w:rsid w:val="00195332"/>
    <w:rsid w:val="00196405"/>
    <w:rsid w:val="001971F5"/>
    <w:rsid w:val="00197621"/>
    <w:rsid w:val="001A0852"/>
    <w:rsid w:val="001A20EC"/>
    <w:rsid w:val="001A25AA"/>
    <w:rsid w:val="001A489A"/>
    <w:rsid w:val="001A5CE0"/>
    <w:rsid w:val="001A67D9"/>
    <w:rsid w:val="001A6F7A"/>
    <w:rsid w:val="001A70D7"/>
    <w:rsid w:val="001A7945"/>
    <w:rsid w:val="001A7FA7"/>
    <w:rsid w:val="001A7FE9"/>
    <w:rsid w:val="001B0C17"/>
    <w:rsid w:val="001B0F97"/>
    <w:rsid w:val="001B1757"/>
    <w:rsid w:val="001B3685"/>
    <w:rsid w:val="001B3BBA"/>
    <w:rsid w:val="001B4865"/>
    <w:rsid w:val="001B6279"/>
    <w:rsid w:val="001B77E1"/>
    <w:rsid w:val="001C0177"/>
    <w:rsid w:val="001C0320"/>
    <w:rsid w:val="001C1172"/>
    <w:rsid w:val="001C2B5C"/>
    <w:rsid w:val="001C48B2"/>
    <w:rsid w:val="001C5E73"/>
    <w:rsid w:val="001C6008"/>
    <w:rsid w:val="001C6A38"/>
    <w:rsid w:val="001C6BF6"/>
    <w:rsid w:val="001D059C"/>
    <w:rsid w:val="001D1802"/>
    <w:rsid w:val="001D2EA2"/>
    <w:rsid w:val="001D49DD"/>
    <w:rsid w:val="001D7698"/>
    <w:rsid w:val="001E0899"/>
    <w:rsid w:val="001E0E2E"/>
    <w:rsid w:val="001E22DF"/>
    <w:rsid w:val="001E2BFA"/>
    <w:rsid w:val="001E3F06"/>
    <w:rsid w:val="001E4A0E"/>
    <w:rsid w:val="001E5013"/>
    <w:rsid w:val="001E5CF8"/>
    <w:rsid w:val="001E6C5F"/>
    <w:rsid w:val="001E757A"/>
    <w:rsid w:val="001F03BB"/>
    <w:rsid w:val="001F0DB5"/>
    <w:rsid w:val="001F1B4C"/>
    <w:rsid w:val="001F40FD"/>
    <w:rsid w:val="001F43D0"/>
    <w:rsid w:val="001F4D25"/>
    <w:rsid w:val="001F4E8E"/>
    <w:rsid w:val="001F5237"/>
    <w:rsid w:val="001F652D"/>
    <w:rsid w:val="001F6868"/>
    <w:rsid w:val="002011C9"/>
    <w:rsid w:val="0020144A"/>
    <w:rsid w:val="00201648"/>
    <w:rsid w:val="002032E7"/>
    <w:rsid w:val="002038A4"/>
    <w:rsid w:val="00203B86"/>
    <w:rsid w:val="002051E8"/>
    <w:rsid w:val="00205520"/>
    <w:rsid w:val="002062EC"/>
    <w:rsid w:val="002065D4"/>
    <w:rsid w:val="0020680F"/>
    <w:rsid w:val="0020697D"/>
    <w:rsid w:val="00206984"/>
    <w:rsid w:val="00207010"/>
    <w:rsid w:val="002073BE"/>
    <w:rsid w:val="00211A1E"/>
    <w:rsid w:val="00212E63"/>
    <w:rsid w:val="00213EAE"/>
    <w:rsid w:val="00215DE0"/>
    <w:rsid w:val="00215F44"/>
    <w:rsid w:val="00216E11"/>
    <w:rsid w:val="00217482"/>
    <w:rsid w:val="00220329"/>
    <w:rsid w:val="0022130D"/>
    <w:rsid w:val="00222B15"/>
    <w:rsid w:val="00223586"/>
    <w:rsid w:val="00223BF8"/>
    <w:rsid w:val="00224388"/>
    <w:rsid w:val="002254DA"/>
    <w:rsid w:val="00225E09"/>
    <w:rsid w:val="00226755"/>
    <w:rsid w:val="00226B0F"/>
    <w:rsid w:val="002326CA"/>
    <w:rsid w:val="00232935"/>
    <w:rsid w:val="0023329A"/>
    <w:rsid w:val="002366FF"/>
    <w:rsid w:val="002371D7"/>
    <w:rsid w:val="00240E07"/>
    <w:rsid w:val="00240FCE"/>
    <w:rsid w:val="00241D6C"/>
    <w:rsid w:val="00244A0E"/>
    <w:rsid w:val="00246F2B"/>
    <w:rsid w:val="00247149"/>
    <w:rsid w:val="00247542"/>
    <w:rsid w:val="002500E3"/>
    <w:rsid w:val="0025011B"/>
    <w:rsid w:val="002537B4"/>
    <w:rsid w:val="00253B67"/>
    <w:rsid w:val="00255E5F"/>
    <w:rsid w:val="002570D3"/>
    <w:rsid w:val="00260379"/>
    <w:rsid w:val="002624ED"/>
    <w:rsid w:val="00262601"/>
    <w:rsid w:val="00262A2F"/>
    <w:rsid w:val="00263A3F"/>
    <w:rsid w:val="002648F8"/>
    <w:rsid w:val="00265F4C"/>
    <w:rsid w:val="00266994"/>
    <w:rsid w:val="0026714A"/>
    <w:rsid w:val="002671B4"/>
    <w:rsid w:val="00270921"/>
    <w:rsid w:val="002725FC"/>
    <w:rsid w:val="00272EA3"/>
    <w:rsid w:val="00273507"/>
    <w:rsid w:val="00274CD8"/>
    <w:rsid w:val="0027612A"/>
    <w:rsid w:val="00277120"/>
    <w:rsid w:val="00280290"/>
    <w:rsid w:val="002805E8"/>
    <w:rsid w:val="00283571"/>
    <w:rsid w:val="00283B3C"/>
    <w:rsid w:val="00283EA3"/>
    <w:rsid w:val="002850D6"/>
    <w:rsid w:val="002855EC"/>
    <w:rsid w:val="002873C0"/>
    <w:rsid w:val="002874A2"/>
    <w:rsid w:val="002921BF"/>
    <w:rsid w:val="002936DD"/>
    <w:rsid w:val="00294212"/>
    <w:rsid w:val="0029427E"/>
    <w:rsid w:val="002948D5"/>
    <w:rsid w:val="00296328"/>
    <w:rsid w:val="00296357"/>
    <w:rsid w:val="00297569"/>
    <w:rsid w:val="002A0BBD"/>
    <w:rsid w:val="002A0EA4"/>
    <w:rsid w:val="002A3A54"/>
    <w:rsid w:val="002A50B4"/>
    <w:rsid w:val="002A6F0C"/>
    <w:rsid w:val="002A7D7F"/>
    <w:rsid w:val="002B0BC0"/>
    <w:rsid w:val="002B0E8A"/>
    <w:rsid w:val="002B20D8"/>
    <w:rsid w:val="002B23BF"/>
    <w:rsid w:val="002B2649"/>
    <w:rsid w:val="002B4B0A"/>
    <w:rsid w:val="002B4FF8"/>
    <w:rsid w:val="002B5C99"/>
    <w:rsid w:val="002B5F87"/>
    <w:rsid w:val="002B72FD"/>
    <w:rsid w:val="002B734C"/>
    <w:rsid w:val="002B7952"/>
    <w:rsid w:val="002C0D90"/>
    <w:rsid w:val="002C1F40"/>
    <w:rsid w:val="002C34D1"/>
    <w:rsid w:val="002C355C"/>
    <w:rsid w:val="002C374A"/>
    <w:rsid w:val="002C385B"/>
    <w:rsid w:val="002C39F2"/>
    <w:rsid w:val="002C4953"/>
    <w:rsid w:val="002C589B"/>
    <w:rsid w:val="002C5AC5"/>
    <w:rsid w:val="002C5C94"/>
    <w:rsid w:val="002C63C4"/>
    <w:rsid w:val="002C6F15"/>
    <w:rsid w:val="002C7B10"/>
    <w:rsid w:val="002D201A"/>
    <w:rsid w:val="002D255E"/>
    <w:rsid w:val="002D25EF"/>
    <w:rsid w:val="002D2D67"/>
    <w:rsid w:val="002D5C15"/>
    <w:rsid w:val="002D5F1B"/>
    <w:rsid w:val="002D6D0B"/>
    <w:rsid w:val="002D7040"/>
    <w:rsid w:val="002D7766"/>
    <w:rsid w:val="002E021D"/>
    <w:rsid w:val="002E0795"/>
    <w:rsid w:val="002E174A"/>
    <w:rsid w:val="002E2192"/>
    <w:rsid w:val="002E2764"/>
    <w:rsid w:val="002E2A05"/>
    <w:rsid w:val="002E309D"/>
    <w:rsid w:val="002E38F8"/>
    <w:rsid w:val="002E4BF4"/>
    <w:rsid w:val="002E653D"/>
    <w:rsid w:val="002E7EC1"/>
    <w:rsid w:val="002F18BD"/>
    <w:rsid w:val="002F227D"/>
    <w:rsid w:val="002F26EC"/>
    <w:rsid w:val="002F386D"/>
    <w:rsid w:val="002F3A5B"/>
    <w:rsid w:val="002F50A4"/>
    <w:rsid w:val="002F6443"/>
    <w:rsid w:val="002F6752"/>
    <w:rsid w:val="002F73D4"/>
    <w:rsid w:val="002F7B20"/>
    <w:rsid w:val="00301F12"/>
    <w:rsid w:val="00301F18"/>
    <w:rsid w:val="0030219A"/>
    <w:rsid w:val="00303F0F"/>
    <w:rsid w:val="003049D0"/>
    <w:rsid w:val="00304DE1"/>
    <w:rsid w:val="0030518A"/>
    <w:rsid w:val="0030562D"/>
    <w:rsid w:val="003056F6"/>
    <w:rsid w:val="003058FE"/>
    <w:rsid w:val="00305CE5"/>
    <w:rsid w:val="00306221"/>
    <w:rsid w:val="00306A7C"/>
    <w:rsid w:val="0030718B"/>
    <w:rsid w:val="003072B0"/>
    <w:rsid w:val="00307AEC"/>
    <w:rsid w:val="00310589"/>
    <w:rsid w:val="003107C3"/>
    <w:rsid w:val="00310AE1"/>
    <w:rsid w:val="0031260C"/>
    <w:rsid w:val="003131CE"/>
    <w:rsid w:val="00313974"/>
    <w:rsid w:val="003142A0"/>
    <w:rsid w:val="003142FD"/>
    <w:rsid w:val="003145D0"/>
    <w:rsid w:val="00317905"/>
    <w:rsid w:val="00317D0E"/>
    <w:rsid w:val="00320003"/>
    <w:rsid w:val="0032059C"/>
    <w:rsid w:val="00320D93"/>
    <w:rsid w:val="00320F3A"/>
    <w:rsid w:val="0032130B"/>
    <w:rsid w:val="0032152F"/>
    <w:rsid w:val="003225E9"/>
    <w:rsid w:val="00323C78"/>
    <w:rsid w:val="00323E3B"/>
    <w:rsid w:val="00324143"/>
    <w:rsid w:val="00324B64"/>
    <w:rsid w:val="00325CD0"/>
    <w:rsid w:val="00325E43"/>
    <w:rsid w:val="00326F01"/>
    <w:rsid w:val="00327013"/>
    <w:rsid w:val="00327BCF"/>
    <w:rsid w:val="00330945"/>
    <w:rsid w:val="00330EBA"/>
    <w:rsid w:val="0033175F"/>
    <w:rsid w:val="00331BE6"/>
    <w:rsid w:val="003327A3"/>
    <w:rsid w:val="00333178"/>
    <w:rsid w:val="00336FD7"/>
    <w:rsid w:val="00337406"/>
    <w:rsid w:val="0033757E"/>
    <w:rsid w:val="00340D3F"/>
    <w:rsid w:val="00342093"/>
    <w:rsid w:val="00344885"/>
    <w:rsid w:val="00345864"/>
    <w:rsid w:val="00347DFD"/>
    <w:rsid w:val="00350653"/>
    <w:rsid w:val="003507C6"/>
    <w:rsid w:val="00352651"/>
    <w:rsid w:val="00352EE7"/>
    <w:rsid w:val="003545CA"/>
    <w:rsid w:val="003573A6"/>
    <w:rsid w:val="00360424"/>
    <w:rsid w:val="003617F7"/>
    <w:rsid w:val="00361D4E"/>
    <w:rsid w:val="00361EB2"/>
    <w:rsid w:val="00362E7A"/>
    <w:rsid w:val="00366EAE"/>
    <w:rsid w:val="0036755B"/>
    <w:rsid w:val="0036755F"/>
    <w:rsid w:val="00372D3D"/>
    <w:rsid w:val="00373974"/>
    <w:rsid w:val="003744E7"/>
    <w:rsid w:val="003751A5"/>
    <w:rsid w:val="00377587"/>
    <w:rsid w:val="003775EE"/>
    <w:rsid w:val="00377A2C"/>
    <w:rsid w:val="00377CE4"/>
    <w:rsid w:val="00380CF3"/>
    <w:rsid w:val="00381147"/>
    <w:rsid w:val="0038191C"/>
    <w:rsid w:val="0038247A"/>
    <w:rsid w:val="00383EF2"/>
    <w:rsid w:val="0038551C"/>
    <w:rsid w:val="0038619F"/>
    <w:rsid w:val="003914BA"/>
    <w:rsid w:val="00391D39"/>
    <w:rsid w:val="003920FB"/>
    <w:rsid w:val="003935D5"/>
    <w:rsid w:val="00393FCE"/>
    <w:rsid w:val="0039435B"/>
    <w:rsid w:val="00395599"/>
    <w:rsid w:val="00396701"/>
    <w:rsid w:val="003A01BD"/>
    <w:rsid w:val="003A03D3"/>
    <w:rsid w:val="003A109A"/>
    <w:rsid w:val="003A1942"/>
    <w:rsid w:val="003A20E9"/>
    <w:rsid w:val="003A231A"/>
    <w:rsid w:val="003A287B"/>
    <w:rsid w:val="003A2CF3"/>
    <w:rsid w:val="003A35B0"/>
    <w:rsid w:val="003A6936"/>
    <w:rsid w:val="003A69BE"/>
    <w:rsid w:val="003A7D6D"/>
    <w:rsid w:val="003B0A55"/>
    <w:rsid w:val="003B1DA2"/>
    <w:rsid w:val="003B1F82"/>
    <w:rsid w:val="003B208B"/>
    <w:rsid w:val="003B2F0E"/>
    <w:rsid w:val="003B4B04"/>
    <w:rsid w:val="003B4FF5"/>
    <w:rsid w:val="003B5A5C"/>
    <w:rsid w:val="003B5DF1"/>
    <w:rsid w:val="003B784D"/>
    <w:rsid w:val="003B7A78"/>
    <w:rsid w:val="003C028E"/>
    <w:rsid w:val="003C19BD"/>
    <w:rsid w:val="003C1E56"/>
    <w:rsid w:val="003C4C13"/>
    <w:rsid w:val="003C4E0B"/>
    <w:rsid w:val="003C7591"/>
    <w:rsid w:val="003D0A3B"/>
    <w:rsid w:val="003D186F"/>
    <w:rsid w:val="003D2D5B"/>
    <w:rsid w:val="003D36EA"/>
    <w:rsid w:val="003D3FE9"/>
    <w:rsid w:val="003D4ED8"/>
    <w:rsid w:val="003D552D"/>
    <w:rsid w:val="003D5956"/>
    <w:rsid w:val="003E08A3"/>
    <w:rsid w:val="003E1189"/>
    <w:rsid w:val="003E2681"/>
    <w:rsid w:val="003E2B1F"/>
    <w:rsid w:val="003E464A"/>
    <w:rsid w:val="003E5D9C"/>
    <w:rsid w:val="003E74BC"/>
    <w:rsid w:val="003F0956"/>
    <w:rsid w:val="003F1F17"/>
    <w:rsid w:val="003F316A"/>
    <w:rsid w:val="003F3D39"/>
    <w:rsid w:val="003F45DE"/>
    <w:rsid w:val="003F5CAF"/>
    <w:rsid w:val="003F6654"/>
    <w:rsid w:val="0040290A"/>
    <w:rsid w:val="00403782"/>
    <w:rsid w:val="00403B86"/>
    <w:rsid w:val="004078C3"/>
    <w:rsid w:val="0041084F"/>
    <w:rsid w:val="00412C26"/>
    <w:rsid w:val="0041526C"/>
    <w:rsid w:val="00415443"/>
    <w:rsid w:val="00417901"/>
    <w:rsid w:val="004200A5"/>
    <w:rsid w:val="004229FA"/>
    <w:rsid w:val="00422DBA"/>
    <w:rsid w:val="0042486E"/>
    <w:rsid w:val="00424BD0"/>
    <w:rsid w:val="00425021"/>
    <w:rsid w:val="00427EC6"/>
    <w:rsid w:val="0043118A"/>
    <w:rsid w:val="00431CDC"/>
    <w:rsid w:val="00433229"/>
    <w:rsid w:val="00436B75"/>
    <w:rsid w:val="00440347"/>
    <w:rsid w:val="004410E3"/>
    <w:rsid w:val="00441843"/>
    <w:rsid w:val="00442A2A"/>
    <w:rsid w:val="00442CBC"/>
    <w:rsid w:val="00443A7E"/>
    <w:rsid w:val="00444430"/>
    <w:rsid w:val="00444F82"/>
    <w:rsid w:val="00445F98"/>
    <w:rsid w:val="00447F22"/>
    <w:rsid w:val="0045048A"/>
    <w:rsid w:val="0045118E"/>
    <w:rsid w:val="0045208D"/>
    <w:rsid w:val="00452BA9"/>
    <w:rsid w:val="00453C34"/>
    <w:rsid w:val="00454BF1"/>
    <w:rsid w:val="00456475"/>
    <w:rsid w:val="004568B5"/>
    <w:rsid w:val="00457EAD"/>
    <w:rsid w:val="00460DAB"/>
    <w:rsid w:val="00461737"/>
    <w:rsid w:val="004628F7"/>
    <w:rsid w:val="004637EC"/>
    <w:rsid w:val="00463CAD"/>
    <w:rsid w:val="00463CD5"/>
    <w:rsid w:val="00465A46"/>
    <w:rsid w:val="00467F8E"/>
    <w:rsid w:val="0047016E"/>
    <w:rsid w:val="00471B38"/>
    <w:rsid w:val="00471E44"/>
    <w:rsid w:val="00472633"/>
    <w:rsid w:val="0047297F"/>
    <w:rsid w:val="00474007"/>
    <w:rsid w:val="004743AC"/>
    <w:rsid w:val="00474D19"/>
    <w:rsid w:val="00475B20"/>
    <w:rsid w:val="00476451"/>
    <w:rsid w:val="0048113C"/>
    <w:rsid w:val="004839A8"/>
    <w:rsid w:val="00483F32"/>
    <w:rsid w:val="00485C87"/>
    <w:rsid w:val="004869C7"/>
    <w:rsid w:val="00487138"/>
    <w:rsid w:val="0048721F"/>
    <w:rsid w:val="004930C6"/>
    <w:rsid w:val="00493A9C"/>
    <w:rsid w:val="00493D98"/>
    <w:rsid w:val="00493E63"/>
    <w:rsid w:val="00493F9C"/>
    <w:rsid w:val="00494E42"/>
    <w:rsid w:val="00495041"/>
    <w:rsid w:val="00496605"/>
    <w:rsid w:val="00496765"/>
    <w:rsid w:val="00496C2B"/>
    <w:rsid w:val="00496D2D"/>
    <w:rsid w:val="004A1221"/>
    <w:rsid w:val="004A5DCF"/>
    <w:rsid w:val="004A772F"/>
    <w:rsid w:val="004B04C9"/>
    <w:rsid w:val="004B0584"/>
    <w:rsid w:val="004B06B8"/>
    <w:rsid w:val="004B07D2"/>
    <w:rsid w:val="004B0ABC"/>
    <w:rsid w:val="004B3E30"/>
    <w:rsid w:val="004B4DF6"/>
    <w:rsid w:val="004B55E1"/>
    <w:rsid w:val="004B6628"/>
    <w:rsid w:val="004B79F2"/>
    <w:rsid w:val="004C1086"/>
    <w:rsid w:val="004C1B23"/>
    <w:rsid w:val="004C281D"/>
    <w:rsid w:val="004C2E48"/>
    <w:rsid w:val="004C478F"/>
    <w:rsid w:val="004C4C46"/>
    <w:rsid w:val="004C544D"/>
    <w:rsid w:val="004C5774"/>
    <w:rsid w:val="004C5BC5"/>
    <w:rsid w:val="004C5E15"/>
    <w:rsid w:val="004C6F98"/>
    <w:rsid w:val="004C745F"/>
    <w:rsid w:val="004D17EE"/>
    <w:rsid w:val="004D1A45"/>
    <w:rsid w:val="004D2A95"/>
    <w:rsid w:val="004D315B"/>
    <w:rsid w:val="004D3470"/>
    <w:rsid w:val="004D47E0"/>
    <w:rsid w:val="004D4EB3"/>
    <w:rsid w:val="004D7A5D"/>
    <w:rsid w:val="004D7B92"/>
    <w:rsid w:val="004E166E"/>
    <w:rsid w:val="004E361E"/>
    <w:rsid w:val="004E3D1B"/>
    <w:rsid w:val="004E6A05"/>
    <w:rsid w:val="004E6DA0"/>
    <w:rsid w:val="004E7B80"/>
    <w:rsid w:val="004E7DEC"/>
    <w:rsid w:val="004E7EDE"/>
    <w:rsid w:val="004F037C"/>
    <w:rsid w:val="004F0D3B"/>
    <w:rsid w:val="004F17E7"/>
    <w:rsid w:val="004F2251"/>
    <w:rsid w:val="004F269F"/>
    <w:rsid w:val="004F36A9"/>
    <w:rsid w:val="004F4F01"/>
    <w:rsid w:val="004F5388"/>
    <w:rsid w:val="00500833"/>
    <w:rsid w:val="00500D56"/>
    <w:rsid w:val="00501860"/>
    <w:rsid w:val="00502423"/>
    <w:rsid w:val="00502428"/>
    <w:rsid w:val="005029F5"/>
    <w:rsid w:val="00503D69"/>
    <w:rsid w:val="0050401E"/>
    <w:rsid w:val="00504FF1"/>
    <w:rsid w:val="0050620E"/>
    <w:rsid w:val="00507499"/>
    <w:rsid w:val="00510268"/>
    <w:rsid w:val="0051150B"/>
    <w:rsid w:val="00511CE4"/>
    <w:rsid w:val="005133B3"/>
    <w:rsid w:val="00513C5F"/>
    <w:rsid w:val="00513CA8"/>
    <w:rsid w:val="00515306"/>
    <w:rsid w:val="005155FC"/>
    <w:rsid w:val="00516D7D"/>
    <w:rsid w:val="005215C3"/>
    <w:rsid w:val="00522F17"/>
    <w:rsid w:val="00525FCB"/>
    <w:rsid w:val="0052652B"/>
    <w:rsid w:val="005268F6"/>
    <w:rsid w:val="00526B4B"/>
    <w:rsid w:val="00530FD1"/>
    <w:rsid w:val="0053116B"/>
    <w:rsid w:val="00532F8F"/>
    <w:rsid w:val="005336A1"/>
    <w:rsid w:val="00533C52"/>
    <w:rsid w:val="00533C6F"/>
    <w:rsid w:val="00534422"/>
    <w:rsid w:val="005361E9"/>
    <w:rsid w:val="005365BF"/>
    <w:rsid w:val="00541092"/>
    <w:rsid w:val="00543E29"/>
    <w:rsid w:val="00544892"/>
    <w:rsid w:val="005464A1"/>
    <w:rsid w:val="00546522"/>
    <w:rsid w:val="005468BE"/>
    <w:rsid w:val="005477A6"/>
    <w:rsid w:val="005479A0"/>
    <w:rsid w:val="0055118D"/>
    <w:rsid w:val="005515BA"/>
    <w:rsid w:val="0055395D"/>
    <w:rsid w:val="0055428A"/>
    <w:rsid w:val="005559C0"/>
    <w:rsid w:val="00555D6D"/>
    <w:rsid w:val="005572B2"/>
    <w:rsid w:val="0056210B"/>
    <w:rsid w:val="00562456"/>
    <w:rsid w:val="00563988"/>
    <w:rsid w:val="00563D6F"/>
    <w:rsid w:val="00563F2E"/>
    <w:rsid w:val="00564565"/>
    <w:rsid w:val="00564D21"/>
    <w:rsid w:val="00566E42"/>
    <w:rsid w:val="005716AA"/>
    <w:rsid w:val="005726B7"/>
    <w:rsid w:val="00574E9F"/>
    <w:rsid w:val="00575576"/>
    <w:rsid w:val="0057661E"/>
    <w:rsid w:val="00577961"/>
    <w:rsid w:val="00580346"/>
    <w:rsid w:val="005812C4"/>
    <w:rsid w:val="00581726"/>
    <w:rsid w:val="00582EE5"/>
    <w:rsid w:val="0058381C"/>
    <w:rsid w:val="00583A06"/>
    <w:rsid w:val="00585F1D"/>
    <w:rsid w:val="0058638A"/>
    <w:rsid w:val="005865A8"/>
    <w:rsid w:val="005875BE"/>
    <w:rsid w:val="00591D89"/>
    <w:rsid w:val="00591DC4"/>
    <w:rsid w:val="0059205E"/>
    <w:rsid w:val="00592CBF"/>
    <w:rsid w:val="00593E19"/>
    <w:rsid w:val="005955B8"/>
    <w:rsid w:val="00595ECF"/>
    <w:rsid w:val="00595F5E"/>
    <w:rsid w:val="00596061"/>
    <w:rsid w:val="005A024C"/>
    <w:rsid w:val="005A1556"/>
    <w:rsid w:val="005A1883"/>
    <w:rsid w:val="005A21D1"/>
    <w:rsid w:val="005A56C2"/>
    <w:rsid w:val="005A5C39"/>
    <w:rsid w:val="005A6938"/>
    <w:rsid w:val="005A7AEA"/>
    <w:rsid w:val="005B1626"/>
    <w:rsid w:val="005B399C"/>
    <w:rsid w:val="005B4FB0"/>
    <w:rsid w:val="005B5725"/>
    <w:rsid w:val="005B60E8"/>
    <w:rsid w:val="005B6BF8"/>
    <w:rsid w:val="005C127C"/>
    <w:rsid w:val="005C13AC"/>
    <w:rsid w:val="005C145C"/>
    <w:rsid w:val="005C1D47"/>
    <w:rsid w:val="005C4479"/>
    <w:rsid w:val="005C45D4"/>
    <w:rsid w:val="005C550A"/>
    <w:rsid w:val="005C59FB"/>
    <w:rsid w:val="005C65DF"/>
    <w:rsid w:val="005C68C8"/>
    <w:rsid w:val="005C6BF5"/>
    <w:rsid w:val="005C6D88"/>
    <w:rsid w:val="005C7A0D"/>
    <w:rsid w:val="005D0B79"/>
    <w:rsid w:val="005D1B9B"/>
    <w:rsid w:val="005D232D"/>
    <w:rsid w:val="005D3559"/>
    <w:rsid w:val="005D451C"/>
    <w:rsid w:val="005D47F7"/>
    <w:rsid w:val="005D5EAB"/>
    <w:rsid w:val="005D7DF4"/>
    <w:rsid w:val="005E0C7C"/>
    <w:rsid w:val="005E1F42"/>
    <w:rsid w:val="005E3652"/>
    <w:rsid w:val="005E4F82"/>
    <w:rsid w:val="005E5480"/>
    <w:rsid w:val="005E6194"/>
    <w:rsid w:val="005E62AB"/>
    <w:rsid w:val="005E71C6"/>
    <w:rsid w:val="005F1591"/>
    <w:rsid w:val="005F3F55"/>
    <w:rsid w:val="005F43DA"/>
    <w:rsid w:val="005F509F"/>
    <w:rsid w:val="005F59A4"/>
    <w:rsid w:val="005F6551"/>
    <w:rsid w:val="005F72C0"/>
    <w:rsid w:val="005F7F30"/>
    <w:rsid w:val="006014D2"/>
    <w:rsid w:val="006028C2"/>
    <w:rsid w:val="00603919"/>
    <w:rsid w:val="00603AA7"/>
    <w:rsid w:val="00605C28"/>
    <w:rsid w:val="006065A3"/>
    <w:rsid w:val="006079CD"/>
    <w:rsid w:val="006079FF"/>
    <w:rsid w:val="00607E05"/>
    <w:rsid w:val="00607F01"/>
    <w:rsid w:val="006101B6"/>
    <w:rsid w:val="006118C5"/>
    <w:rsid w:val="00612328"/>
    <w:rsid w:val="00613B6C"/>
    <w:rsid w:val="00613D5C"/>
    <w:rsid w:val="006156C9"/>
    <w:rsid w:val="00615D3D"/>
    <w:rsid w:val="006164F0"/>
    <w:rsid w:val="00616C11"/>
    <w:rsid w:val="0062419E"/>
    <w:rsid w:val="006248E1"/>
    <w:rsid w:val="00625C01"/>
    <w:rsid w:val="00626086"/>
    <w:rsid w:val="00627460"/>
    <w:rsid w:val="00627525"/>
    <w:rsid w:val="006275F8"/>
    <w:rsid w:val="00627CE1"/>
    <w:rsid w:val="0063193A"/>
    <w:rsid w:val="00632FC6"/>
    <w:rsid w:val="006336C2"/>
    <w:rsid w:val="0063490E"/>
    <w:rsid w:val="006358BA"/>
    <w:rsid w:val="00637FFD"/>
    <w:rsid w:val="00640A30"/>
    <w:rsid w:val="00641158"/>
    <w:rsid w:val="00643569"/>
    <w:rsid w:val="006441E0"/>
    <w:rsid w:val="00653216"/>
    <w:rsid w:val="00653B93"/>
    <w:rsid w:val="00653E42"/>
    <w:rsid w:val="006550A6"/>
    <w:rsid w:val="00655FF6"/>
    <w:rsid w:val="006577C4"/>
    <w:rsid w:val="006629F8"/>
    <w:rsid w:val="00662E22"/>
    <w:rsid w:val="00664E80"/>
    <w:rsid w:val="00665449"/>
    <w:rsid w:val="00665458"/>
    <w:rsid w:val="00665C84"/>
    <w:rsid w:val="00666CFB"/>
    <w:rsid w:val="00666F9E"/>
    <w:rsid w:val="00670C25"/>
    <w:rsid w:val="00671A49"/>
    <w:rsid w:val="00673A5C"/>
    <w:rsid w:val="00673EB8"/>
    <w:rsid w:val="00674442"/>
    <w:rsid w:val="00675745"/>
    <w:rsid w:val="0067575C"/>
    <w:rsid w:val="00676B4A"/>
    <w:rsid w:val="00680597"/>
    <w:rsid w:val="00681277"/>
    <w:rsid w:val="00681FBA"/>
    <w:rsid w:val="00683059"/>
    <w:rsid w:val="00683C5D"/>
    <w:rsid w:val="00683CED"/>
    <w:rsid w:val="00684CFB"/>
    <w:rsid w:val="006859C0"/>
    <w:rsid w:val="00685FF9"/>
    <w:rsid w:val="00687209"/>
    <w:rsid w:val="00687306"/>
    <w:rsid w:val="006873BD"/>
    <w:rsid w:val="006879AC"/>
    <w:rsid w:val="0069014B"/>
    <w:rsid w:val="0069045A"/>
    <w:rsid w:val="00691B77"/>
    <w:rsid w:val="00691D41"/>
    <w:rsid w:val="0069200F"/>
    <w:rsid w:val="00693F48"/>
    <w:rsid w:val="00695A6D"/>
    <w:rsid w:val="006966E6"/>
    <w:rsid w:val="00696C68"/>
    <w:rsid w:val="00697D0D"/>
    <w:rsid w:val="006A0181"/>
    <w:rsid w:val="006A1951"/>
    <w:rsid w:val="006A5714"/>
    <w:rsid w:val="006A5A06"/>
    <w:rsid w:val="006A5AB8"/>
    <w:rsid w:val="006A5B14"/>
    <w:rsid w:val="006A6927"/>
    <w:rsid w:val="006A6F67"/>
    <w:rsid w:val="006A706D"/>
    <w:rsid w:val="006A7567"/>
    <w:rsid w:val="006A7942"/>
    <w:rsid w:val="006B01EC"/>
    <w:rsid w:val="006B1195"/>
    <w:rsid w:val="006B2DC5"/>
    <w:rsid w:val="006B3916"/>
    <w:rsid w:val="006B4838"/>
    <w:rsid w:val="006B6D39"/>
    <w:rsid w:val="006B7267"/>
    <w:rsid w:val="006B7ECE"/>
    <w:rsid w:val="006C04DE"/>
    <w:rsid w:val="006C0612"/>
    <w:rsid w:val="006C0817"/>
    <w:rsid w:val="006C1320"/>
    <w:rsid w:val="006C2F53"/>
    <w:rsid w:val="006C33BA"/>
    <w:rsid w:val="006C3EDC"/>
    <w:rsid w:val="006C5A32"/>
    <w:rsid w:val="006C5D84"/>
    <w:rsid w:val="006C615F"/>
    <w:rsid w:val="006C6F66"/>
    <w:rsid w:val="006C7104"/>
    <w:rsid w:val="006C719A"/>
    <w:rsid w:val="006D0A41"/>
    <w:rsid w:val="006D0A45"/>
    <w:rsid w:val="006D199F"/>
    <w:rsid w:val="006D1CCC"/>
    <w:rsid w:val="006D1F78"/>
    <w:rsid w:val="006D47F9"/>
    <w:rsid w:val="006D596A"/>
    <w:rsid w:val="006D70B0"/>
    <w:rsid w:val="006D755C"/>
    <w:rsid w:val="006D782A"/>
    <w:rsid w:val="006E243F"/>
    <w:rsid w:val="006E2F73"/>
    <w:rsid w:val="006E66C9"/>
    <w:rsid w:val="006F0523"/>
    <w:rsid w:val="006F088E"/>
    <w:rsid w:val="006F122E"/>
    <w:rsid w:val="006F1B27"/>
    <w:rsid w:val="006F1C50"/>
    <w:rsid w:val="006F41F2"/>
    <w:rsid w:val="006F56E9"/>
    <w:rsid w:val="006F580F"/>
    <w:rsid w:val="006F5B05"/>
    <w:rsid w:val="006F6CB0"/>
    <w:rsid w:val="00702154"/>
    <w:rsid w:val="00702D01"/>
    <w:rsid w:val="00702E9D"/>
    <w:rsid w:val="007047A4"/>
    <w:rsid w:val="00706DB4"/>
    <w:rsid w:val="00706F99"/>
    <w:rsid w:val="0070708B"/>
    <w:rsid w:val="00707DCF"/>
    <w:rsid w:val="00710271"/>
    <w:rsid w:val="00710396"/>
    <w:rsid w:val="00712194"/>
    <w:rsid w:val="007121B5"/>
    <w:rsid w:val="0071360D"/>
    <w:rsid w:val="007140BB"/>
    <w:rsid w:val="00714301"/>
    <w:rsid w:val="00714857"/>
    <w:rsid w:val="0071765A"/>
    <w:rsid w:val="0072390B"/>
    <w:rsid w:val="00723CF5"/>
    <w:rsid w:val="007242BB"/>
    <w:rsid w:val="00724A07"/>
    <w:rsid w:val="00724BFA"/>
    <w:rsid w:val="00725314"/>
    <w:rsid w:val="0072627A"/>
    <w:rsid w:val="00726C6A"/>
    <w:rsid w:val="007312FB"/>
    <w:rsid w:val="00732A72"/>
    <w:rsid w:val="00732AA6"/>
    <w:rsid w:val="00733A1B"/>
    <w:rsid w:val="00734152"/>
    <w:rsid w:val="00735264"/>
    <w:rsid w:val="0073553E"/>
    <w:rsid w:val="00740F20"/>
    <w:rsid w:val="00743070"/>
    <w:rsid w:val="007457D5"/>
    <w:rsid w:val="00747AD0"/>
    <w:rsid w:val="007503F6"/>
    <w:rsid w:val="00750AE5"/>
    <w:rsid w:val="00750D47"/>
    <w:rsid w:val="00750DEF"/>
    <w:rsid w:val="00751625"/>
    <w:rsid w:val="007520FB"/>
    <w:rsid w:val="00753555"/>
    <w:rsid w:val="00753653"/>
    <w:rsid w:val="00753BDB"/>
    <w:rsid w:val="00753CAB"/>
    <w:rsid w:val="00753D70"/>
    <w:rsid w:val="00753E0F"/>
    <w:rsid w:val="00755AE6"/>
    <w:rsid w:val="007563B8"/>
    <w:rsid w:val="007564C7"/>
    <w:rsid w:val="007571B3"/>
    <w:rsid w:val="007576B1"/>
    <w:rsid w:val="0076046A"/>
    <w:rsid w:val="007612B1"/>
    <w:rsid w:val="00761ABF"/>
    <w:rsid w:val="00762317"/>
    <w:rsid w:val="007643EE"/>
    <w:rsid w:val="00765315"/>
    <w:rsid w:val="00765937"/>
    <w:rsid w:val="0076699E"/>
    <w:rsid w:val="00767B9F"/>
    <w:rsid w:val="00767D4B"/>
    <w:rsid w:val="00770381"/>
    <w:rsid w:val="00770BED"/>
    <w:rsid w:val="007716B2"/>
    <w:rsid w:val="007721C3"/>
    <w:rsid w:val="007735D1"/>
    <w:rsid w:val="007775EE"/>
    <w:rsid w:val="00777DF0"/>
    <w:rsid w:val="00777EF8"/>
    <w:rsid w:val="00780310"/>
    <w:rsid w:val="00781FB6"/>
    <w:rsid w:val="00783163"/>
    <w:rsid w:val="007849DD"/>
    <w:rsid w:val="00787487"/>
    <w:rsid w:val="00791627"/>
    <w:rsid w:val="00792E4A"/>
    <w:rsid w:val="00793141"/>
    <w:rsid w:val="007937E3"/>
    <w:rsid w:val="0079545E"/>
    <w:rsid w:val="00795DDF"/>
    <w:rsid w:val="007963FF"/>
    <w:rsid w:val="00796AE2"/>
    <w:rsid w:val="00797D29"/>
    <w:rsid w:val="007A0F8E"/>
    <w:rsid w:val="007A193B"/>
    <w:rsid w:val="007A1C67"/>
    <w:rsid w:val="007A2BE2"/>
    <w:rsid w:val="007A383D"/>
    <w:rsid w:val="007A5B16"/>
    <w:rsid w:val="007A7DBA"/>
    <w:rsid w:val="007B1170"/>
    <w:rsid w:val="007B1353"/>
    <w:rsid w:val="007B2267"/>
    <w:rsid w:val="007B41EC"/>
    <w:rsid w:val="007B476D"/>
    <w:rsid w:val="007B4CD8"/>
    <w:rsid w:val="007B4CFB"/>
    <w:rsid w:val="007B61C2"/>
    <w:rsid w:val="007B6435"/>
    <w:rsid w:val="007B6552"/>
    <w:rsid w:val="007B6A00"/>
    <w:rsid w:val="007B7342"/>
    <w:rsid w:val="007C02C0"/>
    <w:rsid w:val="007C119D"/>
    <w:rsid w:val="007C2FCF"/>
    <w:rsid w:val="007C35A1"/>
    <w:rsid w:val="007C3B6B"/>
    <w:rsid w:val="007D10F0"/>
    <w:rsid w:val="007D1A6C"/>
    <w:rsid w:val="007D21A1"/>
    <w:rsid w:val="007D2255"/>
    <w:rsid w:val="007D533F"/>
    <w:rsid w:val="007D5FD0"/>
    <w:rsid w:val="007D6C97"/>
    <w:rsid w:val="007D6E6A"/>
    <w:rsid w:val="007D6F5F"/>
    <w:rsid w:val="007E046E"/>
    <w:rsid w:val="007E110B"/>
    <w:rsid w:val="007E3DA1"/>
    <w:rsid w:val="007E48FA"/>
    <w:rsid w:val="007E60FC"/>
    <w:rsid w:val="007F026F"/>
    <w:rsid w:val="007F0741"/>
    <w:rsid w:val="007F12EA"/>
    <w:rsid w:val="007F1342"/>
    <w:rsid w:val="007F1D42"/>
    <w:rsid w:val="007F2032"/>
    <w:rsid w:val="007F3867"/>
    <w:rsid w:val="007F5201"/>
    <w:rsid w:val="007F5715"/>
    <w:rsid w:val="007F6864"/>
    <w:rsid w:val="007F77AE"/>
    <w:rsid w:val="007F79A0"/>
    <w:rsid w:val="008013CB"/>
    <w:rsid w:val="008016B7"/>
    <w:rsid w:val="00802D26"/>
    <w:rsid w:val="0080334D"/>
    <w:rsid w:val="00803C5B"/>
    <w:rsid w:val="0080533C"/>
    <w:rsid w:val="00806E68"/>
    <w:rsid w:val="00807014"/>
    <w:rsid w:val="008116AC"/>
    <w:rsid w:val="00812ABB"/>
    <w:rsid w:val="00814523"/>
    <w:rsid w:val="00814CE5"/>
    <w:rsid w:val="00814FBF"/>
    <w:rsid w:val="00816063"/>
    <w:rsid w:val="008179A1"/>
    <w:rsid w:val="00817C0C"/>
    <w:rsid w:val="00817CE6"/>
    <w:rsid w:val="008213E6"/>
    <w:rsid w:val="00821877"/>
    <w:rsid w:val="00822C87"/>
    <w:rsid w:val="0082404F"/>
    <w:rsid w:val="00824A50"/>
    <w:rsid w:val="00825381"/>
    <w:rsid w:val="008259DC"/>
    <w:rsid w:val="00826C78"/>
    <w:rsid w:val="00827701"/>
    <w:rsid w:val="008304F2"/>
    <w:rsid w:val="00831139"/>
    <w:rsid w:val="00831244"/>
    <w:rsid w:val="008316BE"/>
    <w:rsid w:val="00831983"/>
    <w:rsid w:val="00831D6A"/>
    <w:rsid w:val="008322A3"/>
    <w:rsid w:val="00834D34"/>
    <w:rsid w:val="00835066"/>
    <w:rsid w:val="0083591B"/>
    <w:rsid w:val="00836770"/>
    <w:rsid w:val="0083679A"/>
    <w:rsid w:val="00836C83"/>
    <w:rsid w:val="00840693"/>
    <w:rsid w:val="00841905"/>
    <w:rsid w:val="008419DA"/>
    <w:rsid w:val="00843ED3"/>
    <w:rsid w:val="00844EBF"/>
    <w:rsid w:val="00851568"/>
    <w:rsid w:val="00851687"/>
    <w:rsid w:val="00852B6E"/>
    <w:rsid w:val="008538C5"/>
    <w:rsid w:val="00853F73"/>
    <w:rsid w:val="00854CC8"/>
    <w:rsid w:val="00857157"/>
    <w:rsid w:val="008575C9"/>
    <w:rsid w:val="00857B55"/>
    <w:rsid w:val="008612CD"/>
    <w:rsid w:val="00861461"/>
    <w:rsid w:val="008628E7"/>
    <w:rsid w:val="00862D2C"/>
    <w:rsid w:val="0086482F"/>
    <w:rsid w:val="008652A5"/>
    <w:rsid w:val="0086617A"/>
    <w:rsid w:val="008668BC"/>
    <w:rsid w:val="00867DD6"/>
    <w:rsid w:val="008704C0"/>
    <w:rsid w:val="00870B5A"/>
    <w:rsid w:val="00870C59"/>
    <w:rsid w:val="00871A61"/>
    <w:rsid w:val="00871F35"/>
    <w:rsid w:val="008740F1"/>
    <w:rsid w:val="00875399"/>
    <w:rsid w:val="00875EAB"/>
    <w:rsid w:val="00880C5D"/>
    <w:rsid w:val="00880F95"/>
    <w:rsid w:val="00881479"/>
    <w:rsid w:val="00881D55"/>
    <w:rsid w:val="00882D96"/>
    <w:rsid w:val="00884A5B"/>
    <w:rsid w:val="00884C76"/>
    <w:rsid w:val="00884EF5"/>
    <w:rsid w:val="00886023"/>
    <w:rsid w:val="00886C27"/>
    <w:rsid w:val="00887759"/>
    <w:rsid w:val="00887FDA"/>
    <w:rsid w:val="0089110E"/>
    <w:rsid w:val="008913DD"/>
    <w:rsid w:val="008925DA"/>
    <w:rsid w:val="008935FF"/>
    <w:rsid w:val="00894A90"/>
    <w:rsid w:val="00896911"/>
    <w:rsid w:val="00897A45"/>
    <w:rsid w:val="008A054F"/>
    <w:rsid w:val="008A0B0C"/>
    <w:rsid w:val="008A1BEB"/>
    <w:rsid w:val="008A22AD"/>
    <w:rsid w:val="008A3938"/>
    <w:rsid w:val="008A39F0"/>
    <w:rsid w:val="008A52A6"/>
    <w:rsid w:val="008A63FA"/>
    <w:rsid w:val="008A6EA2"/>
    <w:rsid w:val="008A79B0"/>
    <w:rsid w:val="008B01CC"/>
    <w:rsid w:val="008B0CC6"/>
    <w:rsid w:val="008B1662"/>
    <w:rsid w:val="008B20BA"/>
    <w:rsid w:val="008B53CE"/>
    <w:rsid w:val="008B5949"/>
    <w:rsid w:val="008B5D25"/>
    <w:rsid w:val="008B65FD"/>
    <w:rsid w:val="008C026E"/>
    <w:rsid w:val="008C0300"/>
    <w:rsid w:val="008C0508"/>
    <w:rsid w:val="008C12D2"/>
    <w:rsid w:val="008C4546"/>
    <w:rsid w:val="008C52F9"/>
    <w:rsid w:val="008C5D42"/>
    <w:rsid w:val="008C6F40"/>
    <w:rsid w:val="008C7DEA"/>
    <w:rsid w:val="008D04A2"/>
    <w:rsid w:val="008D05BB"/>
    <w:rsid w:val="008D1E55"/>
    <w:rsid w:val="008D2422"/>
    <w:rsid w:val="008D30E3"/>
    <w:rsid w:val="008D4282"/>
    <w:rsid w:val="008D4294"/>
    <w:rsid w:val="008D4950"/>
    <w:rsid w:val="008D5801"/>
    <w:rsid w:val="008D6306"/>
    <w:rsid w:val="008E1B29"/>
    <w:rsid w:val="008E3DBE"/>
    <w:rsid w:val="008E4844"/>
    <w:rsid w:val="008E56F7"/>
    <w:rsid w:val="008E744E"/>
    <w:rsid w:val="008F075C"/>
    <w:rsid w:val="008F13D9"/>
    <w:rsid w:val="008F2046"/>
    <w:rsid w:val="008F465D"/>
    <w:rsid w:val="008F4BB7"/>
    <w:rsid w:val="008F5F84"/>
    <w:rsid w:val="008F61EC"/>
    <w:rsid w:val="008F6713"/>
    <w:rsid w:val="008F75C3"/>
    <w:rsid w:val="008F75E1"/>
    <w:rsid w:val="00900FDB"/>
    <w:rsid w:val="00901589"/>
    <w:rsid w:val="00901A05"/>
    <w:rsid w:val="009021F6"/>
    <w:rsid w:val="00903590"/>
    <w:rsid w:val="00903F1F"/>
    <w:rsid w:val="009073C1"/>
    <w:rsid w:val="00907CB5"/>
    <w:rsid w:val="00907D51"/>
    <w:rsid w:val="009100EE"/>
    <w:rsid w:val="00912BF0"/>
    <w:rsid w:val="00913A7D"/>
    <w:rsid w:val="00915E9B"/>
    <w:rsid w:val="00916FFF"/>
    <w:rsid w:val="00922C7D"/>
    <w:rsid w:val="0092375F"/>
    <w:rsid w:val="00924598"/>
    <w:rsid w:val="0092684C"/>
    <w:rsid w:val="009269DC"/>
    <w:rsid w:val="00926BA2"/>
    <w:rsid w:val="009304B2"/>
    <w:rsid w:val="00930744"/>
    <w:rsid w:val="00930969"/>
    <w:rsid w:val="009315D1"/>
    <w:rsid w:val="0093340F"/>
    <w:rsid w:val="0093518F"/>
    <w:rsid w:val="00940943"/>
    <w:rsid w:val="00940FD3"/>
    <w:rsid w:val="009420E4"/>
    <w:rsid w:val="00942C25"/>
    <w:rsid w:val="009443DA"/>
    <w:rsid w:val="009450C7"/>
    <w:rsid w:val="00945B37"/>
    <w:rsid w:val="00946882"/>
    <w:rsid w:val="00947497"/>
    <w:rsid w:val="0095023E"/>
    <w:rsid w:val="00950904"/>
    <w:rsid w:val="00951442"/>
    <w:rsid w:val="009527A8"/>
    <w:rsid w:val="00953146"/>
    <w:rsid w:val="00953E2B"/>
    <w:rsid w:val="00954AAD"/>
    <w:rsid w:val="00954CCF"/>
    <w:rsid w:val="00955178"/>
    <w:rsid w:val="0095547B"/>
    <w:rsid w:val="00955B22"/>
    <w:rsid w:val="00956531"/>
    <w:rsid w:val="00956E26"/>
    <w:rsid w:val="00957934"/>
    <w:rsid w:val="0096172F"/>
    <w:rsid w:val="009637F7"/>
    <w:rsid w:val="00965166"/>
    <w:rsid w:val="00965D78"/>
    <w:rsid w:val="00966B39"/>
    <w:rsid w:val="00966D75"/>
    <w:rsid w:val="009679C9"/>
    <w:rsid w:val="009709EA"/>
    <w:rsid w:val="009713B1"/>
    <w:rsid w:val="00972BEC"/>
    <w:rsid w:val="00973142"/>
    <w:rsid w:val="009739D2"/>
    <w:rsid w:val="00973C50"/>
    <w:rsid w:val="00975D8F"/>
    <w:rsid w:val="00975E31"/>
    <w:rsid w:val="00977812"/>
    <w:rsid w:val="00977F61"/>
    <w:rsid w:val="00981038"/>
    <w:rsid w:val="00981C86"/>
    <w:rsid w:val="00984DC5"/>
    <w:rsid w:val="00985382"/>
    <w:rsid w:val="009853D7"/>
    <w:rsid w:val="00985BF3"/>
    <w:rsid w:val="009865C8"/>
    <w:rsid w:val="00986903"/>
    <w:rsid w:val="00992A71"/>
    <w:rsid w:val="00992EBA"/>
    <w:rsid w:val="009933ED"/>
    <w:rsid w:val="00995AA4"/>
    <w:rsid w:val="009965AB"/>
    <w:rsid w:val="00996AC9"/>
    <w:rsid w:val="0099702E"/>
    <w:rsid w:val="009A08F4"/>
    <w:rsid w:val="009A0F83"/>
    <w:rsid w:val="009A2C9F"/>
    <w:rsid w:val="009B1648"/>
    <w:rsid w:val="009B1A8E"/>
    <w:rsid w:val="009B1B77"/>
    <w:rsid w:val="009B355C"/>
    <w:rsid w:val="009B482A"/>
    <w:rsid w:val="009B4E46"/>
    <w:rsid w:val="009B5F33"/>
    <w:rsid w:val="009B683B"/>
    <w:rsid w:val="009B68E0"/>
    <w:rsid w:val="009B79E0"/>
    <w:rsid w:val="009C052E"/>
    <w:rsid w:val="009C17C9"/>
    <w:rsid w:val="009C2360"/>
    <w:rsid w:val="009C39C6"/>
    <w:rsid w:val="009C5668"/>
    <w:rsid w:val="009C5C1D"/>
    <w:rsid w:val="009D09F3"/>
    <w:rsid w:val="009D1485"/>
    <w:rsid w:val="009D3563"/>
    <w:rsid w:val="009D39F0"/>
    <w:rsid w:val="009D3C7A"/>
    <w:rsid w:val="009D4CF1"/>
    <w:rsid w:val="009D5B86"/>
    <w:rsid w:val="009D7F35"/>
    <w:rsid w:val="009E5C0E"/>
    <w:rsid w:val="009E7D83"/>
    <w:rsid w:val="009F1A02"/>
    <w:rsid w:val="009F25BD"/>
    <w:rsid w:val="009F4D63"/>
    <w:rsid w:val="009F5D69"/>
    <w:rsid w:val="009F62DA"/>
    <w:rsid w:val="009F719E"/>
    <w:rsid w:val="009F77F9"/>
    <w:rsid w:val="00A007D4"/>
    <w:rsid w:val="00A01213"/>
    <w:rsid w:val="00A0142E"/>
    <w:rsid w:val="00A046AF"/>
    <w:rsid w:val="00A04CE5"/>
    <w:rsid w:val="00A060E7"/>
    <w:rsid w:val="00A111D9"/>
    <w:rsid w:val="00A11640"/>
    <w:rsid w:val="00A11657"/>
    <w:rsid w:val="00A11DE5"/>
    <w:rsid w:val="00A12309"/>
    <w:rsid w:val="00A1244F"/>
    <w:rsid w:val="00A1254B"/>
    <w:rsid w:val="00A13BE0"/>
    <w:rsid w:val="00A13FE1"/>
    <w:rsid w:val="00A14959"/>
    <w:rsid w:val="00A15430"/>
    <w:rsid w:val="00A158D2"/>
    <w:rsid w:val="00A15F14"/>
    <w:rsid w:val="00A1612F"/>
    <w:rsid w:val="00A16D55"/>
    <w:rsid w:val="00A16FE4"/>
    <w:rsid w:val="00A201E1"/>
    <w:rsid w:val="00A201E2"/>
    <w:rsid w:val="00A20901"/>
    <w:rsid w:val="00A2194B"/>
    <w:rsid w:val="00A21A86"/>
    <w:rsid w:val="00A23360"/>
    <w:rsid w:val="00A24A98"/>
    <w:rsid w:val="00A24ADF"/>
    <w:rsid w:val="00A26209"/>
    <w:rsid w:val="00A262E3"/>
    <w:rsid w:val="00A26EAC"/>
    <w:rsid w:val="00A27A12"/>
    <w:rsid w:val="00A30D2A"/>
    <w:rsid w:val="00A333E1"/>
    <w:rsid w:val="00A339E3"/>
    <w:rsid w:val="00A340A4"/>
    <w:rsid w:val="00A34A79"/>
    <w:rsid w:val="00A34C37"/>
    <w:rsid w:val="00A34F0E"/>
    <w:rsid w:val="00A355DA"/>
    <w:rsid w:val="00A36D9C"/>
    <w:rsid w:val="00A375E7"/>
    <w:rsid w:val="00A37D19"/>
    <w:rsid w:val="00A40E52"/>
    <w:rsid w:val="00A41652"/>
    <w:rsid w:val="00A4194A"/>
    <w:rsid w:val="00A41D9C"/>
    <w:rsid w:val="00A42DC5"/>
    <w:rsid w:val="00A434C2"/>
    <w:rsid w:val="00A43D8C"/>
    <w:rsid w:val="00A446BC"/>
    <w:rsid w:val="00A449D3"/>
    <w:rsid w:val="00A4528F"/>
    <w:rsid w:val="00A45C32"/>
    <w:rsid w:val="00A45E69"/>
    <w:rsid w:val="00A466C9"/>
    <w:rsid w:val="00A46931"/>
    <w:rsid w:val="00A50743"/>
    <w:rsid w:val="00A5127B"/>
    <w:rsid w:val="00A51449"/>
    <w:rsid w:val="00A52175"/>
    <w:rsid w:val="00A525A0"/>
    <w:rsid w:val="00A53C54"/>
    <w:rsid w:val="00A56067"/>
    <w:rsid w:val="00A57168"/>
    <w:rsid w:val="00A616F9"/>
    <w:rsid w:val="00A62531"/>
    <w:rsid w:val="00A63757"/>
    <w:rsid w:val="00A65440"/>
    <w:rsid w:val="00A656E4"/>
    <w:rsid w:val="00A66100"/>
    <w:rsid w:val="00A6717B"/>
    <w:rsid w:val="00A708B9"/>
    <w:rsid w:val="00A70AF9"/>
    <w:rsid w:val="00A72651"/>
    <w:rsid w:val="00A736D4"/>
    <w:rsid w:val="00A7494D"/>
    <w:rsid w:val="00A76CA6"/>
    <w:rsid w:val="00A7797F"/>
    <w:rsid w:val="00A77CD7"/>
    <w:rsid w:val="00A77F67"/>
    <w:rsid w:val="00A80393"/>
    <w:rsid w:val="00A80C4B"/>
    <w:rsid w:val="00A826C3"/>
    <w:rsid w:val="00A82A4D"/>
    <w:rsid w:val="00A84408"/>
    <w:rsid w:val="00A847BA"/>
    <w:rsid w:val="00A8618A"/>
    <w:rsid w:val="00A86E44"/>
    <w:rsid w:val="00A8782E"/>
    <w:rsid w:val="00A87ECF"/>
    <w:rsid w:val="00A91E5F"/>
    <w:rsid w:val="00A925B1"/>
    <w:rsid w:val="00A940EF"/>
    <w:rsid w:val="00A95128"/>
    <w:rsid w:val="00A956BA"/>
    <w:rsid w:val="00A96910"/>
    <w:rsid w:val="00AA101C"/>
    <w:rsid w:val="00AA1861"/>
    <w:rsid w:val="00AA30A8"/>
    <w:rsid w:val="00AA3522"/>
    <w:rsid w:val="00AA383B"/>
    <w:rsid w:val="00AA485D"/>
    <w:rsid w:val="00AA4BED"/>
    <w:rsid w:val="00AA4EA2"/>
    <w:rsid w:val="00AA588B"/>
    <w:rsid w:val="00AA5F3E"/>
    <w:rsid w:val="00AA6552"/>
    <w:rsid w:val="00AB12E5"/>
    <w:rsid w:val="00AB20D8"/>
    <w:rsid w:val="00AB3A5C"/>
    <w:rsid w:val="00AB4BE4"/>
    <w:rsid w:val="00AB50FA"/>
    <w:rsid w:val="00AB5C1F"/>
    <w:rsid w:val="00AB64A5"/>
    <w:rsid w:val="00AC0BF3"/>
    <w:rsid w:val="00AC1D11"/>
    <w:rsid w:val="00AC31CA"/>
    <w:rsid w:val="00AC39E9"/>
    <w:rsid w:val="00AC4EF1"/>
    <w:rsid w:val="00AD027F"/>
    <w:rsid w:val="00AD1200"/>
    <w:rsid w:val="00AD1532"/>
    <w:rsid w:val="00AD4090"/>
    <w:rsid w:val="00AD4096"/>
    <w:rsid w:val="00AD4E2F"/>
    <w:rsid w:val="00AD653D"/>
    <w:rsid w:val="00AD6898"/>
    <w:rsid w:val="00AD6F2F"/>
    <w:rsid w:val="00AE1174"/>
    <w:rsid w:val="00AE154F"/>
    <w:rsid w:val="00AE2CAE"/>
    <w:rsid w:val="00AE3B97"/>
    <w:rsid w:val="00AE4769"/>
    <w:rsid w:val="00AE5D12"/>
    <w:rsid w:val="00AF3808"/>
    <w:rsid w:val="00AF5E59"/>
    <w:rsid w:val="00AF6109"/>
    <w:rsid w:val="00AF6905"/>
    <w:rsid w:val="00AF6F07"/>
    <w:rsid w:val="00B00882"/>
    <w:rsid w:val="00B00891"/>
    <w:rsid w:val="00B02EFA"/>
    <w:rsid w:val="00B02F8C"/>
    <w:rsid w:val="00B0307C"/>
    <w:rsid w:val="00B034EB"/>
    <w:rsid w:val="00B041E4"/>
    <w:rsid w:val="00B04F43"/>
    <w:rsid w:val="00B05E16"/>
    <w:rsid w:val="00B06741"/>
    <w:rsid w:val="00B074A4"/>
    <w:rsid w:val="00B07A3A"/>
    <w:rsid w:val="00B12C53"/>
    <w:rsid w:val="00B12F0C"/>
    <w:rsid w:val="00B13596"/>
    <w:rsid w:val="00B144BA"/>
    <w:rsid w:val="00B153ED"/>
    <w:rsid w:val="00B156E8"/>
    <w:rsid w:val="00B15B9D"/>
    <w:rsid w:val="00B1634B"/>
    <w:rsid w:val="00B173D7"/>
    <w:rsid w:val="00B23EB5"/>
    <w:rsid w:val="00B24325"/>
    <w:rsid w:val="00B24E20"/>
    <w:rsid w:val="00B27026"/>
    <w:rsid w:val="00B27979"/>
    <w:rsid w:val="00B27D5F"/>
    <w:rsid w:val="00B3019B"/>
    <w:rsid w:val="00B307D8"/>
    <w:rsid w:val="00B31222"/>
    <w:rsid w:val="00B33895"/>
    <w:rsid w:val="00B33F27"/>
    <w:rsid w:val="00B34C2C"/>
    <w:rsid w:val="00B36AA2"/>
    <w:rsid w:val="00B37207"/>
    <w:rsid w:val="00B37A0B"/>
    <w:rsid w:val="00B4201F"/>
    <w:rsid w:val="00B42336"/>
    <w:rsid w:val="00B42BD6"/>
    <w:rsid w:val="00B4386D"/>
    <w:rsid w:val="00B43B95"/>
    <w:rsid w:val="00B448EB"/>
    <w:rsid w:val="00B45B82"/>
    <w:rsid w:val="00B4660B"/>
    <w:rsid w:val="00B46FAB"/>
    <w:rsid w:val="00B4784B"/>
    <w:rsid w:val="00B500F3"/>
    <w:rsid w:val="00B54A4F"/>
    <w:rsid w:val="00B54FE5"/>
    <w:rsid w:val="00B55C69"/>
    <w:rsid w:val="00B55DBA"/>
    <w:rsid w:val="00B55F80"/>
    <w:rsid w:val="00B56E2E"/>
    <w:rsid w:val="00B57966"/>
    <w:rsid w:val="00B6196D"/>
    <w:rsid w:val="00B63AC0"/>
    <w:rsid w:val="00B65E99"/>
    <w:rsid w:val="00B66314"/>
    <w:rsid w:val="00B66F7A"/>
    <w:rsid w:val="00B6774F"/>
    <w:rsid w:val="00B67D3E"/>
    <w:rsid w:val="00B71302"/>
    <w:rsid w:val="00B744DA"/>
    <w:rsid w:val="00B75D43"/>
    <w:rsid w:val="00B75FA7"/>
    <w:rsid w:val="00B763C5"/>
    <w:rsid w:val="00B7730F"/>
    <w:rsid w:val="00B77362"/>
    <w:rsid w:val="00B80D6B"/>
    <w:rsid w:val="00B83117"/>
    <w:rsid w:val="00B8319B"/>
    <w:rsid w:val="00B83372"/>
    <w:rsid w:val="00B84B65"/>
    <w:rsid w:val="00B8554A"/>
    <w:rsid w:val="00B87324"/>
    <w:rsid w:val="00B87A9B"/>
    <w:rsid w:val="00B87CF2"/>
    <w:rsid w:val="00B87E38"/>
    <w:rsid w:val="00B91163"/>
    <w:rsid w:val="00B92554"/>
    <w:rsid w:val="00B93436"/>
    <w:rsid w:val="00B93664"/>
    <w:rsid w:val="00B93F28"/>
    <w:rsid w:val="00B94AE5"/>
    <w:rsid w:val="00B96180"/>
    <w:rsid w:val="00BA017A"/>
    <w:rsid w:val="00BA04D0"/>
    <w:rsid w:val="00BA055E"/>
    <w:rsid w:val="00BA0F11"/>
    <w:rsid w:val="00BA100F"/>
    <w:rsid w:val="00BA3BC1"/>
    <w:rsid w:val="00BA4929"/>
    <w:rsid w:val="00BA5BFB"/>
    <w:rsid w:val="00BA60E4"/>
    <w:rsid w:val="00BA75DB"/>
    <w:rsid w:val="00BA76FB"/>
    <w:rsid w:val="00BB0C42"/>
    <w:rsid w:val="00BB1522"/>
    <w:rsid w:val="00BB176D"/>
    <w:rsid w:val="00BB1A18"/>
    <w:rsid w:val="00BB3622"/>
    <w:rsid w:val="00BB376D"/>
    <w:rsid w:val="00BB37C2"/>
    <w:rsid w:val="00BB62BE"/>
    <w:rsid w:val="00BB719A"/>
    <w:rsid w:val="00BB7EF0"/>
    <w:rsid w:val="00BB7EFF"/>
    <w:rsid w:val="00BC0E0A"/>
    <w:rsid w:val="00BC10AF"/>
    <w:rsid w:val="00BC1584"/>
    <w:rsid w:val="00BC2CE6"/>
    <w:rsid w:val="00BC3EBA"/>
    <w:rsid w:val="00BC4675"/>
    <w:rsid w:val="00BC5D1A"/>
    <w:rsid w:val="00BC669C"/>
    <w:rsid w:val="00BC677E"/>
    <w:rsid w:val="00BC6F12"/>
    <w:rsid w:val="00BC7FEB"/>
    <w:rsid w:val="00BD0246"/>
    <w:rsid w:val="00BD0801"/>
    <w:rsid w:val="00BD1C0E"/>
    <w:rsid w:val="00BD3FC0"/>
    <w:rsid w:val="00BD45B4"/>
    <w:rsid w:val="00BD4A10"/>
    <w:rsid w:val="00BD5464"/>
    <w:rsid w:val="00BD5873"/>
    <w:rsid w:val="00BD6044"/>
    <w:rsid w:val="00BE032F"/>
    <w:rsid w:val="00BE066B"/>
    <w:rsid w:val="00BE183B"/>
    <w:rsid w:val="00BE2531"/>
    <w:rsid w:val="00BE2F11"/>
    <w:rsid w:val="00BE39E8"/>
    <w:rsid w:val="00BF1118"/>
    <w:rsid w:val="00BF1214"/>
    <w:rsid w:val="00BF1BC2"/>
    <w:rsid w:val="00BF3FB9"/>
    <w:rsid w:val="00BF6398"/>
    <w:rsid w:val="00BF644B"/>
    <w:rsid w:val="00BF6CC2"/>
    <w:rsid w:val="00C0212B"/>
    <w:rsid w:val="00C033BF"/>
    <w:rsid w:val="00C03827"/>
    <w:rsid w:val="00C05CEC"/>
    <w:rsid w:val="00C05DEA"/>
    <w:rsid w:val="00C07A67"/>
    <w:rsid w:val="00C106E2"/>
    <w:rsid w:val="00C117AA"/>
    <w:rsid w:val="00C11912"/>
    <w:rsid w:val="00C11F69"/>
    <w:rsid w:val="00C11FA7"/>
    <w:rsid w:val="00C1249D"/>
    <w:rsid w:val="00C1369F"/>
    <w:rsid w:val="00C148CB"/>
    <w:rsid w:val="00C1584B"/>
    <w:rsid w:val="00C15EC0"/>
    <w:rsid w:val="00C16162"/>
    <w:rsid w:val="00C16AF3"/>
    <w:rsid w:val="00C17227"/>
    <w:rsid w:val="00C22552"/>
    <w:rsid w:val="00C22B3F"/>
    <w:rsid w:val="00C22C85"/>
    <w:rsid w:val="00C24CB6"/>
    <w:rsid w:val="00C24D3E"/>
    <w:rsid w:val="00C25283"/>
    <w:rsid w:val="00C317A5"/>
    <w:rsid w:val="00C31C49"/>
    <w:rsid w:val="00C33444"/>
    <w:rsid w:val="00C3460C"/>
    <w:rsid w:val="00C365D3"/>
    <w:rsid w:val="00C374E0"/>
    <w:rsid w:val="00C37A18"/>
    <w:rsid w:val="00C4053E"/>
    <w:rsid w:val="00C40AEC"/>
    <w:rsid w:val="00C40ED1"/>
    <w:rsid w:val="00C41346"/>
    <w:rsid w:val="00C4141E"/>
    <w:rsid w:val="00C41C22"/>
    <w:rsid w:val="00C41F5D"/>
    <w:rsid w:val="00C429EC"/>
    <w:rsid w:val="00C43179"/>
    <w:rsid w:val="00C45515"/>
    <w:rsid w:val="00C455A7"/>
    <w:rsid w:val="00C45D61"/>
    <w:rsid w:val="00C46688"/>
    <w:rsid w:val="00C46EBF"/>
    <w:rsid w:val="00C47EBA"/>
    <w:rsid w:val="00C51B87"/>
    <w:rsid w:val="00C51F91"/>
    <w:rsid w:val="00C520F2"/>
    <w:rsid w:val="00C52D67"/>
    <w:rsid w:val="00C5331E"/>
    <w:rsid w:val="00C534EE"/>
    <w:rsid w:val="00C539E3"/>
    <w:rsid w:val="00C55580"/>
    <w:rsid w:val="00C5580C"/>
    <w:rsid w:val="00C6013B"/>
    <w:rsid w:val="00C60698"/>
    <w:rsid w:val="00C6074F"/>
    <w:rsid w:val="00C61E15"/>
    <w:rsid w:val="00C637FC"/>
    <w:rsid w:val="00C63E48"/>
    <w:rsid w:val="00C64E3F"/>
    <w:rsid w:val="00C65683"/>
    <w:rsid w:val="00C65948"/>
    <w:rsid w:val="00C70441"/>
    <w:rsid w:val="00C70B69"/>
    <w:rsid w:val="00C712E6"/>
    <w:rsid w:val="00C72CD5"/>
    <w:rsid w:val="00C72CEE"/>
    <w:rsid w:val="00C72F93"/>
    <w:rsid w:val="00C73182"/>
    <w:rsid w:val="00C73E01"/>
    <w:rsid w:val="00C75DD9"/>
    <w:rsid w:val="00C76F66"/>
    <w:rsid w:val="00C822F2"/>
    <w:rsid w:val="00C82DEB"/>
    <w:rsid w:val="00C83FA9"/>
    <w:rsid w:val="00C84AC1"/>
    <w:rsid w:val="00C84EFF"/>
    <w:rsid w:val="00C8679D"/>
    <w:rsid w:val="00C92482"/>
    <w:rsid w:val="00C92C99"/>
    <w:rsid w:val="00C92DA9"/>
    <w:rsid w:val="00C9332A"/>
    <w:rsid w:val="00C94B79"/>
    <w:rsid w:val="00C95E98"/>
    <w:rsid w:val="00C9682F"/>
    <w:rsid w:val="00C9685D"/>
    <w:rsid w:val="00C97C76"/>
    <w:rsid w:val="00CA1F49"/>
    <w:rsid w:val="00CA2445"/>
    <w:rsid w:val="00CA26CC"/>
    <w:rsid w:val="00CA3A1B"/>
    <w:rsid w:val="00CA4069"/>
    <w:rsid w:val="00CA507B"/>
    <w:rsid w:val="00CA638E"/>
    <w:rsid w:val="00CA66DC"/>
    <w:rsid w:val="00CA71FE"/>
    <w:rsid w:val="00CA7E15"/>
    <w:rsid w:val="00CB0044"/>
    <w:rsid w:val="00CB0961"/>
    <w:rsid w:val="00CB197B"/>
    <w:rsid w:val="00CB1B42"/>
    <w:rsid w:val="00CB39E1"/>
    <w:rsid w:val="00CB77FE"/>
    <w:rsid w:val="00CC2D98"/>
    <w:rsid w:val="00CC31FB"/>
    <w:rsid w:val="00CC4B34"/>
    <w:rsid w:val="00CC5093"/>
    <w:rsid w:val="00CD1CF8"/>
    <w:rsid w:val="00CD2337"/>
    <w:rsid w:val="00CD3504"/>
    <w:rsid w:val="00CD4D02"/>
    <w:rsid w:val="00CD56BC"/>
    <w:rsid w:val="00CD60AB"/>
    <w:rsid w:val="00CE099D"/>
    <w:rsid w:val="00CE0C0E"/>
    <w:rsid w:val="00CE2645"/>
    <w:rsid w:val="00CE6542"/>
    <w:rsid w:val="00CF0050"/>
    <w:rsid w:val="00CF0CF3"/>
    <w:rsid w:val="00CF185F"/>
    <w:rsid w:val="00CF5BDD"/>
    <w:rsid w:val="00CF7708"/>
    <w:rsid w:val="00D003A5"/>
    <w:rsid w:val="00D03741"/>
    <w:rsid w:val="00D04035"/>
    <w:rsid w:val="00D06001"/>
    <w:rsid w:val="00D062E5"/>
    <w:rsid w:val="00D076B7"/>
    <w:rsid w:val="00D10BA1"/>
    <w:rsid w:val="00D12743"/>
    <w:rsid w:val="00D13DE1"/>
    <w:rsid w:val="00D13ECF"/>
    <w:rsid w:val="00D17A8F"/>
    <w:rsid w:val="00D20A6C"/>
    <w:rsid w:val="00D20B42"/>
    <w:rsid w:val="00D2113C"/>
    <w:rsid w:val="00D227CE"/>
    <w:rsid w:val="00D22D15"/>
    <w:rsid w:val="00D235C8"/>
    <w:rsid w:val="00D2362C"/>
    <w:rsid w:val="00D23FF0"/>
    <w:rsid w:val="00D24460"/>
    <w:rsid w:val="00D24981"/>
    <w:rsid w:val="00D24DB6"/>
    <w:rsid w:val="00D25A7A"/>
    <w:rsid w:val="00D25C68"/>
    <w:rsid w:val="00D2612D"/>
    <w:rsid w:val="00D27E12"/>
    <w:rsid w:val="00D3117E"/>
    <w:rsid w:val="00D34706"/>
    <w:rsid w:val="00D3479F"/>
    <w:rsid w:val="00D3544A"/>
    <w:rsid w:val="00D36031"/>
    <w:rsid w:val="00D37E55"/>
    <w:rsid w:val="00D400BC"/>
    <w:rsid w:val="00D4066C"/>
    <w:rsid w:val="00D40BB8"/>
    <w:rsid w:val="00D430CA"/>
    <w:rsid w:val="00D45BF9"/>
    <w:rsid w:val="00D45DFF"/>
    <w:rsid w:val="00D4627E"/>
    <w:rsid w:val="00D468E0"/>
    <w:rsid w:val="00D47603"/>
    <w:rsid w:val="00D5115F"/>
    <w:rsid w:val="00D52EBD"/>
    <w:rsid w:val="00D54658"/>
    <w:rsid w:val="00D54861"/>
    <w:rsid w:val="00D5556F"/>
    <w:rsid w:val="00D5643A"/>
    <w:rsid w:val="00D60809"/>
    <w:rsid w:val="00D6280C"/>
    <w:rsid w:val="00D62E58"/>
    <w:rsid w:val="00D637AE"/>
    <w:rsid w:val="00D652D9"/>
    <w:rsid w:val="00D66611"/>
    <w:rsid w:val="00D66CD9"/>
    <w:rsid w:val="00D67D6E"/>
    <w:rsid w:val="00D705EE"/>
    <w:rsid w:val="00D7328A"/>
    <w:rsid w:val="00D82C88"/>
    <w:rsid w:val="00D8404A"/>
    <w:rsid w:val="00D848F4"/>
    <w:rsid w:val="00D868D3"/>
    <w:rsid w:val="00D8695E"/>
    <w:rsid w:val="00D87BBF"/>
    <w:rsid w:val="00D90E13"/>
    <w:rsid w:val="00D91DC3"/>
    <w:rsid w:val="00D91E07"/>
    <w:rsid w:val="00D92A62"/>
    <w:rsid w:val="00D92AD4"/>
    <w:rsid w:val="00D93A9A"/>
    <w:rsid w:val="00D942A4"/>
    <w:rsid w:val="00D95376"/>
    <w:rsid w:val="00D965D4"/>
    <w:rsid w:val="00DA1706"/>
    <w:rsid w:val="00DA186F"/>
    <w:rsid w:val="00DA26F4"/>
    <w:rsid w:val="00DA343E"/>
    <w:rsid w:val="00DA471B"/>
    <w:rsid w:val="00DA50A4"/>
    <w:rsid w:val="00DA5B8D"/>
    <w:rsid w:val="00DA6D32"/>
    <w:rsid w:val="00DB0188"/>
    <w:rsid w:val="00DB051D"/>
    <w:rsid w:val="00DB05F9"/>
    <w:rsid w:val="00DB1238"/>
    <w:rsid w:val="00DB140F"/>
    <w:rsid w:val="00DB25DF"/>
    <w:rsid w:val="00DB43FC"/>
    <w:rsid w:val="00DB62BF"/>
    <w:rsid w:val="00DB6623"/>
    <w:rsid w:val="00DB6645"/>
    <w:rsid w:val="00DB727D"/>
    <w:rsid w:val="00DB76E3"/>
    <w:rsid w:val="00DC03EB"/>
    <w:rsid w:val="00DC2186"/>
    <w:rsid w:val="00DC470E"/>
    <w:rsid w:val="00DC514E"/>
    <w:rsid w:val="00DC64AF"/>
    <w:rsid w:val="00DC789A"/>
    <w:rsid w:val="00DC7DD5"/>
    <w:rsid w:val="00DD073A"/>
    <w:rsid w:val="00DD0CFB"/>
    <w:rsid w:val="00DD144A"/>
    <w:rsid w:val="00DD16C8"/>
    <w:rsid w:val="00DD230D"/>
    <w:rsid w:val="00DD460F"/>
    <w:rsid w:val="00DD4778"/>
    <w:rsid w:val="00DD51EB"/>
    <w:rsid w:val="00DD5990"/>
    <w:rsid w:val="00DD6109"/>
    <w:rsid w:val="00DD6612"/>
    <w:rsid w:val="00DD6DB2"/>
    <w:rsid w:val="00DE187E"/>
    <w:rsid w:val="00DE212F"/>
    <w:rsid w:val="00DE2328"/>
    <w:rsid w:val="00DE32D4"/>
    <w:rsid w:val="00DE362B"/>
    <w:rsid w:val="00DE4E14"/>
    <w:rsid w:val="00DE5644"/>
    <w:rsid w:val="00DE7078"/>
    <w:rsid w:val="00DF01BB"/>
    <w:rsid w:val="00DF0337"/>
    <w:rsid w:val="00DF0608"/>
    <w:rsid w:val="00DF277F"/>
    <w:rsid w:val="00DF4832"/>
    <w:rsid w:val="00DF4D43"/>
    <w:rsid w:val="00DF5776"/>
    <w:rsid w:val="00DF5B4F"/>
    <w:rsid w:val="00DF6C18"/>
    <w:rsid w:val="00DF7342"/>
    <w:rsid w:val="00DF7B21"/>
    <w:rsid w:val="00DF7D11"/>
    <w:rsid w:val="00E00AF8"/>
    <w:rsid w:val="00E01BB4"/>
    <w:rsid w:val="00E01FC0"/>
    <w:rsid w:val="00E02071"/>
    <w:rsid w:val="00E022F8"/>
    <w:rsid w:val="00E035B6"/>
    <w:rsid w:val="00E03C23"/>
    <w:rsid w:val="00E04F31"/>
    <w:rsid w:val="00E062E6"/>
    <w:rsid w:val="00E0633E"/>
    <w:rsid w:val="00E1213B"/>
    <w:rsid w:val="00E124C4"/>
    <w:rsid w:val="00E12D86"/>
    <w:rsid w:val="00E1339E"/>
    <w:rsid w:val="00E13704"/>
    <w:rsid w:val="00E141F4"/>
    <w:rsid w:val="00E14BF0"/>
    <w:rsid w:val="00E15D68"/>
    <w:rsid w:val="00E1635B"/>
    <w:rsid w:val="00E16B7A"/>
    <w:rsid w:val="00E16F68"/>
    <w:rsid w:val="00E17AB0"/>
    <w:rsid w:val="00E2038B"/>
    <w:rsid w:val="00E2163E"/>
    <w:rsid w:val="00E21FF3"/>
    <w:rsid w:val="00E22AE0"/>
    <w:rsid w:val="00E23AB2"/>
    <w:rsid w:val="00E2444F"/>
    <w:rsid w:val="00E244CF"/>
    <w:rsid w:val="00E24898"/>
    <w:rsid w:val="00E24A97"/>
    <w:rsid w:val="00E25CAC"/>
    <w:rsid w:val="00E27CE3"/>
    <w:rsid w:val="00E27E0B"/>
    <w:rsid w:val="00E30C3D"/>
    <w:rsid w:val="00E33106"/>
    <w:rsid w:val="00E33393"/>
    <w:rsid w:val="00E3363E"/>
    <w:rsid w:val="00E339CA"/>
    <w:rsid w:val="00E34182"/>
    <w:rsid w:val="00E35D21"/>
    <w:rsid w:val="00E35D65"/>
    <w:rsid w:val="00E36347"/>
    <w:rsid w:val="00E40640"/>
    <w:rsid w:val="00E423BD"/>
    <w:rsid w:val="00E42538"/>
    <w:rsid w:val="00E43263"/>
    <w:rsid w:val="00E43E2C"/>
    <w:rsid w:val="00E44D3D"/>
    <w:rsid w:val="00E4564E"/>
    <w:rsid w:val="00E45FCF"/>
    <w:rsid w:val="00E500BC"/>
    <w:rsid w:val="00E5044D"/>
    <w:rsid w:val="00E52FCA"/>
    <w:rsid w:val="00E53082"/>
    <w:rsid w:val="00E54622"/>
    <w:rsid w:val="00E55883"/>
    <w:rsid w:val="00E57D47"/>
    <w:rsid w:val="00E57E04"/>
    <w:rsid w:val="00E63BCB"/>
    <w:rsid w:val="00E63C6B"/>
    <w:rsid w:val="00E63E53"/>
    <w:rsid w:val="00E64182"/>
    <w:rsid w:val="00E647EE"/>
    <w:rsid w:val="00E649D4"/>
    <w:rsid w:val="00E64D91"/>
    <w:rsid w:val="00E6612A"/>
    <w:rsid w:val="00E664EE"/>
    <w:rsid w:val="00E66D66"/>
    <w:rsid w:val="00E67B4A"/>
    <w:rsid w:val="00E70941"/>
    <w:rsid w:val="00E70D3A"/>
    <w:rsid w:val="00E72CDB"/>
    <w:rsid w:val="00E72FDE"/>
    <w:rsid w:val="00E731EE"/>
    <w:rsid w:val="00E74664"/>
    <w:rsid w:val="00E74955"/>
    <w:rsid w:val="00E74CC2"/>
    <w:rsid w:val="00E75069"/>
    <w:rsid w:val="00E8105E"/>
    <w:rsid w:val="00E8543D"/>
    <w:rsid w:val="00E85445"/>
    <w:rsid w:val="00E8546F"/>
    <w:rsid w:val="00E85893"/>
    <w:rsid w:val="00E86BEC"/>
    <w:rsid w:val="00E86EA2"/>
    <w:rsid w:val="00E86EB3"/>
    <w:rsid w:val="00E90820"/>
    <w:rsid w:val="00E917FB"/>
    <w:rsid w:val="00E927E8"/>
    <w:rsid w:val="00E92A61"/>
    <w:rsid w:val="00E96056"/>
    <w:rsid w:val="00E97209"/>
    <w:rsid w:val="00E973FF"/>
    <w:rsid w:val="00E974EE"/>
    <w:rsid w:val="00E9776A"/>
    <w:rsid w:val="00E977CA"/>
    <w:rsid w:val="00E97EA2"/>
    <w:rsid w:val="00EA33F3"/>
    <w:rsid w:val="00EA43F5"/>
    <w:rsid w:val="00EA48FC"/>
    <w:rsid w:val="00EA6A1D"/>
    <w:rsid w:val="00EA73F6"/>
    <w:rsid w:val="00EA7940"/>
    <w:rsid w:val="00EB0045"/>
    <w:rsid w:val="00EB08CC"/>
    <w:rsid w:val="00EB0B48"/>
    <w:rsid w:val="00EB111C"/>
    <w:rsid w:val="00EB18EE"/>
    <w:rsid w:val="00EB1904"/>
    <w:rsid w:val="00EB2DF5"/>
    <w:rsid w:val="00EB324C"/>
    <w:rsid w:val="00EB54FC"/>
    <w:rsid w:val="00EB590E"/>
    <w:rsid w:val="00EB6459"/>
    <w:rsid w:val="00EB6EB9"/>
    <w:rsid w:val="00EB74BD"/>
    <w:rsid w:val="00EB7B02"/>
    <w:rsid w:val="00EB7CBE"/>
    <w:rsid w:val="00EC016D"/>
    <w:rsid w:val="00EC08A3"/>
    <w:rsid w:val="00EC0DFC"/>
    <w:rsid w:val="00EC1E2D"/>
    <w:rsid w:val="00EC1F60"/>
    <w:rsid w:val="00EC4159"/>
    <w:rsid w:val="00EC4937"/>
    <w:rsid w:val="00EC4FDC"/>
    <w:rsid w:val="00EC5598"/>
    <w:rsid w:val="00EC5F18"/>
    <w:rsid w:val="00EC6858"/>
    <w:rsid w:val="00EC7FFA"/>
    <w:rsid w:val="00ED256C"/>
    <w:rsid w:val="00ED331F"/>
    <w:rsid w:val="00EE1786"/>
    <w:rsid w:val="00EE2240"/>
    <w:rsid w:val="00EE3C7F"/>
    <w:rsid w:val="00EE4761"/>
    <w:rsid w:val="00EE6575"/>
    <w:rsid w:val="00EE7D82"/>
    <w:rsid w:val="00EF124F"/>
    <w:rsid w:val="00EF12D8"/>
    <w:rsid w:val="00EF12D9"/>
    <w:rsid w:val="00EF1A90"/>
    <w:rsid w:val="00EF47AF"/>
    <w:rsid w:val="00EF505A"/>
    <w:rsid w:val="00EF5A8B"/>
    <w:rsid w:val="00EF5FC2"/>
    <w:rsid w:val="00F003F9"/>
    <w:rsid w:val="00F00B0E"/>
    <w:rsid w:val="00F05B8C"/>
    <w:rsid w:val="00F061A2"/>
    <w:rsid w:val="00F075B8"/>
    <w:rsid w:val="00F10F39"/>
    <w:rsid w:val="00F11ABA"/>
    <w:rsid w:val="00F11B99"/>
    <w:rsid w:val="00F12C6C"/>
    <w:rsid w:val="00F13A23"/>
    <w:rsid w:val="00F14F57"/>
    <w:rsid w:val="00F15C87"/>
    <w:rsid w:val="00F15E3D"/>
    <w:rsid w:val="00F164D9"/>
    <w:rsid w:val="00F16518"/>
    <w:rsid w:val="00F1687C"/>
    <w:rsid w:val="00F17822"/>
    <w:rsid w:val="00F17ED0"/>
    <w:rsid w:val="00F208CF"/>
    <w:rsid w:val="00F21131"/>
    <w:rsid w:val="00F23C3F"/>
    <w:rsid w:val="00F276F6"/>
    <w:rsid w:val="00F3079F"/>
    <w:rsid w:val="00F31249"/>
    <w:rsid w:val="00F32B43"/>
    <w:rsid w:val="00F332F7"/>
    <w:rsid w:val="00F34F1E"/>
    <w:rsid w:val="00F363EA"/>
    <w:rsid w:val="00F3734F"/>
    <w:rsid w:val="00F3739B"/>
    <w:rsid w:val="00F374CB"/>
    <w:rsid w:val="00F4065A"/>
    <w:rsid w:val="00F4195A"/>
    <w:rsid w:val="00F44792"/>
    <w:rsid w:val="00F45DDB"/>
    <w:rsid w:val="00F46682"/>
    <w:rsid w:val="00F4671B"/>
    <w:rsid w:val="00F500DB"/>
    <w:rsid w:val="00F5279A"/>
    <w:rsid w:val="00F540EA"/>
    <w:rsid w:val="00F55C4D"/>
    <w:rsid w:val="00F56991"/>
    <w:rsid w:val="00F5722C"/>
    <w:rsid w:val="00F57639"/>
    <w:rsid w:val="00F6045A"/>
    <w:rsid w:val="00F611D2"/>
    <w:rsid w:val="00F61467"/>
    <w:rsid w:val="00F617A4"/>
    <w:rsid w:val="00F62922"/>
    <w:rsid w:val="00F62F02"/>
    <w:rsid w:val="00F631ED"/>
    <w:rsid w:val="00F633DE"/>
    <w:rsid w:val="00F635D0"/>
    <w:rsid w:val="00F63B61"/>
    <w:rsid w:val="00F64013"/>
    <w:rsid w:val="00F65DCE"/>
    <w:rsid w:val="00F66357"/>
    <w:rsid w:val="00F66400"/>
    <w:rsid w:val="00F668CA"/>
    <w:rsid w:val="00F668EB"/>
    <w:rsid w:val="00F66F8B"/>
    <w:rsid w:val="00F66FAA"/>
    <w:rsid w:val="00F7003A"/>
    <w:rsid w:val="00F71A25"/>
    <w:rsid w:val="00F71BDE"/>
    <w:rsid w:val="00F72C1E"/>
    <w:rsid w:val="00F743A0"/>
    <w:rsid w:val="00F7465E"/>
    <w:rsid w:val="00F75B31"/>
    <w:rsid w:val="00F770AC"/>
    <w:rsid w:val="00F77178"/>
    <w:rsid w:val="00F77238"/>
    <w:rsid w:val="00F81521"/>
    <w:rsid w:val="00F8352C"/>
    <w:rsid w:val="00F84230"/>
    <w:rsid w:val="00F847F4"/>
    <w:rsid w:val="00F87133"/>
    <w:rsid w:val="00F87AFB"/>
    <w:rsid w:val="00F902EC"/>
    <w:rsid w:val="00F90581"/>
    <w:rsid w:val="00F91FC3"/>
    <w:rsid w:val="00F940E5"/>
    <w:rsid w:val="00F94574"/>
    <w:rsid w:val="00FA1738"/>
    <w:rsid w:val="00FA378A"/>
    <w:rsid w:val="00FA3BD0"/>
    <w:rsid w:val="00FA5A61"/>
    <w:rsid w:val="00FA6385"/>
    <w:rsid w:val="00FA66A0"/>
    <w:rsid w:val="00FA71CF"/>
    <w:rsid w:val="00FA7A32"/>
    <w:rsid w:val="00FB0A1F"/>
    <w:rsid w:val="00FB0BE3"/>
    <w:rsid w:val="00FB1555"/>
    <w:rsid w:val="00FB1FC1"/>
    <w:rsid w:val="00FB241A"/>
    <w:rsid w:val="00FB48EE"/>
    <w:rsid w:val="00FB6753"/>
    <w:rsid w:val="00FB704A"/>
    <w:rsid w:val="00FB7061"/>
    <w:rsid w:val="00FB7D56"/>
    <w:rsid w:val="00FB7E6D"/>
    <w:rsid w:val="00FC0BD8"/>
    <w:rsid w:val="00FC36F6"/>
    <w:rsid w:val="00FC3726"/>
    <w:rsid w:val="00FC4087"/>
    <w:rsid w:val="00FC50E8"/>
    <w:rsid w:val="00FC531B"/>
    <w:rsid w:val="00FC7223"/>
    <w:rsid w:val="00FC722B"/>
    <w:rsid w:val="00FC7478"/>
    <w:rsid w:val="00FD08A3"/>
    <w:rsid w:val="00FD0F4B"/>
    <w:rsid w:val="00FD1832"/>
    <w:rsid w:val="00FD2190"/>
    <w:rsid w:val="00FD29D7"/>
    <w:rsid w:val="00FD4FE1"/>
    <w:rsid w:val="00FD5287"/>
    <w:rsid w:val="00FD61C0"/>
    <w:rsid w:val="00FD6A28"/>
    <w:rsid w:val="00FD6C16"/>
    <w:rsid w:val="00FD77F5"/>
    <w:rsid w:val="00FE0A2B"/>
    <w:rsid w:val="00FE3476"/>
    <w:rsid w:val="00FE3A3F"/>
    <w:rsid w:val="00FE3F68"/>
    <w:rsid w:val="00FE5D1F"/>
    <w:rsid w:val="00FE6E59"/>
    <w:rsid w:val="00FE7710"/>
    <w:rsid w:val="00FF0295"/>
    <w:rsid w:val="00FF1408"/>
    <w:rsid w:val="00FF191D"/>
    <w:rsid w:val="00FF27B5"/>
    <w:rsid w:val="00FF2ECD"/>
    <w:rsid w:val="00FF72E6"/>
    <w:rsid w:val="00FF736D"/>
    <w:rsid w:val="00FF78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155928E"/>
  <w15:docId w15:val="{C07DDAE5-AFF3-46CC-9652-A5DE499C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68BE"/>
    <w:pPr>
      <w:spacing w:before="120" w:after="120"/>
    </w:pPr>
    <w:rPr>
      <w:rFonts w:asciiTheme="minorHAnsi" w:hAnsiTheme="minorHAnsi" w:cs="Arial"/>
      <w:sz w:val="24"/>
      <w:szCs w:val="24"/>
    </w:rPr>
  </w:style>
  <w:style w:type="paragraph" w:styleId="Heading1">
    <w:name w:val="heading 1"/>
    <w:next w:val="Normal"/>
    <w:link w:val="Heading1Char"/>
    <w:qFormat/>
    <w:rsid w:val="00C72CEE"/>
    <w:pPr>
      <w:keepNext/>
      <w:keepLines/>
      <w:spacing w:before="120" w:after="120"/>
      <w:outlineLvl w:val="0"/>
    </w:pPr>
    <w:rPr>
      <w:rFonts w:asciiTheme="minorHAnsi" w:eastAsiaTheme="majorEastAsia" w:hAnsiTheme="minorHAnsi" w:cstheme="majorBidi"/>
      <w:color w:val="1F497D" w:themeColor="text2"/>
      <w:sz w:val="40"/>
      <w:szCs w:val="32"/>
    </w:rPr>
  </w:style>
  <w:style w:type="paragraph" w:styleId="Heading2">
    <w:name w:val="heading 2"/>
    <w:basedOn w:val="Heading1"/>
    <w:next w:val="Normal"/>
    <w:link w:val="Heading2Char"/>
    <w:unhideWhenUsed/>
    <w:qFormat/>
    <w:rsid w:val="00C72CEE"/>
    <w:pPr>
      <w:outlineLvl w:val="1"/>
    </w:pPr>
    <w:rPr>
      <w:b/>
      <w:color w:val="auto"/>
      <w:sz w:val="28"/>
      <w:szCs w:val="26"/>
    </w:rPr>
  </w:style>
  <w:style w:type="paragraph" w:styleId="Heading3">
    <w:name w:val="heading 3"/>
    <w:basedOn w:val="Heading2"/>
    <w:next w:val="Normal"/>
    <w:link w:val="Heading3Char"/>
    <w:unhideWhenUsed/>
    <w:qFormat/>
    <w:rsid w:val="005468BE"/>
    <w:pPr>
      <w:outlineLvl w:val="2"/>
    </w:pPr>
    <w:rPr>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637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inorHAnsi" w:hAnsiTheme="minorHAnsi"/>
        <w:b/>
        <w:color w:val="FFFFFF" w:themeColor="background1"/>
        <w:sz w:val="20"/>
      </w:rPr>
      <w:tblPr/>
      <w:tcPr>
        <w:shd w:val="clear" w:color="auto" w:fill="1F497D" w:themeFill="text2"/>
      </w:tcPr>
    </w:tblStylePr>
    <w:tblStylePr w:type="firstCol">
      <w:rPr>
        <w:rFonts w:asciiTheme="minorHAnsi" w:hAnsiTheme="minorHAnsi"/>
        <w:b/>
        <w:sz w:val="22"/>
      </w:rPr>
    </w:tblStylePr>
  </w:style>
  <w:style w:type="paragraph" w:styleId="Footer">
    <w:name w:val="footer"/>
    <w:basedOn w:val="Normal"/>
    <w:rsid w:val="008F75C3"/>
    <w:pPr>
      <w:tabs>
        <w:tab w:val="center" w:pos="4153"/>
        <w:tab w:val="right" w:pos="8306"/>
      </w:tabs>
    </w:pPr>
  </w:style>
  <w:style w:type="character" w:styleId="PageNumber">
    <w:name w:val="page number"/>
    <w:basedOn w:val="DefaultParagraphFont"/>
    <w:rsid w:val="008F75C3"/>
  </w:style>
  <w:style w:type="paragraph" w:styleId="Header">
    <w:name w:val="header"/>
    <w:basedOn w:val="Normal"/>
    <w:rsid w:val="00B173D7"/>
    <w:pPr>
      <w:tabs>
        <w:tab w:val="center" w:pos="4153"/>
        <w:tab w:val="right" w:pos="8306"/>
      </w:tabs>
    </w:pPr>
  </w:style>
  <w:style w:type="paragraph" w:styleId="BalloonText">
    <w:name w:val="Balloon Text"/>
    <w:basedOn w:val="Normal"/>
    <w:semiHidden/>
    <w:rsid w:val="00F6045A"/>
    <w:rPr>
      <w:rFonts w:ascii="Tahoma" w:hAnsi="Tahoma" w:cs="Tahoma"/>
      <w:sz w:val="16"/>
      <w:szCs w:val="16"/>
    </w:rPr>
  </w:style>
  <w:style w:type="character" w:styleId="CommentReference">
    <w:name w:val="annotation reference"/>
    <w:semiHidden/>
    <w:rsid w:val="00F6045A"/>
    <w:rPr>
      <w:sz w:val="16"/>
      <w:szCs w:val="16"/>
    </w:rPr>
  </w:style>
  <w:style w:type="paragraph" w:styleId="CommentText">
    <w:name w:val="annotation text"/>
    <w:basedOn w:val="Normal"/>
    <w:semiHidden/>
    <w:rsid w:val="00F6045A"/>
    <w:rPr>
      <w:sz w:val="20"/>
      <w:szCs w:val="20"/>
    </w:rPr>
  </w:style>
  <w:style w:type="paragraph" w:styleId="CommentSubject">
    <w:name w:val="annotation subject"/>
    <w:basedOn w:val="CommentText"/>
    <w:next w:val="CommentText"/>
    <w:semiHidden/>
    <w:rsid w:val="00F6045A"/>
    <w:rPr>
      <w:b/>
      <w:bCs/>
    </w:rPr>
  </w:style>
  <w:style w:type="paragraph" w:styleId="BodyText2">
    <w:name w:val="Body Text 2"/>
    <w:basedOn w:val="Normal"/>
    <w:rsid w:val="00D3117E"/>
    <w:pPr>
      <w:jc w:val="center"/>
    </w:pPr>
    <w:rPr>
      <w:rFonts w:ascii="Arial" w:hAnsi="Arial" w:cs="Times New Roman"/>
      <w:b/>
      <w:sz w:val="23"/>
      <w:szCs w:val="20"/>
    </w:rPr>
  </w:style>
  <w:style w:type="paragraph" w:styleId="BodyTextIndent">
    <w:name w:val="Body Text Indent"/>
    <w:basedOn w:val="Normal"/>
    <w:link w:val="BodyTextIndentChar"/>
    <w:rsid w:val="00D3117E"/>
    <w:pPr>
      <w:ind w:left="567" w:hanging="567"/>
    </w:pPr>
    <w:rPr>
      <w:rFonts w:cs="Times New Roman"/>
      <w:szCs w:val="20"/>
    </w:rPr>
  </w:style>
  <w:style w:type="paragraph" w:styleId="BodyTextIndent3">
    <w:name w:val="Body Text Indent 3"/>
    <w:basedOn w:val="Normal"/>
    <w:rsid w:val="00D3117E"/>
    <w:pPr>
      <w:tabs>
        <w:tab w:val="left" w:pos="4153"/>
        <w:tab w:val="left" w:pos="8306"/>
      </w:tabs>
      <w:ind w:left="426"/>
    </w:pPr>
    <w:rPr>
      <w:rFonts w:cs="Times New Roman"/>
      <w:color w:val="000000"/>
      <w:szCs w:val="20"/>
    </w:rPr>
  </w:style>
  <w:style w:type="paragraph" w:styleId="Revision">
    <w:name w:val="Revision"/>
    <w:hidden/>
    <w:uiPriority w:val="99"/>
    <w:semiHidden/>
    <w:rsid w:val="00154DAE"/>
    <w:rPr>
      <w:rFonts w:cs="Arial"/>
      <w:sz w:val="24"/>
      <w:szCs w:val="24"/>
    </w:rPr>
  </w:style>
  <w:style w:type="character" w:styleId="Hyperlink">
    <w:name w:val="Hyperlink"/>
    <w:rsid w:val="00A30D2A"/>
    <w:rPr>
      <w:color w:val="0000FF"/>
      <w:u w:val="single"/>
    </w:rPr>
  </w:style>
  <w:style w:type="paragraph" w:styleId="ListParagraph">
    <w:name w:val="List Paragraph"/>
    <w:basedOn w:val="Normal"/>
    <w:uiPriority w:val="34"/>
    <w:qFormat/>
    <w:rsid w:val="002921BF"/>
    <w:pPr>
      <w:ind w:left="720"/>
      <w:contextualSpacing/>
    </w:pPr>
  </w:style>
  <w:style w:type="paragraph" w:styleId="ListBullet">
    <w:name w:val="List Bullet"/>
    <w:basedOn w:val="Normal"/>
    <w:unhideWhenUsed/>
    <w:rsid w:val="00B153ED"/>
    <w:pPr>
      <w:numPr>
        <w:numId w:val="24"/>
      </w:numPr>
      <w:contextualSpacing/>
    </w:pPr>
  </w:style>
  <w:style w:type="paragraph" w:styleId="ListBullet2">
    <w:name w:val="List Bullet 2"/>
    <w:basedOn w:val="ListParagraph"/>
    <w:unhideWhenUsed/>
    <w:rsid w:val="00B153ED"/>
    <w:pPr>
      <w:numPr>
        <w:ilvl w:val="1"/>
        <w:numId w:val="3"/>
      </w:numPr>
      <w:tabs>
        <w:tab w:val="left" w:pos="284"/>
      </w:tabs>
      <w:spacing w:before="60" w:after="60"/>
      <w:contextualSpacing w:val="0"/>
    </w:pPr>
    <w:rPr>
      <w:rFonts w:cstheme="minorHAnsi"/>
    </w:rPr>
  </w:style>
  <w:style w:type="paragraph" w:customStyle="1" w:styleId="subsection">
    <w:name w:val="subsection"/>
    <w:basedOn w:val="Normal"/>
    <w:rsid w:val="001B1757"/>
    <w:pPr>
      <w:spacing w:before="100" w:beforeAutospacing="1" w:after="100" w:afterAutospacing="1"/>
    </w:pPr>
    <w:rPr>
      <w:rFonts w:cs="Times New Roman"/>
      <w:lang w:val="en-US" w:eastAsia="en-US"/>
    </w:rPr>
  </w:style>
  <w:style w:type="character" w:customStyle="1" w:styleId="Tablebulletlist">
    <w:name w:val="Table bullet list"/>
    <w:basedOn w:val="DefaultParagraphFont"/>
    <w:rsid w:val="004B55E1"/>
    <w:rPr>
      <w:color w:val="000000" w:themeColor="text1"/>
    </w:rPr>
  </w:style>
  <w:style w:type="character" w:styleId="UnresolvedMention">
    <w:name w:val="Unresolved Mention"/>
    <w:basedOn w:val="DefaultParagraphFont"/>
    <w:uiPriority w:val="99"/>
    <w:semiHidden/>
    <w:unhideWhenUsed/>
    <w:rsid w:val="004B55E1"/>
    <w:rPr>
      <w:color w:val="605E5C"/>
      <w:shd w:val="clear" w:color="auto" w:fill="E1DFDD"/>
    </w:rPr>
  </w:style>
  <w:style w:type="character" w:customStyle="1" w:styleId="Mention1">
    <w:name w:val="Mention1"/>
    <w:basedOn w:val="DefaultParagraphFont"/>
    <w:uiPriority w:val="99"/>
    <w:semiHidden/>
    <w:unhideWhenUsed/>
    <w:rsid w:val="00D93A9A"/>
    <w:rPr>
      <w:color w:val="2B579A"/>
      <w:shd w:val="clear" w:color="auto" w:fill="E6E6E6"/>
    </w:rPr>
  </w:style>
  <w:style w:type="paragraph" w:styleId="PlainText">
    <w:name w:val="Plain Text"/>
    <w:basedOn w:val="Normal"/>
    <w:link w:val="PlainTextChar"/>
    <w:uiPriority w:val="99"/>
    <w:unhideWhenUsed/>
    <w:rsid w:val="00753E0F"/>
    <w:rPr>
      <w:rFonts w:ascii="Arial" w:eastAsiaTheme="minorHAnsi" w:hAnsi="Arial"/>
      <w:sz w:val="22"/>
      <w:szCs w:val="22"/>
      <w:lang w:eastAsia="en-US"/>
    </w:rPr>
  </w:style>
  <w:style w:type="character" w:customStyle="1" w:styleId="PlainTextChar">
    <w:name w:val="Plain Text Char"/>
    <w:basedOn w:val="DefaultParagraphFont"/>
    <w:link w:val="PlainText"/>
    <w:uiPriority w:val="99"/>
    <w:rsid w:val="00753E0F"/>
    <w:rPr>
      <w:rFonts w:ascii="Arial" w:eastAsiaTheme="minorHAnsi" w:hAnsi="Arial" w:cs="Arial"/>
      <w:sz w:val="22"/>
      <w:szCs w:val="22"/>
      <w:lang w:eastAsia="en-US"/>
    </w:rPr>
  </w:style>
  <w:style w:type="paragraph" w:styleId="ListNumber">
    <w:name w:val="List Number"/>
    <w:uiPriority w:val="99"/>
    <w:qFormat/>
    <w:rsid w:val="004B55E1"/>
    <w:pPr>
      <w:numPr>
        <w:numId w:val="5"/>
      </w:numPr>
      <w:ind w:left="357" w:hanging="357"/>
      <w:contextualSpacing/>
    </w:pPr>
    <w:rPr>
      <w:rFonts w:asciiTheme="minorHAnsi" w:eastAsia="Calibri" w:hAnsiTheme="minorHAnsi"/>
      <w:sz w:val="22"/>
      <w:szCs w:val="22"/>
      <w:lang w:eastAsia="en-US"/>
    </w:rPr>
  </w:style>
  <w:style w:type="paragraph" w:styleId="ListNumber2">
    <w:name w:val="List Number 2"/>
    <w:basedOn w:val="Normal"/>
    <w:uiPriority w:val="99"/>
    <w:rsid w:val="00116351"/>
    <w:pPr>
      <w:numPr>
        <w:ilvl w:val="1"/>
        <w:numId w:val="5"/>
      </w:numPr>
      <w:spacing w:after="200" w:line="276" w:lineRule="auto"/>
    </w:pPr>
    <w:rPr>
      <w:rFonts w:ascii="Arial" w:eastAsia="Calibri" w:hAnsi="Arial" w:cs="Times New Roman"/>
      <w:sz w:val="22"/>
      <w:szCs w:val="22"/>
      <w:lang w:eastAsia="en-US"/>
    </w:rPr>
  </w:style>
  <w:style w:type="paragraph" w:styleId="ListNumber3">
    <w:name w:val="List Number 3"/>
    <w:basedOn w:val="Normal"/>
    <w:uiPriority w:val="99"/>
    <w:rsid w:val="00116351"/>
    <w:pPr>
      <w:numPr>
        <w:ilvl w:val="2"/>
        <w:numId w:val="5"/>
      </w:numPr>
      <w:spacing w:after="200" w:line="276" w:lineRule="auto"/>
    </w:pPr>
    <w:rPr>
      <w:rFonts w:ascii="Arial" w:eastAsia="Calibri" w:hAnsi="Arial" w:cs="Times New Roman"/>
      <w:sz w:val="22"/>
      <w:szCs w:val="22"/>
      <w:lang w:eastAsia="en-US"/>
    </w:rPr>
  </w:style>
  <w:style w:type="paragraph" w:styleId="ListNumber4">
    <w:name w:val="List Number 4"/>
    <w:basedOn w:val="Normal"/>
    <w:uiPriority w:val="99"/>
    <w:rsid w:val="00116351"/>
    <w:pPr>
      <w:numPr>
        <w:ilvl w:val="3"/>
        <w:numId w:val="5"/>
      </w:numPr>
      <w:spacing w:after="200" w:line="276" w:lineRule="auto"/>
    </w:pPr>
    <w:rPr>
      <w:rFonts w:ascii="Arial" w:eastAsia="Calibri" w:hAnsi="Arial" w:cs="Times New Roman"/>
      <w:sz w:val="22"/>
      <w:szCs w:val="22"/>
      <w:lang w:eastAsia="en-US"/>
    </w:rPr>
  </w:style>
  <w:style w:type="paragraph" w:styleId="ListNumber5">
    <w:name w:val="List Number 5"/>
    <w:basedOn w:val="Normal"/>
    <w:uiPriority w:val="99"/>
    <w:rsid w:val="00116351"/>
    <w:pPr>
      <w:numPr>
        <w:ilvl w:val="4"/>
        <w:numId w:val="5"/>
      </w:numPr>
      <w:spacing w:after="200" w:line="276" w:lineRule="auto"/>
    </w:pPr>
    <w:rPr>
      <w:rFonts w:ascii="Arial" w:eastAsia="Calibri" w:hAnsi="Arial" w:cs="Times New Roman"/>
      <w:sz w:val="22"/>
      <w:szCs w:val="22"/>
      <w:lang w:eastAsia="en-US"/>
    </w:rPr>
  </w:style>
  <w:style w:type="paragraph" w:styleId="Title">
    <w:name w:val="Title"/>
    <w:next w:val="Normal"/>
    <w:link w:val="TitleChar"/>
    <w:qFormat/>
    <w:rsid w:val="00C72CEE"/>
    <w:pPr>
      <w:contextualSpacing/>
      <w:jc w:val="center"/>
    </w:pPr>
    <w:rPr>
      <w:rFonts w:asciiTheme="minorHAnsi" w:eastAsiaTheme="majorEastAsia" w:hAnsiTheme="minorHAnsi" w:cstheme="majorBidi"/>
      <w:b/>
      <w:color w:val="1F497D" w:themeColor="text2"/>
      <w:spacing w:val="-10"/>
      <w:kern w:val="28"/>
      <w:sz w:val="48"/>
      <w:szCs w:val="56"/>
    </w:rPr>
  </w:style>
  <w:style w:type="character" w:customStyle="1" w:styleId="TitleChar">
    <w:name w:val="Title Char"/>
    <w:basedOn w:val="DefaultParagraphFont"/>
    <w:link w:val="Title"/>
    <w:rsid w:val="00C72CEE"/>
    <w:rPr>
      <w:rFonts w:asciiTheme="minorHAnsi" w:eastAsiaTheme="majorEastAsia" w:hAnsiTheme="minorHAnsi" w:cstheme="majorBidi"/>
      <w:b/>
      <w:color w:val="1F497D" w:themeColor="text2"/>
      <w:spacing w:val="-10"/>
      <w:kern w:val="28"/>
      <w:sz w:val="48"/>
      <w:szCs w:val="56"/>
    </w:rPr>
  </w:style>
  <w:style w:type="character" w:customStyle="1" w:styleId="Heading1Char">
    <w:name w:val="Heading 1 Char"/>
    <w:basedOn w:val="DefaultParagraphFont"/>
    <w:link w:val="Heading1"/>
    <w:rsid w:val="00C72CEE"/>
    <w:rPr>
      <w:rFonts w:asciiTheme="minorHAnsi" w:eastAsiaTheme="majorEastAsia" w:hAnsiTheme="minorHAnsi" w:cstheme="majorBidi"/>
      <w:color w:val="1F497D" w:themeColor="text2"/>
      <w:sz w:val="40"/>
      <w:szCs w:val="32"/>
    </w:rPr>
  </w:style>
  <w:style w:type="character" w:styleId="Strong">
    <w:name w:val="Strong"/>
    <w:basedOn w:val="DefaultParagraphFont"/>
    <w:qFormat/>
    <w:rsid w:val="00F15C87"/>
    <w:rPr>
      <w:b/>
      <w:bCs/>
    </w:rPr>
  </w:style>
  <w:style w:type="character" w:styleId="IntenseEmphasis">
    <w:name w:val="Intense Emphasis"/>
    <w:basedOn w:val="DefaultParagraphFont"/>
    <w:uiPriority w:val="21"/>
    <w:qFormat/>
    <w:rsid w:val="007735D1"/>
    <w:rPr>
      <w:i/>
      <w:iCs/>
      <w:color w:val="4F81BD" w:themeColor="accent1"/>
    </w:rPr>
  </w:style>
  <w:style w:type="paragraph" w:styleId="Subtitle">
    <w:name w:val="Subtitle"/>
    <w:basedOn w:val="Normal"/>
    <w:next w:val="Normal"/>
    <w:link w:val="SubtitleChar"/>
    <w:qFormat/>
    <w:rsid w:val="00C637F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C637FC"/>
    <w:rPr>
      <w:rFonts w:asciiTheme="minorHAnsi" w:eastAsiaTheme="minorEastAsia" w:hAnsiTheme="minorHAnsi" w:cstheme="minorBidi"/>
      <w:color w:val="5A5A5A" w:themeColor="text1" w:themeTint="A5"/>
      <w:spacing w:val="15"/>
      <w:sz w:val="22"/>
      <w:szCs w:val="22"/>
    </w:rPr>
  </w:style>
  <w:style w:type="paragraph" w:styleId="FootnoteText">
    <w:name w:val="footnote text"/>
    <w:basedOn w:val="Normal"/>
    <w:link w:val="FootnoteTextChar"/>
    <w:semiHidden/>
    <w:unhideWhenUsed/>
    <w:rsid w:val="006079FF"/>
    <w:rPr>
      <w:sz w:val="20"/>
      <w:szCs w:val="20"/>
    </w:rPr>
  </w:style>
  <w:style w:type="character" w:customStyle="1" w:styleId="FootnoteTextChar">
    <w:name w:val="Footnote Text Char"/>
    <w:basedOn w:val="DefaultParagraphFont"/>
    <w:link w:val="FootnoteText"/>
    <w:semiHidden/>
    <w:rsid w:val="006079FF"/>
    <w:rPr>
      <w:rFonts w:cs="Arial"/>
    </w:rPr>
  </w:style>
  <w:style w:type="character" w:styleId="FootnoteReference">
    <w:name w:val="footnote reference"/>
    <w:basedOn w:val="DefaultParagraphFont"/>
    <w:semiHidden/>
    <w:unhideWhenUsed/>
    <w:rsid w:val="006079FF"/>
    <w:rPr>
      <w:vertAlign w:val="superscript"/>
    </w:rPr>
  </w:style>
  <w:style w:type="character" w:customStyle="1" w:styleId="UnresolvedMention1">
    <w:name w:val="Unresolved Mention1"/>
    <w:basedOn w:val="DefaultParagraphFont"/>
    <w:uiPriority w:val="99"/>
    <w:semiHidden/>
    <w:unhideWhenUsed/>
    <w:rsid w:val="00627460"/>
    <w:rPr>
      <w:color w:val="605E5C"/>
      <w:shd w:val="clear" w:color="auto" w:fill="E1DFDD"/>
    </w:rPr>
  </w:style>
  <w:style w:type="character" w:customStyle="1" w:styleId="Heading2Char">
    <w:name w:val="Heading 2 Char"/>
    <w:basedOn w:val="DefaultParagraphFont"/>
    <w:link w:val="Heading2"/>
    <w:rsid w:val="00C72CEE"/>
    <w:rPr>
      <w:rFonts w:asciiTheme="minorHAnsi" w:eastAsiaTheme="majorEastAsia" w:hAnsiTheme="minorHAnsi" w:cstheme="majorBidi"/>
      <w:b/>
      <w:sz w:val="28"/>
      <w:szCs w:val="26"/>
    </w:rPr>
  </w:style>
  <w:style w:type="character" w:customStyle="1" w:styleId="BodyTextIndentChar">
    <w:name w:val="Body Text Indent Char"/>
    <w:basedOn w:val="DefaultParagraphFont"/>
    <w:link w:val="BodyTextIndent"/>
    <w:rsid w:val="00B153ED"/>
    <w:rPr>
      <w:sz w:val="24"/>
    </w:rPr>
  </w:style>
  <w:style w:type="character" w:styleId="Emphasis">
    <w:name w:val="Emphasis"/>
    <w:basedOn w:val="DefaultParagraphFont"/>
    <w:qFormat/>
    <w:rsid w:val="00B153ED"/>
    <w:rPr>
      <w:i/>
      <w:iCs/>
    </w:rPr>
  </w:style>
  <w:style w:type="character" w:customStyle="1" w:styleId="Heading3Char">
    <w:name w:val="Heading 3 Char"/>
    <w:basedOn w:val="DefaultParagraphFont"/>
    <w:link w:val="Heading3"/>
    <w:rsid w:val="005468BE"/>
    <w:rPr>
      <w:rFonts w:asciiTheme="minorHAnsi" w:eastAsiaTheme="majorEastAsia" w:hAnsiTheme="minorHAnsi" w:cstheme="majorBidi"/>
      <w:b/>
      <w:color w:val="243F60" w:themeColor="accent1" w:themeShade="7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6709">
      <w:bodyDiv w:val="1"/>
      <w:marLeft w:val="0"/>
      <w:marRight w:val="0"/>
      <w:marTop w:val="0"/>
      <w:marBottom w:val="0"/>
      <w:divBdr>
        <w:top w:val="none" w:sz="0" w:space="0" w:color="auto"/>
        <w:left w:val="none" w:sz="0" w:space="0" w:color="auto"/>
        <w:bottom w:val="none" w:sz="0" w:space="0" w:color="auto"/>
        <w:right w:val="none" w:sz="0" w:space="0" w:color="auto"/>
      </w:divBdr>
    </w:div>
    <w:div w:id="133109062">
      <w:bodyDiv w:val="1"/>
      <w:marLeft w:val="0"/>
      <w:marRight w:val="0"/>
      <w:marTop w:val="0"/>
      <w:marBottom w:val="0"/>
      <w:divBdr>
        <w:top w:val="none" w:sz="0" w:space="0" w:color="auto"/>
        <w:left w:val="none" w:sz="0" w:space="0" w:color="auto"/>
        <w:bottom w:val="none" w:sz="0" w:space="0" w:color="auto"/>
        <w:right w:val="none" w:sz="0" w:space="0" w:color="auto"/>
      </w:divBdr>
    </w:div>
    <w:div w:id="248585543">
      <w:bodyDiv w:val="1"/>
      <w:marLeft w:val="0"/>
      <w:marRight w:val="0"/>
      <w:marTop w:val="0"/>
      <w:marBottom w:val="0"/>
      <w:divBdr>
        <w:top w:val="none" w:sz="0" w:space="0" w:color="auto"/>
        <w:left w:val="none" w:sz="0" w:space="0" w:color="auto"/>
        <w:bottom w:val="none" w:sz="0" w:space="0" w:color="auto"/>
        <w:right w:val="none" w:sz="0" w:space="0" w:color="auto"/>
      </w:divBdr>
    </w:div>
    <w:div w:id="309867638">
      <w:bodyDiv w:val="1"/>
      <w:marLeft w:val="0"/>
      <w:marRight w:val="0"/>
      <w:marTop w:val="0"/>
      <w:marBottom w:val="0"/>
      <w:divBdr>
        <w:top w:val="none" w:sz="0" w:space="0" w:color="auto"/>
        <w:left w:val="none" w:sz="0" w:space="0" w:color="auto"/>
        <w:bottom w:val="none" w:sz="0" w:space="0" w:color="auto"/>
        <w:right w:val="none" w:sz="0" w:space="0" w:color="auto"/>
      </w:divBdr>
    </w:div>
    <w:div w:id="387346156">
      <w:bodyDiv w:val="1"/>
      <w:marLeft w:val="0"/>
      <w:marRight w:val="0"/>
      <w:marTop w:val="0"/>
      <w:marBottom w:val="0"/>
      <w:divBdr>
        <w:top w:val="none" w:sz="0" w:space="0" w:color="auto"/>
        <w:left w:val="none" w:sz="0" w:space="0" w:color="auto"/>
        <w:bottom w:val="none" w:sz="0" w:space="0" w:color="auto"/>
        <w:right w:val="none" w:sz="0" w:space="0" w:color="auto"/>
      </w:divBdr>
    </w:div>
    <w:div w:id="446654721">
      <w:bodyDiv w:val="1"/>
      <w:marLeft w:val="0"/>
      <w:marRight w:val="0"/>
      <w:marTop w:val="0"/>
      <w:marBottom w:val="0"/>
      <w:divBdr>
        <w:top w:val="none" w:sz="0" w:space="0" w:color="auto"/>
        <w:left w:val="none" w:sz="0" w:space="0" w:color="auto"/>
        <w:bottom w:val="none" w:sz="0" w:space="0" w:color="auto"/>
        <w:right w:val="none" w:sz="0" w:space="0" w:color="auto"/>
      </w:divBdr>
    </w:div>
    <w:div w:id="448597366">
      <w:bodyDiv w:val="1"/>
      <w:marLeft w:val="0"/>
      <w:marRight w:val="0"/>
      <w:marTop w:val="0"/>
      <w:marBottom w:val="0"/>
      <w:divBdr>
        <w:top w:val="none" w:sz="0" w:space="0" w:color="auto"/>
        <w:left w:val="none" w:sz="0" w:space="0" w:color="auto"/>
        <w:bottom w:val="none" w:sz="0" w:space="0" w:color="auto"/>
        <w:right w:val="none" w:sz="0" w:space="0" w:color="auto"/>
      </w:divBdr>
    </w:div>
    <w:div w:id="576401859">
      <w:bodyDiv w:val="1"/>
      <w:marLeft w:val="0"/>
      <w:marRight w:val="0"/>
      <w:marTop w:val="0"/>
      <w:marBottom w:val="0"/>
      <w:divBdr>
        <w:top w:val="none" w:sz="0" w:space="0" w:color="auto"/>
        <w:left w:val="none" w:sz="0" w:space="0" w:color="auto"/>
        <w:bottom w:val="none" w:sz="0" w:space="0" w:color="auto"/>
        <w:right w:val="none" w:sz="0" w:space="0" w:color="auto"/>
      </w:divBdr>
    </w:div>
    <w:div w:id="853882839">
      <w:bodyDiv w:val="1"/>
      <w:marLeft w:val="0"/>
      <w:marRight w:val="0"/>
      <w:marTop w:val="0"/>
      <w:marBottom w:val="0"/>
      <w:divBdr>
        <w:top w:val="none" w:sz="0" w:space="0" w:color="auto"/>
        <w:left w:val="none" w:sz="0" w:space="0" w:color="auto"/>
        <w:bottom w:val="none" w:sz="0" w:space="0" w:color="auto"/>
        <w:right w:val="none" w:sz="0" w:space="0" w:color="auto"/>
      </w:divBdr>
    </w:div>
    <w:div w:id="1098911604">
      <w:bodyDiv w:val="1"/>
      <w:marLeft w:val="0"/>
      <w:marRight w:val="0"/>
      <w:marTop w:val="0"/>
      <w:marBottom w:val="0"/>
      <w:divBdr>
        <w:top w:val="none" w:sz="0" w:space="0" w:color="auto"/>
        <w:left w:val="none" w:sz="0" w:space="0" w:color="auto"/>
        <w:bottom w:val="none" w:sz="0" w:space="0" w:color="auto"/>
        <w:right w:val="none" w:sz="0" w:space="0" w:color="auto"/>
      </w:divBdr>
    </w:div>
    <w:div w:id="1192374945">
      <w:bodyDiv w:val="1"/>
      <w:marLeft w:val="0"/>
      <w:marRight w:val="0"/>
      <w:marTop w:val="0"/>
      <w:marBottom w:val="0"/>
      <w:divBdr>
        <w:top w:val="none" w:sz="0" w:space="0" w:color="auto"/>
        <w:left w:val="none" w:sz="0" w:space="0" w:color="auto"/>
        <w:bottom w:val="none" w:sz="0" w:space="0" w:color="auto"/>
        <w:right w:val="none" w:sz="0" w:space="0" w:color="auto"/>
      </w:divBdr>
    </w:div>
    <w:div w:id="1222671466">
      <w:bodyDiv w:val="1"/>
      <w:marLeft w:val="0"/>
      <w:marRight w:val="0"/>
      <w:marTop w:val="0"/>
      <w:marBottom w:val="0"/>
      <w:divBdr>
        <w:top w:val="none" w:sz="0" w:space="0" w:color="auto"/>
        <w:left w:val="none" w:sz="0" w:space="0" w:color="auto"/>
        <w:bottom w:val="none" w:sz="0" w:space="0" w:color="auto"/>
        <w:right w:val="none" w:sz="0" w:space="0" w:color="auto"/>
      </w:divBdr>
    </w:div>
    <w:div w:id="1301379222">
      <w:bodyDiv w:val="1"/>
      <w:marLeft w:val="0"/>
      <w:marRight w:val="0"/>
      <w:marTop w:val="0"/>
      <w:marBottom w:val="0"/>
      <w:divBdr>
        <w:top w:val="none" w:sz="0" w:space="0" w:color="auto"/>
        <w:left w:val="none" w:sz="0" w:space="0" w:color="auto"/>
        <w:bottom w:val="none" w:sz="0" w:space="0" w:color="auto"/>
        <w:right w:val="none" w:sz="0" w:space="0" w:color="auto"/>
      </w:divBdr>
    </w:div>
    <w:div w:id="1329485392">
      <w:bodyDiv w:val="1"/>
      <w:marLeft w:val="0"/>
      <w:marRight w:val="0"/>
      <w:marTop w:val="0"/>
      <w:marBottom w:val="0"/>
      <w:divBdr>
        <w:top w:val="none" w:sz="0" w:space="0" w:color="auto"/>
        <w:left w:val="none" w:sz="0" w:space="0" w:color="auto"/>
        <w:bottom w:val="none" w:sz="0" w:space="0" w:color="auto"/>
        <w:right w:val="none" w:sz="0" w:space="0" w:color="auto"/>
      </w:divBdr>
    </w:div>
    <w:div w:id="1365864638">
      <w:bodyDiv w:val="1"/>
      <w:marLeft w:val="0"/>
      <w:marRight w:val="0"/>
      <w:marTop w:val="0"/>
      <w:marBottom w:val="0"/>
      <w:divBdr>
        <w:top w:val="none" w:sz="0" w:space="0" w:color="auto"/>
        <w:left w:val="none" w:sz="0" w:space="0" w:color="auto"/>
        <w:bottom w:val="none" w:sz="0" w:space="0" w:color="auto"/>
        <w:right w:val="none" w:sz="0" w:space="0" w:color="auto"/>
      </w:divBdr>
    </w:div>
    <w:div w:id="1391996112">
      <w:bodyDiv w:val="1"/>
      <w:marLeft w:val="0"/>
      <w:marRight w:val="0"/>
      <w:marTop w:val="0"/>
      <w:marBottom w:val="0"/>
      <w:divBdr>
        <w:top w:val="none" w:sz="0" w:space="0" w:color="auto"/>
        <w:left w:val="none" w:sz="0" w:space="0" w:color="auto"/>
        <w:bottom w:val="none" w:sz="0" w:space="0" w:color="auto"/>
        <w:right w:val="none" w:sz="0" w:space="0" w:color="auto"/>
      </w:divBdr>
    </w:div>
    <w:div w:id="1424186965">
      <w:bodyDiv w:val="1"/>
      <w:marLeft w:val="0"/>
      <w:marRight w:val="0"/>
      <w:marTop w:val="0"/>
      <w:marBottom w:val="0"/>
      <w:divBdr>
        <w:top w:val="none" w:sz="0" w:space="0" w:color="auto"/>
        <w:left w:val="none" w:sz="0" w:space="0" w:color="auto"/>
        <w:bottom w:val="none" w:sz="0" w:space="0" w:color="auto"/>
        <w:right w:val="none" w:sz="0" w:space="0" w:color="auto"/>
      </w:divBdr>
    </w:div>
    <w:div w:id="1528711678">
      <w:bodyDiv w:val="1"/>
      <w:marLeft w:val="0"/>
      <w:marRight w:val="0"/>
      <w:marTop w:val="0"/>
      <w:marBottom w:val="0"/>
      <w:divBdr>
        <w:top w:val="none" w:sz="0" w:space="0" w:color="auto"/>
        <w:left w:val="none" w:sz="0" w:space="0" w:color="auto"/>
        <w:bottom w:val="none" w:sz="0" w:space="0" w:color="auto"/>
        <w:right w:val="none" w:sz="0" w:space="0" w:color="auto"/>
      </w:divBdr>
    </w:div>
    <w:div w:id="1552572831">
      <w:bodyDiv w:val="1"/>
      <w:marLeft w:val="0"/>
      <w:marRight w:val="0"/>
      <w:marTop w:val="0"/>
      <w:marBottom w:val="0"/>
      <w:divBdr>
        <w:top w:val="none" w:sz="0" w:space="0" w:color="auto"/>
        <w:left w:val="none" w:sz="0" w:space="0" w:color="auto"/>
        <w:bottom w:val="none" w:sz="0" w:space="0" w:color="auto"/>
        <w:right w:val="none" w:sz="0" w:space="0" w:color="auto"/>
      </w:divBdr>
    </w:div>
    <w:div w:id="1585217298">
      <w:bodyDiv w:val="1"/>
      <w:marLeft w:val="0"/>
      <w:marRight w:val="0"/>
      <w:marTop w:val="0"/>
      <w:marBottom w:val="0"/>
      <w:divBdr>
        <w:top w:val="none" w:sz="0" w:space="0" w:color="auto"/>
        <w:left w:val="none" w:sz="0" w:space="0" w:color="auto"/>
        <w:bottom w:val="none" w:sz="0" w:space="0" w:color="auto"/>
        <w:right w:val="none" w:sz="0" w:space="0" w:color="auto"/>
      </w:divBdr>
    </w:div>
    <w:div w:id="1675835527">
      <w:bodyDiv w:val="1"/>
      <w:marLeft w:val="0"/>
      <w:marRight w:val="0"/>
      <w:marTop w:val="0"/>
      <w:marBottom w:val="0"/>
      <w:divBdr>
        <w:top w:val="none" w:sz="0" w:space="0" w:color="auto"/>
        <w:left w:val="none" w:sz="0" w:space="0" w:color="auto"/>
        <w:bottom w:val="none" w:sz="0" w:space="0" w:color="auto"/>
        <w:right w:val="none" w:sz="0" w:space="0" w:color="auto"/>
      </w:divBdr>
    </w:div>
    <w:div w:id="1691451252">
      <w:bodyDiv w:val="1"/>
      <w:marLeft w:val="0"/>
      <w:marRight w:val="0"/>
      <w:marTop w:val="0"/>
      <w:marBottom w:val="0"/>
      <w:divBdr>
        <w:top w:val="none" w:sz="0" w:space="0" w:color="auto"/>
        <w:left w:val="none" w:sz="0" w:space="0" w:color="auto"/>
        <w:bottom w:val="none" w:sz="0" w:space="0" w:color="auto"/>
        <w:right w:val="none" w:sz="0" w:space="0" w:color="auto"/>
      </w:divBdr>
    </w:div>
    <w:div w:id="1694379733">
      <w:bodyDiv w:val="1"/>
      <w:marLeft w:val="0"/>
      <w:marRight w:val="0"/>
      <w:marTop w:val="0"/>
      <w:marBottom w:val="0"/>
      <w:divBdr>
        <w:top w:val="none" w:sz="0" w:space="0" w:color="auto"/>
        <w:left w:val="none" w:sz="0" w:space="0" w:color="auto"/>
        <w:bottom w:val="none" w:sz="0" w:space="0" w:color="auto"/>
        <w:right w:val="none" w:sz="0" w:space="0" w:color="auto"/>
      </w:divBdr>
    </w:div>
    <w:div w:id="1715084227">
      <w:bodyDiv w:val="1"/>
      <w:marLeft w:val="0"/>
      <w:marRight w:val="0"/>
      <w:marTop w:val="0"/>
      <w:marBottom w:val="0"/>
      <w:divBdr>
        <w:top w:val="none" w:sz="0" w:space="0" w:color="auto"/>
        <w:left w:val="none" w:sz="0" w:space="0" w:color="auto"/>
        <w:bottom w:val="none" w:sz="0" w:space="0" w:color="auto"/>
        <w:right w:val="none" w:sz="0" w:space="0" w:color="auto"/>
      </w:divBdr>
    </w:div>
    <w:div w:id="1742100140">
      <w:bodyDiv w:val="1"/>
      <w:marLeft w:val="0"/>
      <w:marRight w:val="0"/>
      <w:marTop w:val="0"/>
      <w:marBottom w:val="0"/>
      <w:divBdr>
        <w:top w:val="none" w:sz="0" w:space="0" w:color="auto"/>
        <w:left w:val="none" w:sz="0" w:space="0" w:color="auto"/>
        <w:bottom w:val="none" w:sz="0" w:space="0" w:color="auto"/>
        <w:right w:val="none" w:sz="0" w:space="0" w:color="auto"/>
      </w:divBdr>
    </w:div>
    <w:div w:id="1764715897">
      <w:bodyDiv w:val="1"/>
      <w:marLeft w:val="0"/>
      <w:marRight w:val="0"/>
      <w:marTop w:val="0"/>
      <w:marBottom w:val="0"/>
      <w:divBdr>
        <w:top w:val="none" w:sz="0" w:space="0" w:color="auto"/>
        <w:left w:val="none" w:sz="0" w:space="0" w:color="auto"/>
        <w:bottom w:val="none" w:sz="0" w:space="0" w:color="auto"/>
        <w:right w:val="none" w:sz="0" w:space="0" w:color="auto"/>
      </w:divBdr>
    </w:div>
    <w:div w:id="1892031432">
      <w:bodyDiv w:val="1"/>
      <w:marLeft w:val="0"/>
      <w:marRight w:val="0"/>
      <w:marTop w:val="0"/>
      <w:marBottom w:val="0"/>
      <w:divBdr>
        <w:top w:val="none" w:sz="0" w:space="0" w:color="auto"/>
        <w:left w:val="none" w:sz="0" w:space="0" w:color="auto"/>
        <w:bottom w:val="none" w:sz="0" w:space="0" w:color="auto"/>
        <w:right w:val="none" w:sz="0" w:space="0" w:color="auto"/>
      </w:divBdr>
    </w:div>
    <w:div w:id="1994601717">
      <w:bodyDiv w:val="1"/>
      <w:marLeft w:val="0"/>
      <w:marRight w:val="0"/>
      <w:marTop w:val="0"/>
      <w:marBottom w:val="0"/>
      <w:divBdr>
        <w:top w:val="none" w:sz="0" w:space="0" w:color="auto"/>
        <w:left w:val="none" w:sz="0" w:space="0" w:color="auto"/>
        <w:bottom w:val="none" w:sz="0" w:space="0" w:color="auto"/>
        <w:right w:val="none" w:sz="0" w:space="0" w:color="auto"/>
      </w:divBdr>
    </w:div>
    <w:div w:id="2101173761">
      <w:bodyDiv w:val="1"/>
      <w:marLeft w:val="0"/>
      <w:marRight w:val="0"/>
      <w:marTop w:val="0"/>
      <w:marBottom w:val="0"/>
      <w:divBdr>
        <w:top w:val="none" w:sz="0" w:space="0" w:color="auto"/>
        <w:left w:val="none" w:sz="0" w:space="0" w:color="auto"/>
        <w:bottom w:val="none" w:sz="0" w:space="0" w:color="auto"/>
        <w:right w:val="none" w:sz="0" w:space="0" w:color="auto"/>
      </w:divBdr>
    </w:div>
    <w:div w:id="212113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phi@health.gov.au"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phi@health.gov.a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pra.gov.au/application-of-capital-framework-for-covid-19-related-disruptions-frequently-asked-question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pra.gov.au/application-of-capital-framework-for-covid-19-related-disruption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DMS Document" ma:contentTypeID="0x010100266966F133664895A6EE3632470D45F50006DEBFE69E41B344A82DC2D82B1724A8" ma:contentTypeVersion="" ma:contentTypeDescription="PDMS Document Site Content Type" ma:contentTypeScope="" ma:versionID="8b4d670f11bebaa51254f61852c62601">
  <xsd:schema xmlns:xsd="http://www.w3.org/2001/XMLSchema" xmlns:xs="http://www.w3.org/2001/XMLSchema" xmlns:p="http://schemas.microsoft.com/office/2006/metadata/properties" xmlns:ns2="A63D0D00-1C0F-4F91-9CE2-CB122F43B19D" targetNamespace="http://schemas.microsoft.com/office/2006/metadata/properties" ma:root="true" ma:fieldsID="24a65269d9dc9bfac239f6bac0deee1b" ns2:_="">
    <xsd:import namespace="A63D0D00-1C0F-4F91-9CE2-CB122F43B19D"/>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D0D00-1C0F-4F91-9CE2-CB122F43B19D"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A63D0D00-1C0F-4F91-9CE2-CB122F43B19D" xsi:nil="tru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7E0633-53A3-4256-AB06-F7C4EABF28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3D0D00-1C0F-4F91-9CE2-CB122F43B1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D31FF3-A190-4A0C-BB9F-069D44DD25A2}">
  <ds:schemaRefs>
    <ds:schemaRef ds:uri="http://schemas.openxmlformats.org/officeDocument/2006/bibliography"/>
  </ds:schemaRefs>
</ds:datastoreItem>
</file>

<file path=customXml/itemProps3.xml><?xml version="1.0" encoding="utf-8"?>
<ds:datastoreItem xmlns:ds="http://schemas.openxmlformats.org/officeDocument/2006/customXml" ds:itemID="{F05D91A4-D98B-44F8-B5C4-6A84CCA0CFA7}">
  <ds:schemaRefs>
    <ds:schemaRef ds:uri="http://schemas.microsoft.com/office/2006/metadata/properties"/>
    <ds:schemaRef ds:uri="http://schemas.microsoft.com/office/infopath/2007/PartnerControls"/>
    <ds:schemaRef ds:uri="A63D0D00-1C0F-4F91-9CE2-CB122F43B19D"/>
  </ds:schemaRefs>
</ds:datastoreItem>
</file>

<file path=customXml/itemProps4.xml><?xml version="1.0" encoding="utf-8"?>
<ds:datastoreItem xmlns:ds="http://schemas.openxmlformats.org/officeDocument/2006/customXml" ds:itemID="{3E081949-B901-4BA5-9B74-E942FB6B86DF}">
  <ds:schemaRefs>
    <ds:schemaRef ds:uri="http://schemas.microsoft.com/office/2006/metadata/longProperties"/>
  </ds:schemaRefs>
</ds:datastoreItem>
</file>

<file path=customXml/itemProps5.xml><?xml version="1.0" encoding="utf-8"?>
<ds:datastoreItem xmlns:ds="http://schemas.openxmlformats.org/officeDocument/2006/customXml" ds:itemID="{91B985B8-E0BD-426D-9C82-6C94A97F04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4136</Words>
  <Characters>22163</Characters>
  <Application>Microsoft Office Word</Application>
  <DocSecurity>4</DocSecurity>
  <Lines>568</Lines>
  <Paragraphs>375</Paragraphs>
  <ScaleCrop>false</ScaleCrop>
  <HeadingPairs>
    <vt:vector size="2" baseType="variant">
      <vt:variant>
        <vt:lpstr>Title</vt:lpstr>
      </vt:variant>
      <vt:variant>
        <vt:i4>1</vt:i4>
      </vt:variant>
    </vt:vector>
  </HeadingPairs>
  <TitlesOfParts>
    <vt:vector size="1" baseType="lpstr">
      <vt:lpstr>Private Health Insurance premium application form (2023)</vt:lpstr>
    </vt:vector>
  </TitlesOfParts>
  <Company/>
  <LinksUpToDate>false</LinksUpToDate>
  <CharactersWithSpaces>25924</CharactersWithSpaces>
  <SharedDoc>false</SharedDoc>
  <HLinks>
    <vt:vector size="12" baseType="variant">
      <vt:variant>
        <vt:i4>589870</vt:i4>
      </vt:variant>
      <vt:variant>
        <vt:i4>3</vt:i4>
      </vt:variant>
      <vt:variant>
        <vt:i4>0</vt:i4>
      </vt:variant>
      <vt:variant>
        <vt:i4>5</vt:i4>
      </vt:variant>
      <vt:variant>
        <vt:lpwstr>mailto:matthew.crane@phiac.gov.au</vt:lpwstr>
      </vt:variant>
      <vt:variant>
        <vt:lpwstr/>
      </vt:variant>
      <vt:variant>
        <vt:i4>4587633</vt:i4>
      </vt:variant>
      <vt:variant>
        <vt:i4>0</vt:i4>
      </vt:variant>
      <vt:variant>
        <vt:i4>0</vt:i4>
      </vt:variant>
      <vt:variant>
        <vt:i4>5</vt:i4>
      </vt:variant>
      <vt:variant>
        <vt:lpwstr>mailto:hoa.nguyen@phiac.gov.au</vt:lpwstr>
      </vt:variant>
      <vt:variant>
        <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Private Health Insurance premium application form (2023)</dc:title>
  <dc:subject>Private Health Insurance</dc:subject>
  <dc:creator>Australian Government Department of Health and Aged Care</dc:creator>
  <cp:keywords>Private Health Insurance; Application form; </cp:keywords>
  <cp:lastModifiedBy>Australian Government Department of Health and Aged </cp:lastModifiedBy>
  <cp:revision>2</cp:revision>
  <cp:lastPrinted>2020-07-08T04:34:00Z</cp:lastPrinted>
  <dcterms:created xsi:type="dcterms:W3CDTF">2022-09-23T06:09:00Z</dcterms:created>
  <dcterms:modified xsi:type="dcterms:W3CDTF">2022-09-23T06:09:00Z</dcterms:modified>
  <cp:category/>
</cp:coreProperties>
</file>