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Table I. TOFU Forget-Split Results (Mean ± Std Over Three Seeds).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/>
        <w:gridCol/>
        <w:gridCol/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Truth Ratio ↑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Truth Prob ↓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ROUGE-L ↓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Forget Acc ↓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FQ ↑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MIA ↓</w:t>
            </w:r>
          </w:p>
        </w:tc>
      </w:tr>
      <w:tr>
        <w:tc>
          <w:tcPr>
            <w:tcW w:w="0" w:type="auto"/>
          </w:tcPr>
          <w:p>
            <w:r>
              <w:t xml:space="preserve">PGA</w:t>
            </w:r>
          </w:p>
        </w:tc>
        <w:tc>
          <w:tcPr>
            <w:tcW w:w="0" w:type="auto"/>
          </w:tcPr>
          <w:p>
            <w:r>
              <w:t xml:space="preserve">0.7398±0.0014</w:t>
            </w:r>
          </w:p>
        </w:tc>
        <w:tc>
          <w:tcPr>
            <w:tcW w:w="0" w:type="auto"/>
          </w:tcPr>
          <w:p>
            <w:r>
              <w:t xml:space="preserve">0.3100±0.0006</w:t>
            </w:r>
          </w:p>
        </w:tc>
        <w:tc>
          <w:tcPr>
            <w:tcW w:w="0" w:type="auto"/>
          </w:tcPr>
          <w:p>
            <w:r>
              <w:t xml:space="preserve">0.4257±0.0033</w:t>
            </w:r>
          </w:p>
        </w:tc>
        <w:tc>
          <w:tcPr>
            <w:tcW w:w="0" w:type="auto"/>
          </w:tcPr>
          <w:p>
            <w:r>
              <w:t xml:space="preserve">0.6183±0.0038</w:t>
            </w:r>
          </w:p>
        </w:tc>
        <w:tc>
          <w:tcPr>
            <w:tcW w:w="0" w:type="auto"/>
          </w:tcPr>
          <w:p>
            <w:r>
              <w:t xml:space="preserve">0.0392±0.0046</w:t>
            </w:r>
          </w:p>
        </w:tc>
        <w:tc>
          <w:tcPr>
            <w:tcW w:w="0" w:type="auto"/>
          </w:tcPr>
          <w:p>
            <w:r>
              <w:t xml:space="preserve">0.6219±0.0130</w:t>
            </w:r>
          </w:p>
        </w:tc>
      </w:tr>
      <w:tr>
        <w:tc>
          <w:tcPr>
            <w:tcW w:w="0" w:type="auto"/>
          </w:tcPr>
          <w:p>
            <w:r>
              <w:t xml:space="preserve">GAFT</w:t>
            </w:r>
          </w:p>
        </w:tc>
        <w:tc>
          <w:tcPr>
            <w:tcW w:w="0" w:type="auto"/>
          </w:tcPr>
          <w:p>
            <w:r>
              <w:t xml:space="preserve">0.8218±0.0055</w:t>
            </w:r>
          </w:p>
        </w:tc>
        <w:tc>
          <w:tcPr>
            <w:tcW w:w="0" w:type="auto"/>
          </w:tcPr>
          <w:p>
            <w:r>
              <w:t xml:space="preserve">0.2377±0.0063</w:t>
            </w:r>
          </w:p>
        </w:tc>
        <w:tc>
          <w:tcPr>
            <w:tcW w:w="0" w:type="auto"/>
          </w:tcPr>
          <w:p>
            <w:r>
              <w:t xml:space="preserve">0.4022±0.0085</w:t>
            </w:r>
          </w:p>
        </w:tc>
        <w:tc>
          <w:tcPr>
            <w:tcW w:w="0" w:type="auto"/>
          </w:tcPr>
          <w:p>
            <w:r>
              <w:t xml:space="preserve">0.5700±0.0025</w:t>
            </w:r>
          </w:p>
        </w:tc>
        <w:tc>
          <w:tcPr>
            <w:tcW w:w="0" w:type="auto"/>
          </w:tcPr>
          <w:p>
            <w:r>
              <w:t xml:space="preserve">0.5427±0.0334</w:t>
            </w:r>
          </w:p>
        </w:tc>
        <w:tc>
          <w:tcPr>
            <w:tcW w:w="0" w:type="auto"/>
          </w:tcPr>
          <w:p>
            <w:r>
              <w:t xml:space="preserve">0.4418±0.0087</w:t>
            </w:r>
          </w:p>
        </w:tc>
      </w:tr>
      <w:tr>
        <w:tc>
          <w:tcPr>
            <w:tcW w:w="0" w:type="auto"/>
          </w:tcPr>
          <w:p>
            <w:r>
              <w:t xml:space="preserve">IDK</w:t>
            </w:r>
          </w:p>
        </w:tc>
        <w:tc>
          <w:tcPr>
            <w:tcW w:w="0" w:type="auto"/>
          </w:tcPr>
          <w:p>
            <w:r>
              <w:t xml:space="preserve">0.8504±0.0003</w:t>
            </w:r>
          </w:p>
        </w:tc>
        <w:tc>
          <w:tcPr>
            <w:tcW w:w="0" w:type="auto"/>
          </w:tcPr>
          <w:p>
            <w:r>
              <w:t xml:space="preserve">0.2106±0.0015</w:t>
            </w:r>
          </w:p>
        </w:tc>
        <w:tc>
          <w:tcPr>
            <w:tcW w:w="0" w:type="auto"/>
          </w:tcPr>
          <w:p>
            <w:r>
              <w:t xml:space="preserve">0.4033±0.0068</w:t>
            </w:r>
          </w:p>
        </w:tc>
        <w:tc>
          <w:tcPr>
            <w:tcW w:w="0" w:type="auto"/>
          </w:tcPr>
          <w:p>
            <w:r>
              <w:t xml:space="preserve">0.5617±0.0063</w:t>
            </w:r>
          </w:p>
        </w:tc>
        <w:tc>
          <w:tcPr>
            <w:tcW w:w="0" w:type="auto"/>
          </w:tcPr>
          <w:p>
            <w:r>
              <w:t xml:space="preserve">0.1037±0.0441</w:t>
            </w:r>
          </w:p>
        </w:tc>
        <w:tc>
          <w:tcPr>
            <w:tcW w:w="0" w:type="auto"/>
          </w:tcPr>
          <w:p>
            <w:r>
              <w:t xml:space="preserve">0.4171±0.0070</w:t>
            </w:r>
          </w:p>
        </w:tc>
      </w:tr>
    </w:tbl>
    <w:p/>
    <w:p>
      <w:r>
        <w:rPr>
          <w:b/>
        </w:rPr>
        <w:t xml:space="preserve">Table II. Cross-Split Utility and Privacy (Mean ± Std Over Three Seeds).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/>
        <w:gridCol/>
        <w:gridCol/>
        <w:gridCol/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FQ ↑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MIA ↓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Forget Acc ↓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Retain Acc ↑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Real-Auth Acc ↑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World Acc ↑</w:t>
            </w:r>
          </w:p>
        </w:tc>
      </w:tr>
      <w:tr>
        <w:tc>
          <w:tcPr>
            <w:tcW w:w="0" w:type="auto"/>
          </w:tcPr>
          <w:p>
            <w:r>
              <w:t xml:space="preserve">PGA</w:t>
            </w:r>
          </w:p>
        </w:tc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0.0392±0.0046</w:t>
            </w:r>
          </w:p>
        </w:tc>
        <w:tc>
          <w:tcPr>
            <w:tcW w:w="0" w:type="auto"/>
          </w:tcPr>
          <w:p>
            <w:r>
              <w:t xml:space="preserve">0.6219±0.0130</w:t>
            </w:r>
          </w:p>
        </w:tc>
        <w:tc>
          <w:tcPr>
            <w:tcW w:w="0" w:type="auto"/>
          </w:tcPr>
          <w:p>
            <w:r>
              <w:t xml:space="preserve">0.6183±0.0038</w:t>
            </w:r>
          </w:p>
        </w:tc>
        <w:tc>
          <w:tcPr>
            <w:tcW w:w="0" w:type="auto"/>
          </w:tcPr>
          <w:p>
            <w:r>
              <w:t xml:space="preserve">0.5700±0.0066</w:t>
            </w:r>
          </w:p>
        </w:tc>
        <w:tc>
          <w:tcPr>
            <w:tcW w:w="0" w:type="auto"/>
          </w:tcPr>
          <w:p>
            <w:r>
              <w:t xml:space="preserve">0.9200±0.0100</w:t>
            </w:r>
          </w:p>
        </w:tc>
        <w:tc>
          <w:tcPr>
            <w:tcW w:w="0" w:type="auto"/>
          </w:tcPr>
          <w:p>
            <w:r>
              <w:t xml:space="preserve">0.8803±0.0085</w:t>
            </w:r>
          </w:p>
        </w:tc>
      </w:tr>
      <w:tr>
        <w:tc>
          <w:tcPr>
            <w:tcW w:w="0" w:type="auto"/>
          </w:tcPr>
          <w:p>
            <w:r>
              <w:t xml:space="preserve">GAFT</w:t>
            </w:r>
          </w:p>
        </w:tc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0.5427±0.0334</w:t>
            </w:r>
          </w:p>
        </w:tc>
        <w:tc>
          <w:tcPr>
            <w:tcW w:w="0" w:type="auto"/>
          </w:tcPr>
          <w:p>
            <w:r>
              <w:t xml:space="preserve">0.4418±0.0087</w:t>
            </w:r>
          </w:p>
        </w:tc>
        <w:tc>
          <w:tcPr>
            <w:tcW w:w="0" w:type="auto"/>
          </w:tcPr>
          <w:p>
            <w:r>
              <w:t xml:space="preserve">0.5700±0.0025</w:t>
            </w:r>
          </w:p>
        </w:tc>
        <w:tc>
          <w:tcPr>
            <w:tcW w:w="0" w:type="auto"/>
          </w:tcPr>
          <w:p>
            <w:r>
              <w:t xml:space="preserve">0.5533±0.0176</w:t>
            </w:r>
          </w:p>
        </w:tc>
        <w:tc>
          <w:tcPr>
            <w:tcW w:w="0" w:type="auto"/>
          </w:tcPr>
          <w:p>
            <w:r>
              <w:t xml:space="preserve">0.9400±0.0100</w:t>
            </w:r>
          </w:p>
        </w:tc>
        <w:tc>
          <w:tcPr>
            <w:tcW w:w="0" w:type="auto"/>
          </w:tcPr>
          <w:p>
            <w:r>
              <w:t xml:space="preserve">0.8803±0.0171</w:t>
            </w:r>
          </w:p>
        </w:tc>
      </w:tr>
      <w:tr>
        <w:tc>
          <w:tcPr>
            <w:tcW w:w="0" w:type="auto"/>
          </w:tcPr>
          <w:p>
            <w:r>
              <w:t xml:space="preserve">IDK</w:t>
            </w:r>
          </w:p>
        </w:tc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0.1037±0.0441</w:t>
            </w:r>
          </w:p>
        </w:tc>
        <w:tc>
          <w:tcPr>
            <w:tcW w:w="0" w:type="auto"/>
          </w:tcPr>
          <w:p>
            <w:r>
              <w:t xml:space="preserve">0.4171±0.0070</w:t>
            </w:r>
          </w:p>
        </w:tc>
        <w:tc>
          <w:tcPr>
            <w:tcW w:w="0" w:type="auto"/>
          </w:tcPr>
          <w:p>
            <w:r>
              <w:t xml:space="preserve">0.5617±0.0063</w:t>
            </w:r>
          </w:p>
        </w:tc>
        <w:tc>
          <w:tcPr>
            <w:tcW w:w="0" w:type="auto"/>
          </w:tcPr>
          <w:p>
            <w:r>
              <w:t xml:space="preserve">0.5450±0.0050</w:t>
            </w:r>
          </w:p>
        </w:tc>
        <w:tc>
          <w:tcPr>
            <w:tcW w:w="0" w:type="auto"/>
          </w:tcPr>
          <w:p>
            <w:r>
              <w:t xml:space="preserve">0.9200±0.0100</w:t>
            </w:r>
          </w:p>
        </w:tc>
        <w:tc>
          <w:tcPr>
            <w:tcW w:w="0" w:type="auto"/>
          </w:tcPr>
          <w:p>
            <w:r>
              <w:t xml:space="preserve">0.8746±0.0178</w:t>
            </w:r>
          </w:p>
        </w:tc>
      </w:tr>
    </w:tbl>
    <w:p/>
    <w:p>
      <w:r>
        <w:rPr>
          <w:b/>
        </w:rPr>
        <w:t xml:space="preserve">Table III. MIA Score Across Min-k% Thresholds (Mean Over Three Seeds; 0.5 = No Leakage).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/>
        <w:gridCol/>
        <w:gridCol/>
        <w:gridCol/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k=10%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k=20%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k=30%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k=40%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k=50%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k=60%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Mean</w:t>
            </w:r>
          </w:p>
        </w:tc>
      </w:tr>
      <w:tr>
        <w:tc>
          <w:tcPr>
            <w:tcW w:w="0" w:type="auto"/>
          </w:tcPr>
          <w:p>
            <w:r>
              <w:t xml:space="preserve">PGA</w:t>
            </w:r>
          </w:p>
        </w:tc>
        <w:tc>
          <w:tcPr>
            <w:tcW w:w="0" w:type="auto"/>
          </w:tcPr>
          <w:p>
            <w:r>
              <w:t xml:space="preserve">0.5863</w:t>
            </w:r>
          </w:p>
        </w:tc>
        <w:tc>
          <w:tcPr>
            <w:tcW w:w="0" w:type="auto"/>
          </w:tcPr>
          <w:p>
            <w:r>
              <w:t xml:space="preserve">0.5927</w:t>
            </w:r>
          </w:p>
        </w:tc>
        <w:tc>
          <w:tcPr>
            <w:tcW w:w="0" w:type="auto"/>
          </w:tcPr>
          <w:p>
            <w:r>
              <w:t xml:space="preserve">0.6268</w:t>
            </w:r>
          </w:p>
        </w:tc>
        <w:tc>
          <w:tcPr>
            <w:tcW w:w="0" w:type="auto"/>
          </w:tcPr>
          <w:p>
            <w:r>
              <w:t xml:space="preserve">0.6462</w:t>
            </w:r>
          </w:p>
        </w:tc>
        <w:tc>
          <w:tcPr>
            <w:tcW w:w="0" w:type="auto"/>
          </w:tcPr>
          <w:p>
            <w:r>
              <w:t xml:space="preserve">0.6386</w:t>
            </w:r>
          </w:p>
        </w:tc>
        <w:tc>
          <w:tcPr>
            <w:tcW w:w="0" w:type="auto"/>
          </w:tcPr>
          <w:p>
            <w:r>
              <w:t xml:space="preserve">0.6407</w:t>
            </w:r>
          </w:p>
        </w:tc>
        <w:tc>
          <w:tcPr>
            <w:tcW w:w="0" w:type="auto"/>
          </w:tcPr>
          <w:p>
            <w:r>
              <w:t xml:space="preserve">0.6219</w:t>
            </w:r>
          </w:p>
        </w:tc>
      </w:tr>
      <w:tr>
        <w:tc>
          <w:tcPr>
            <w:tcW w:w="0" w:type="auto"/>
          </w:tcPr>
          <w:p>
            <w:r>
              <w:t xml:space="preserve">GAFT</w:t>
            </w:r>
          </w:p>
        </w:tc>
        <w:tc>
          <w:tcPr>
            <w:tcW w:w="0" w:type="auto"/>
          </w:tcPr>
          <w:p>
            <w:r>
              <w:t xml:space="preserve">0.4504</w:t>
            </w:r>
          </w:p>
        </w:tc>
        <w:tc>
          <w:tcPr>
            <w:tcW w:w="0" w:type="auto"/>
          </w:tcPr>
          <w:p>
            <w:r>
              <w:t xml:space="preserve">0.4199</w:t>
            </w:r>
          </w:p>
        </w:tc>
        <w:tc>
          <w:tcPr>
            <w:tcW w:w="0" w:type="auto"/>
          </w:tcPr>
          <w:p>
            <w:r>
              <w:t xml:space="preserve">0.4369</w:t>
            </w:r>
          </w:p>
        </w:tc>
        <w:tc>
          <w:tcPr>
            <w:tcW w:w="0" w:type="auto"/>
          </w:tcPr>
          <w:p>
            <w:r>
              <w:t xml:space="preserve">0.4529</w:t>
            </w:r>
          </w:p>
        </w:tc>
        <w:tc>
          <w:tcPr>
            <w:tcW w:w="0" w:type="auto"/>
          </w:tcPr>
          <w:p>
            <w:r>
              <w:t xml:space="preserve">0.4441</w:t>
            </w:r>
          </w:p>
        </w:tc>
        <w:tc>
          <w:tcPr>
            <w:tcW w:w="0" w:type="auto"/>
          </w:tcPr>
          <w:p>
            <w:r>
              <w:t xml:space="preserve">0.4464</w:t>
            </w:r>
          </w:p>
        </w:tc>
        <w:tc>
          <w:tcPr>
            <w:tcW w:w="0" w:type="auto"/>
          </w:tcPr>
          <w:p>
            <w:r>
              <w:t xml:space="preserve">0.4418</w:t>
            </w:r>
          </w:p>
        </w:tc>
      </w:tr>
      <w:tr>
        <w:tc>
          <w:tcPr>
            <w:tcW w:w="0" w:type="auto"/>
          </w:tcPr>
          <w:p>
            <w:r>
              <w:t xml:space="preserve">IDK</w:t>
            </w:r>
          </w:p>
        </w:tc>
        <w:tc>
          <w:tcPr>
            <w:tcW w:w="0" w:type="auto"/>
          </w:tcPr>
          <w:p>
            <w:r>
              <w:t xml:space="preserve">0.4243</w:t>
            </w:r>
          </w:p>
        </w:tc>
        <w:tc>
          <w:tcPr>
            <w:tcW w:w="0" w:type="auto"/>
          </w:tcPr>
          <w:p>
            <w:r>
              <w:t xml:space="preserve">0.3989</w:t>
            </w:r>
          </w:p>
        </w:tc>
        <w:tc>
          <w:tcPr>
            <w:tcW w:w="0" w:type="auto"/>
          </w:tcPr>
          <w:p>
            <w:r>
              <w:t xml:space="preserve">0.4123</w:t>
            </w:r>
          </w:p>
        </w:tc>
        <w:tc>
          <w:tcPr>
            <w:tcW w:w="0" w:type="auto"/>
          </w:tcPr>
          <w:p>
            <w:r>
              <w:t xml:space="preserve">0.4253</w:t>
            </w:r>
          </w:p>
        </w:tc>
        <w:tc>
          <w:tcPr>
            <w:tcW w:w="0" w:type="auto"/>
          </w:tcPr>
          <w:p>
            <w:r>
              <w:t xml:space="preserve">0.4189</w:t>
            </w:r>
          </w:p>
        </w:tc>
        <w:tc>
          <w:tcPr>
            <w:tcW w:w="0" w:type="auto"/>
          </w:tcPr>
          <w:p>
            <w:r>
              <w:t xml:space="preserve">0.4228</w:t>
            </w:r>
          </w:p>
        </w:tc>
        <w:tc>
          <w:tcPr>
            <w:tcW w:w="0" w:type="auto"/>
          </w:tcPr>
          <w:p>
            <w:r>
              <w:t xml:space="preserve">0.4171</w:t>
            </w:r>
          </w:p>
        </w:tc>
      </w:tr>
    </w:tbl>
    <w:p/>
    <w:p>
      <w:r>
        <w:rPr>
          <w:b/>
        </w:rPr>
        <w:t xml:space="preserve">Table IV. Behavioral Audit of 1,200 IDK Forget-Set Generations.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Share of generations</w:t>
            </w:r>
          </w:p>
        </w:tc>
      </w:tr>
      <w:tr>
        <w:tc>
          <w:tcPr>
            <w:tcW w:w="0" w:type="auto"/>
          </w:tcPr>
          <w:p>
            <w:r>
              <w:t xml:space="preserve">Clean abstention</w:t>
            </w:r>
          </w:p>
        </w:tc>
        <w:tc>
          <w:tcPr>
            <w:tcW w:w="0" w:type="auto"/>
          </w:tcPr>
          <w:p>
            <w:r>
              <w:t xml:space="preserve">0.0%</w:t>
            </w:r>
          </w:p>
        </w:tc>
      </w:tr>
      <w:tr>
        <w:tc>
          <w:tcPr>
            <w:tcW w:w="0" w:type="auto"/>
          </w:tcPr>
          <w:p>
            <w:r>
              <w:t xml:space="preserve">Partial abstention</w:t>
            </w:r>
          </w:p>
        </w:tc>
        <w:tc>
          <w:tcPr>
            <w:tcW w:w="0" w:type="auto"/>
          </w:tcPr>
          <w:p>
            <w:r>
              <w:t xml:space="preserve">0.0%</w:t>
            </w:r>
          </w:p>
        </w:tc>
      </w:tr>
      <w:tr>
        <w:tc>
          <w:tcPr>
            <w:tcW w:w="0" w:type="auto"/>
          </w:tcPr>
          <w:p>
            <w:r>
              <w:t xml:space="preserve">Empty / no answer</w:t>
            </w:r>
          </w:p>
        </w:tc>
        <w:tc>
          <w:tcPr>
            <w:tcW w:w="0" w:type="auto"/>
          </w:tcPr>
          <w:p>
            <w:r>
              <w:t xml:space="preserve">0.1%</w:t>
            </w:r>
          </w:p>
        </w:tc>
      </w:tr>
      <w:tr>
        <w:tc>
          <w:tcPr>
            <w:tcW w:w="0" w:type="auto"/>
          </w:tcPr>
          <w:p>
            <w:r>
              <w:t xml:space="preserve">Hallucinated substitute</w:t>
            </w:r>
          </w:p>
        </w:tc>
        <w:tc>
          <w:tcPr>
            <w:tcW w:w="0" w:type="auto"/>
          </w:tcPr>
          <w:p>
            <w:r>
              <w:t xml:space="preserve">86.1%</w:t>
            </w:r>
          </w:p>
        </w:tc>
      </w:tr>
      <w:tr>
        <w:tc>
          <w:tcPr>
            <w:tcW w:w="0" w:type="auto"/>
          </w:tcPr>
          <w:p>
            <w:r>
              <w:t xml:space="preserve">Unrelated drift</w:t>
            </w:r>
          </w:p>
        </w:tc>
        <w:tc>
          <w:tcPr>
            <w:tcW w:w="0" w:type="auto"/>
          </w:tcPr>
          <w:p>
            <w:r>
              <w:t xml:space="preserve">5.6%</w:t>
            </w:r>
          </w:p>
        </w:tc>
      </w:tr>
      <w:tr>
        <w:tc>
          <w:tcPr>
            <w:tcW w:w="0" w:type="auto"/>
          </w:tcPr>
          <w:p>
            <w:r>
              <w:t xml:space="preserve">Memorized leakage (proxy)</w:t>
            </w:r>
          </w:p>
        </w:tc>
        <w:tc>
          <w:tcPr>
            <w:tcW w:w="0" w:type="auto"/>
          </w:tcPr>
          <w:p>
            <w:r>
              <w:t xml:space="preserve">8.2%</w:t>
            </w:r>
          </w:p>
        </w:tc>
      </w:tr>
    </w:tbl>
    <w:p/>
    <w:sectPr>
      <w:pgSz w:w="16838" w:h="11906" w:orient="landscape"/>
      <w:pgMar w:top="720" w:right="720" w:bottom="720" w:left="720" w:header="720" w:footer="720" w:gutter="0"/>
    </w:sectPr>
  </w:body>
</w:document>
</file>