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AECF" w14:textId="0BE030A9" w:rsidR="0000623C" w:rsidRPr="0000623C" w:rsidRDefault="0000623C" w:rsidP="0000623C">
      <w:pPr>
        <w:pStyle w:val="NormalWeb"/>
        <w:jc w:val="both"/>
        <w:rPr>
          <w:rStyle w:val="ui-provider"/>
          <w:b/>
          <w:bCs/>
          <w:color w:val="000000"/>
          <w:sz w:val="28"/>
          <w:szCs w:val="28"/>
        </w:rPr>
      </w:pPr>
      <w:r w:rsidRPr="0000623C">
        <w:rPr>
          <w:rStyle w:val="ui-provider"/>
          <w:b/>
          <w:bCs/>
          <w:color w:val="000000"/>
          <w:sz w:val="28"/>
          <w:szCs w:val="28"/>
        </w:rPr>
        <w:t>Uncertainty Analysis:</w:t>
      </w:r>
    </w:p>
    <w:p w14:paraId="40809181" w14:textId="1279F3B9" w:rsidR="0000623C" w:rsidRPr="0000623C" w:rsidRDefault="0000623C" w:rsidP="0000623C">
      <w:pPr>
        <w:pStyle w:val="NormalWeb"/>
        <w:jc w:val="both"/>
        <w:rPr>
          <w:color w:val="000000"/>
        </w:rPr>
      </w:pPr>
      <w:r w:rsidRPr="0000623C">
        <w:rPr>
          <w:rStyle w:val="ui-provider"/>
          <w:color w:val="000000"/>
        </w:rPr>
        <w:t xml:space="preserve">Uncertainty analysis may be used to assess the degree of accuracy of ascertained parameters. Moreover, it depicts the extent of error in each reading of experimental setup. Table </w:t>
      </w:r>
      <w:r w:rsidRPr="0000623C">
        <w:rPr>
          <w:rStyle w:val="ui-provider"/>
          <w:color w:val="000000"/>
        </w:rPr>
        <w:t>1</w:t>
      </w:r>
      <w:r w:rsidRPr="0000623C">
        <w:rPr>
          <w:rStyle w:val="ui-provider"/>
          <w:color w:val="000000"/>
        </w:rPr>
        <w:t xml:space="preserve"> displays the measurable range of parameters, accuracy and uncertainty in the measurements. However, the total uncertainty of experimental setup (</w:t>
      </w:r>
      <w:proofErr w:type="spellStart"/>
      <w:r w:rsidRPr="0000623C">
        <w:rPr>
          <w:rStyle w:val="ui-provider"/>
          <w:color w:val="000000"/>
        </w:rPr>
        <w:t>Uexp</w:t>
      </w:r>
      <w:proofErr w:type="spellEnd"/>
      <w:r w:rsidRPr="0000623C">
        <w:rPr>
          <w:rStyle w:val="ui-provider"/>
          <w:color w:val="000000"/>
        </w:rPr>
        <w:t>) calculated through following equation [32]:</w:t>
      </w:r>
    </w:p>
    <w:p w14:paraId="2AA4EA09" w14:textId="3C23B26B" w:rsidR="00D928CE" w:rsidRPr="0000623C" w:rsidRDefault="00D928CE" w:rsidP="00D928CE">
      <w:pPr>
        <w:pStyle w:val="NormalWeb"/>
      </w:pPr>
      <w:proofErr w:type="spellStart"/>
      <w:r w:rsidRPr="0000623C">
        <w:rPr>
          <w:color w:val="000000"/>
        </w:rPr>
        <w:t>U</w:t>
      </w:r>
      <w:r w:rsidRPr="0000623C">
        <w:rPr>
          <w:color w:val="000000"/>
          <w:vertAlign w:val="subscript"/>
        </w:rPr>
        <w:t>exp</w:t>
      </w:r>
      <w:proofErr w:type="spellEnd"/>
      <w:r w:rsidRPr="0000623C">
        <w:rPr>
          <w:color w:val="000000"/>
          <w:vertAlign w:val="subscript"/>
        </w:rPr>
        <w:t xml:space="preserve"> </w:t>
      </w:r>
      <w:r w:rsidRPr="0000623C">
        <w:rPr>
          <w:color w:val="000000"/>
        </w:rPr>
        <w:t>= [ (</w:t>
      </w:r>
      <w:proofErr w:type="spellStart"/>
      <w:r w:rsidRPr="0000623C">
        <w:rPr>
          <w:color w:val="000000"/>
        </w:rPr>
        <w:t>U</w:t>
      </w:r>
      <w:r w:rsidRPr="0000623C">
        <w:rPr>
          <w:color w:val="000000"/>
          <w:vertAlign w:val="subscript"/>
        </w:rPr>
        <w:t>Speed</w:t>
      </w:r>
      <w:proofErr w:type="spellEnd"/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 xml:space="preserve"> + (</w:t>
      </w:r>
      <w:proofErr w:type="spellStart"/>
      <w:r w:rsidRPr="0000623C">
        <w:rPr>
          <w:color w:val="000000"/>
        </w:rPr>
        <w:t>U</w:t>
      </w:r>
      <w:r w:rsidRPr="0000623C">
        <w:rPr>
          <w:color w:val="000000"/>
          <w:vertAlign w:val="subscript"/>
        </w:rPr>
        <w:t>Power</w:t>
      </w:r>
      <w:proofErr w:type="spellEnd"/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 xml:space="preserve"> + (U</w:t>
      </w:r>
      <w:r w:rsidRPr="0000623C">
        <w:rPr>
          <w:color w:val="000000"/>
          <w:vertAlign w:val="subscript"/>
        </w:rPr>
        <w:t>BSFC</w:t>
      </w:r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 xml:space="preserve"> </w:t>
      </w:r>
      <w:r w:rsidRPr="0000623C">
        <w:rPr>
          <w:color w:val="000000"/>
        </w:rPr>
        <w:t>+</w:t>
      </w:r>
      <w:r w:rsidRPr="0000623C">
        <w:rPr>
          <w:color w:val="000000"/>
        </w:rPr>
        <w:t xml:space="preserve"> (U</w:t>
      </w:r>
      <w:r w:rsidRPr="0000623C">
        <w:rPr>
          <w:color w:val="000000"/>
          <w:vertAlign w:val="subscript"/>
        </w:rPr>
        <w:t>CO</w:t>
      </w:r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 xml:space="preserve"> + (U</w:t>
      </w:r>
      <w:r w:rsidRPr="0000623C">
        <w:rPr>
          <w:color w:val="000000"/>
          <w:vertAlign w:val="subscript"/>
        </w:rPr>
        <w:t>CO2</w:t>
      </w:r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 xml:space="preserve"> </w:t>
      </w:r>
      <w:proofErr w:type="gramStart"/>
      <w:r w:rsidRPr="0000623C">
        <w:rPr>
          <w:color w:val="000000"/>
        </w:rPr>
        <w:t>+  (</w:t>
      </w:r>
      <w:proofErr w:type="spellStart"/>
      <w:proofErr w:type="gramEnd"/>
      <w:r w:rsidRPr="0000623C">
        <w:rPr>
          <w:color w:val="000000"/>
        </w:rPr>
        <w:t>U</w:t>
      </w:r>
      <w:r w:rsidRPr="0000623C">
        <w:rPr>
          <w:color w:val="000000"/>
          <w:vertAlign w:val="subscript"/>
        </w:rPr>
        <w:t>NOx</w:t>
      </w:r>
      <w:proofErr w:type="spellEnd"/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 xml:space="preserve"> </w:t>
      </w:r>
      <w:r w:rsidRPr="0000623C">
        <w:rPr>
          <w:color w:val="000000"/>
        </w:rPr>
        <w:t xml:space="preserve">+ </w:t>
      </w:r>
      <w:r w:rsidRPr="0000623C">
        <w:rPr>
          <w:color w:val="000000"/>
        </w:rPr>
        <w:t>(U</w:t>
      </w:r>
      <w:r w:rsidRPr="0000623C">
        <w:rPr>
          <w:color w:val="000000"/>
          <w:vertAlign w:val="subscript"/>
        </w:rPr>
        <w:t>HC</w:t>
      </w:r>
      <w:r w:rsidRPr="0000623C">
        <w:rPr>
          <w:color w:val="000000"/>
        </w:rPr>
        <w:t>)</w:t>
      </w:r>
      <w:r w:rsidRPr="0000623C">
        <w:rPr>
          <w:color w:val="000000"/>
          <w:vertAlign w:val="superscript"/>
        </w:rPr>
        <w:t>2</w:t>
      </w:r>
      <w:r w:rsidRPr="0000623C">
        <w:rPr>
          <w:color w:val="000000"/>
        </w:rPr>
        <w:t>]</w:t>
      </w:r>
      <w:r w:rsidRPr="0000623C">
        <w:rPr>
          <w:color w:val="000000"/>
          <w:vertAlign w:val="superscript"/>
        </w:rPr>
        <w:t>1/2</w:t>
      </w:r>
    </w:p>
    <w:p w14:paraId="13B32D78" w14:textId="34B15E48" w:rsidR="00D928CE" w:rsidRPr="0000623C" w:rsidRDefault="00D928CE" w:rsidP="00D928CE">
      <w:pPr>
        <w:pStyle w:val="NormalWeb"/>
      </w:pPr>
      <w:proofErr w:type="spellStart"/>
      <w:r w:rsidRPr="0000623C">
        <w:rPr>
          <w:color w:val="000000"/>
        </w:rPr>
        <w:t>Uexp</w:t>
      </w:r>
      <w:proofErr w:type="spellEnd"/>
      <w:r w:rsidRPr="0000623C">
        <w:rPr>
          <w:color w:val="000000"/>
        </w:rPr>
        <w:t xml:space="preserve"> = </w:t>
      </w:r>
      <w:r w:rsidR="00D76779" w:rsidRPr="0000623C">
        <w:rPr>
          <w:color w:val="000000"/>
        </w:rPr>
        <w:t>[ (</w:t>
      </w:r>
      <w:r w:rsidR="00D76779" w:rsidRPr="0000623C">
        <w:rPr>
          <w:color w:val="000000"/>
        </w:rPr>
        <w:t>0.5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 xml:space="preserve"> + (</w:t>
      </w:r>
      <w:r w:rsidR="00D76779" w:rsidRPr="0000623C">
        <w:rPr>
          <w:color w:val="000000"/>
        </w:rPr>
        <w:t>1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 xml:space="preserve"> + (</w:t>
      </w:r>
      <w:r w:rsidR="00D76779" w:rsidRPr="0000623C">
        <w:rPr>
          <w:color w:val="000000"/>
        </w:rPr>
        <w:t>0.5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 xml:space="preserve"> + (</w:t>
      </w:r>
      <w:r w:rsidR="00D76779" w:rsidRPr="0000623C">
        <w:rPr>
          <w:color w:val="000000"/>
        </w:rPr>
        <w:t>1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 xml:space="preserve"> + (</w:t>
      </w:r>
      <w:r w:rsidR="00D76779" w:rsidRPr="0000623C">
        <w:rPr>
          <w:color w:val="000000"/>
        </w:rPr>
        <w:t>1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 xml:space="preserve"> </w:t>
      </w:r>
      <w:proofErr w:type="gramStart"/>
      <w:r w:rsidR="00D76779" w:rsidRPr="0000623C">
        <w:rPr>
          <w:color w:val="000000"/>
        </w:rPr>
        <w:t>+  (</w:t>
      </w:r>
      <w:proofErr w:type="gramEnd"/>
      <w:r w:rsidR="00D76779" w:rsidRPr="0000623C">
        <w:rPr>
          <w:color w:val="000000"/>
        </w:rPr>
        <w:t>1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 xml:space="preserve"> + (</w:t>
      </w:r>
      <w:r w:rsidR="00D76779" w:rsidRPr="0000623C">
        <w:rPr>
          <w:color w:val="000000"/>
        </w:rPr>
        <w:t>1</w:t>
      </w:r>
      <w:r w:rsidR="00D76779" w:rsidRPr="0000623C">
        <w:rPr>
          <w:color w:val="000000"/>
        </w:rPr>
        <w:t>)</w:t>
      </w:r>
      <w:r w:rsidR="00D76779" w:rsidRPr="0000623C">
        <w:rPr>
          <w:color w:val="000000"/>
          <w:vertAlign w:val="superscript"/>
        </w:rPr>
        <w:t>2</w:t>
      </w:r>
      <w:r w:rsidR="00D76779" w:rsidRPr="0000623C">
        <w:rPr>
          <w:color w:val="000000"/>
        </w:rPr>
        <w:t>]</w:t>
      </w:r>
      <w:r w:rsidR="00D76779" w:rsidRPr="0000623C">
        <w:rPr>
          <w:color w:val="000000"/>
          <w:vertAlign w:val="superscript"/>
        </w:rPr>
        <w:t>1/2</w:t>
      </w:r>
    </w:p>
    <w:p w14:paraId="5BE41209" w14:textId="604AA654" w:rsidR="00D928CE" w:rsidRPr="0000623C" w:rsidRDefault="00D928CE" w:rsidP="00D928CE">
      <w:pPr>
        <w:pStyle w:val="NormalWeb"/>
        <w:rPr>
          <w:color w:val="000000"/>
        </w:rPr>
      </w:pPr>
      <w:proofErr w:type="spellStart"/>
      <w:r w:rsidRPr="0000623C">
        <w:rPr>
          <w:color w:val="000000"/>
        </w:rPr>
        <w:t>Uexp</w:t>
      </w:r>
      <w:proofErr w:type="spellEnd"/>
      <w:r w:rsidRPr="0000623C">
        <w:rPr>
          <w:color w:val="000000"/>
        </w:rPr>
        <w:t xml:space="preserve"> = 2.35%</w:t>
      </w:r>
    </w:p>
    <w:p w14:paraId="2ADBDCED" w14:textId="7D40DB22" w:rsidR="0000623C" w:rsidRPr="0000623C" w:rsidRDefault="0000623C" w:rsidP="00D928CE">
      <w:pPr>
        <w:pStyle w:val="NormalWeb"/>
        <w:rPr>
          <w:color w:val="000000"/>
        </w:rPr>
      </w:pPr>
      <w:r w:rsidRPr="0000623C">
        <w:rPr>
          <w:color w:val="000000"/>
        </w:rPr>
        <w:t>Table 1. Measurable Range, Accuracy and Uncertainty in Measurements</w:t>
      </w:r>
    </w:p>
    <w:tbl>
      <w:tblPr>
        <w:tblStyle w:val="PlainTable2"/>
        <w:tblW w:w="7380" w:type="dxa"/>
        <w:jc w:val="center"/>
        <w:tblLook w:val="04A0" w:firstRow="1" w:lastRow="0" w:firstColumn="1" w:lastColumn="0" w:noHBand="0" w:noVBand="1"/>
      </w:tblPr>
      <w:tblGrid>
        <w:gridCol w:w="1980"/>
        <w:gridCol w:w="1890"/>
        <w:gridCol w:w="1530"/>
        <w:gridCol w:w="1980"/>
      </w:tblGrid>
      <w:tr w:rsidR="0000623C" w:rsidRPr="0000623C" w14:paraId="7031D523" w14:textId="77777777" w:rsidTr="00006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F502005" w14:textId="77777777" w:rsidR="00D76779" w:rsidRPr="00D76779" w:rsidRDefault="00D76779" w:rsidP="00D767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890" w:type="dxa"/>
            <w:noWrap/>
            <w:hideMark/>
          </w:tcPr>
          <w:p w14:paraId="3FE94D5D" w14:textId="77777777" w:rsidR="00D76779" w:rsidRPr="00D76779" w:rsidRDefault="00D76779" w:rsidP="00D7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Measurable Range</w:t>
            </w:r>
          </w:p>
        </w:tc>
        <w:tc>
          <w:tcPr>
            <w:tcW w:w="1530" w:type="dxa"/>
            <w:noWrap/>
            <w:hideMark/>
          </w:tcPr>
          <w:p w14:paraId="7449B1D6" w14:textId="77777777" w:rsidR="00D76779" w:rsidRPr="00D76779" w:rsidRDefault="00D76779" w:rsidP="00D7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980" w:type="dxa"/>
            <w:noWrap/>
            <w:hideMark/>
          </w:tcPr>
          <w:p w14:paraId="4A3862C4" w14:textId="4D2C0385" w:rsidR="00D76779" w:rsidRPr="00D76779" w:rsidRDefault="0000623C" w:rsidP="00D7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Uncertainty</w:t>
            </w:r>
            <w:r w:rsidR="00D76779"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D76779" w:rsidRPr="00D76779" w14:paraId="00C01BB8" w14:textId="77777777" w:rsidTr="0000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2CA9B0C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1890" w:type="dxa"/>
            <w:noWrap/>
            <w:hideMark/>
          </w:tcPr>
          <w:p w14:paraId="71AAF499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0-7000 rpm</w:t>
            </w:r>
          </w:p>
        </w:tc>
        <w:tc>
          <w:tcPr>
            <w:tcW w:w="1530" w:type="dxa"/>
            <w:noWrap/>
            <w:hideMark/>
          </w:tcPr>
          <w:p w14:paraId="4676783C" w14:textId="0DC7604A" w:rsidR="00D76779" w:rsidRPr="00D76779" w:rsidRDefault="0000623C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="00D76779"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noWrap/>
            <w:hideMark/>
          </w:tcPr>
          <w:p w14:paraId="49EF69F1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±0.5</w:t>
            </w:r>
          </w:p>
        </w:tc>
      </w:tr>
      <w:tr w:rsidR="00D76779" w:rsidRPr="00D76779" w14:paraId="30849CB3" w14:textId="77777777" w:rsidTr="0000623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4F41B29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1890" w:type="dxa"/>
            <w:noWrap/>
            <w:hideMark/>
          </w:tcPr>
          <w:p w14:paraId="03C2F261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0-110 kW</w:t>
            </w:r>
          </w:p>
        </w:tc>
        <w:tc>
          <w:tcPr>
            <w:tcW w:w="1530" w:type="dxa"/>
            <w:noWrap/>
            <w:hideMark/>
          </w:tcPr>
          <w:p w14:paraId="68D92331" w14:textId="34C59E99" w:rsidR="00D76779" w:rsidRPr="00D76779" w:rsidRDefault="0000623C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="00D76779"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980" w:type="dxa"/>
            <w:noWrap/>
            <w:hideMark/>
          </w:tcPr>
          <w:p w14:paraId="6D27F23A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</w:t>
            </w:r>
          </w:p>
        </w:tc>
      </w:tr>
      <w:tr w:rsidR="00D76779" w:rsidRPr="00D76779" w14:paraId="6693C2C5" w14:textId="77777777" w:rsidTr="0000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A7C3BCB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Fuel consumption</w:t>
            </w:r>
          </w:p>
        </w:tc>
        <w:tc>
          <w:tcPr>
            <w:tcW w:w="1890" w:type="dxa"/>
            <w:noWrap/>
            <w:hideMark/>
          </w:tcPr>
          <w:p w14:paraId="3B0EC080" w14:textId="7B944584" w:rsidR="00D76779" w:rsidRPr="00D76779" w:rsidRDefault="0000623C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2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3FFBBB9A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 kg/kWh</w:t>
            </w:r>
          </w:p>
        </w:tc>
        <w:tc>
          <w:tcPr>
            <w:tcW w:w="1980" w:type="dxa"/>
            <w:noWrap/>
            <w:hideMark/>
          </w:tcPr>
          <w:p w14:paraId="3758D943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±0.5</w:t>
            </w:r>
          </w:p>
        </w:tc>
      </w:tr>
      <w:tr w:rsidR="00D76779" w:rsidRPr="00D76779" w14:paraId="0E81A09E" w14:textId="77777777" w:rsidTr="0000623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DA3DAD4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</w:t>
            </w:r>
          </w:p>
        </w:tc>
        <w:tc>
          <w:tcPr>
            <w:tcW w:w="1890" w:type="dxa"/>
            <w:noWrap/>
            <w:hideMark/>
          </w:tcPr>
          <w:p w14:paraId="220EDA00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0-10000 ppm</w:t>
            </w:r>
          </w:p>
        </w:tc>
        <w:tc>
          <w:tcPr>
            <w:tcW w:w="1530" w:type="dxa"/>
            <w:noWrap/>
            <w:hideMark/>
          </w:tcPr>
          <w:p w14:paraId="2ECDE374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±10</w:t>
            </w:r>
          </w:p>
        </w:tc>
        <w:tc>
          <w:tcPr>
            <w:tcW w:w="1980" w:type="dxa"/>
            <w:noWrap/>
            <w:hideMark/>
          </w:tcPr>
          <w:p w14:paraId="2B9BAE7C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</w:t>
            </w:r>
          </w:p>
        </w:tc>
      </w:tr>
      <w:tr w:rsidR="00D76779" w:rsidRPr="00D76779" w14:paraId="16FD697E" w14:textId="77777777" w:rsidTr="0000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DFB9183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1890" w:type="dxa"/>
            <w:noWrap/>
            <w:hideMark/>
          </w:tcPr>
          <w:p w14:paraId="570A0656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0-50 %</w:t>
            </w:r>
          </w:p>
        </w:tc>
        <w:tc>
          <w:tcPr>
            <w:tcW w:w="1530" w:type="dxa"/>
            <w:noWrap/>
            <w:hideMark/>
          </w:tcPr>
          <w:p w14:paraId="36A1F07A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±0.3 %. Vol</w:t>
            </w:r>
          </w:p>
        </w:tc>
        <w:tc>
          <w:tcPr>
            <w:tcW w:w="1980" w:type="dxa"/>
            <w:noWrap/>
            <w:hideMark/>
          </w:tcPr>
          <w:p w14:paraId="7D934CFC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</w:t>
            </w:r>
          </w:p>
        </w:tc>
      </w:tr>
      <w:tr w:rsidR="00D76779" w:rsidRPr="00D76779" w14:paraId="574D6AF6" w14:textId="77777777" w:rsidTr="0000623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2C4C9B0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NOx</w:t>
            </w:r>
          </w:p>
        </w:tc>
        <w:tc>
          <w:tcPr>
            <w:tcW w:w="1890" w:type="dxa"/>
            <w:noWrap/>
            <w:hideMark/>
          </w:tcPr>
          <w:p w14:paraId="227A2048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0-4000 ppm</w:t>
            </w:r>
          </w:p>
        </w:tc>
        <w:tc>
          <w:tcPr>
            <w:tcW w:w="1530" w:type="dxa"/>
            <w:noWrap/>
            <w:hideMark/>
          </w:tcPr>
          <w:p w14:paraId="42353E9A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±5 ppm</w:t>
            </w:r>
          </w:p>
        </w:tc>
        <w:tc>
          <w:tcPr>
            <w:tcW w:w="1980" w:type="dxa"/>
            <w:noWrap/>
            <w:hideMark/>
          </w:tcPr>
          <w:p w14:paraId="0FAF68A0" w14:textId="77777777" w:rsidR="00D76779" w:rsidRPr="00D76779" w:rsidRDefault="00D76779" w:rsidP="00006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</w:t>
            </w:r>
          </w:p>
        </w:tc>
      </w:tr>
      <w:tr w:rsidR="00D76779" w:rsidRPr="00D76779" w14:paraId="7261CFDC" w14:textId="77777777" w:rsidTr="00006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00D38FB" w14:textId="77777777" w:rsidR="00D76779" w:rsidRPr="00D76779" w:rsidRDefault="00D76779" w:rsidP="0000623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HC</w:t>
            </w:r>
          </w:p>
        </w:tc>
        <w:tc>
          <w:tcPr>
            <w:tcW w:w="1890" w:type="dxa"/>
            <w:noWrap/>
            <w:hideMark/>
          </w:tcPr>
          <w:p w14:paraId="264FD851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0-4000 ppm</w:t>
            </w:r>
          </w:p>
        </w:tc>
        <w:tc>
          <w:tcPr>
            <w:tcW w:w="1530" w:type="dxa"/>
            <w:noWrap/>
            <w:hideMark/>
          </w:tcPr>
          <w:p w14:paraId="602A5AD0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±5 ppm</w:t>
            </w:r>
          </w:p>
        </w:tc>
        <w:tc>
          <w:tcPr>
            <w:tcW w:w="1980" w:type="dxa"/>
            <w:noWrap/>
            <w:hideMark/>
          </w:tcPr>
          <w:p w14:paraId="53EAD107" w14:textId="77777777" w:rsidR="00D76779" w:rsidRPr="00D76779" w:rsidRDefault="00D76779" w:rsidP="00006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7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</w:t>
            </w:r>
          </w:p>
        </w:tc>
      </w:tr>
    </w:tbl>
    <w:p w14:paraId="5F74BB5E" w14:textId="60FDA120" w:rsidR="00D76779" w:rsidRPr="0000623C" w:rsidRDefault="0000623C" w:rsidP="00D928CE">
      <w:pPr>
        <w:pStyle w:val="NormalWeb"/>
        <w:rPr>
          <w:b/>
          <w:bCs/>
          <w:sz w:val="28"/>
          <w:szCs w:val="28"/>
        </w:rPr>
      </w:pPr>
      <w:r w:rsidRPr="0000623C">
        <w:rPr>
          <w:b/>
          <w:bCs/>
          <w:sz w:val="28"/>
          <w:szCs w:val="28"/>
        </w:rPr>
        <w:t>Reference:</w:t>
      </w:r>
    </w:p>
    <w:p w14:paraId="24E1DCF3" w14:textId="37B76A68" w:rsidR="0000623C" w:rsidRPr="0000623C" w:rsidRDefault="0000623C" w:rsidP="0000623C">
      <w:pPr>
        <w:pStyle w:val="NormalWeb"/>
      </w:pPr>
      <w:r w:rsidRPr="0000623C">
        <w:t xml:space="preserve">H. </w:t>
      </w:r>
      <w:proofErr w:type="spellStart"/>
      <w:r w:rsidRPr="0000623C">
        <w:t>Gürbüz</w:t>
      </w:r>
      <w:proofErr w:type="spellEnd"/>
      <w:r w:rsidRPr="0000623C">
        <w:t xml:space="preserve">, Y. </w:t>
      </w:r>
      <w:proofErr w:type="spellStart"/>
      <w:r w:rsidRPr="0000623C">
        <w:rPr>
          <w:color w:val="1F1F1F"/>
          <w:shd w:val="clear" w:color="auto" w:fill="FFFFFF"/>
        </w:rPr>
        <w:t>Ş</w:t>
      </w:r>
      <w:r w:rsidRPr="0000623C">
        <w:rPr>
          <w:color w:val="1F1F1F"/>
          <w:shd w:val="clear" w:color="auto" w:fill="FFFFFF"/>
        </w:rPr>
        <w:t>ö</w:t>
      </w:r>
      <w:r w:rsidRPr="0000623C">
        <w:t>hret</w:t>
      </w:r>
      <w:proofErr w:type="spellEnd"/>
      <w:r w:rsidRPr="0000623C">
        <w:t xml:space="preserve">, ¨ H. </w:t>
      </w:r>
      <w:proofErr w:type="spellStart"/>
      <w:r w:rsidRPr="0000623C">
        <w:t>Akçay</w:t>
      </w:r>
      <w:proofErr w:type="spellEnd"/>
      <w:r w:rsidRPr="0000623C">
        <w:t xml:space="preserve">, Environmental and </w:t>
      </w:r>
      <w:proofErr w:type="spellStart"/>
      <w:r w:rsidRPr="0000623C">
        <w:t>enviroeconomic</w:t>
      </w:r>
      <w:proofErr w:type="spellEnd"/>
      <w:r w:rsidRPr="0000623C">
        <w:t xml:space="preserve"> assessment of an LPG fueled SI engine at partial load, J. Environ. </w:t>
      </w:r>
      <w:proofErr w:type="spellStart"/>
      <w:r w:rsidRPr="0000623C">
        <w:t>Manag</w:t>
      </w:r>
      <w:proofErr w:type="spellEnd"/>
      <w:r w:rsidRPr="0000623C">
        <w:t>. 241 (2019)</w:t>
      </w:r>
      <w:r>
        <w:t xml:space="preserve">, </w:t>
      </w:r>
      <w:r w:rsidRPr="0000623C">
        <w:t>631–636.</w:t>
      </w:r>
    </w:p>
    <w:p w14:paraId="7D1B374A" w14:textId="77777777" w:rsidR="0000623C" w:rsidRPr="0000623C" w:rsidRDefault="0000623C" w:rsidP="00D928CE">
      <w:pPr>
        <w:pStyle w:val="NormalWeb"/>
      </w:pPr>
    </w:p>
    <w:p w14:paraId="50C8D4FB" w14:textId="77777777" w:rsidR="00C74E71" w:rsidRPr="0000623C" w:rsidRDefault="00C74E71">
      <w:pPr>
        <w:rPr>
          <w:rFonts w:ascii="Times New Roman" w:hAnsi="Times New Roman" w:cs="Times New Roman"/>
        </w:rPr>
      </w:pPr>
    </w:p>
    <w:sectPr w:rsidR="00C74E71" w:rsidRPr="0000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CE"/>
    <w:rsid w:val="0000623C"/>
    <w:rsid w:val="00055B33"/>
    <w:rsid w:val="00130B43"/>
    <w:rsid w:val="00C74E71"/>
    <w:rsid w:val="00D76779"/>
    <w:rsid w:val="00D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CC78"/>
  <w15:chartTrackingRefBased/>
  <w15:docId w15:val="{4BA95212-B659-4B90-A194-25AC4028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D767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i-provider">
    <w:name w:val="ui-provider"/>
    <w:basedOn w:val="DefaultParagraphFont"/>
    <w:rsid w:val="0000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Hanif</dc:creator>
  <cp:keywords/>
  <dc:description/>
  <cp:lastModifiedBy>Ahsan Hanif</cp:lastModifiedBy>
  <cp:revision>1</cp:revision>
  <dcterms:created xsi:type="dcterms:W3CDTF">2024-03-25T12:03:00Z</dcterms:created>
  <dcterms:modified xsi:type="dcterms:W3CDTF">2024-03-25T12:35:00Z</dcterms:modified>
</cp:coreProperties>
</file>