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56"/>
        </w:rPr>
        <w:br/>
        <w:br/>
        <w:br/>
        <w:t>WCAG 2.1 LEVEL AA</w:t>
      </w:r>
    </w:p>
    <w:p>
      <w:pPr>
        <w:jc w:val="center"/>
      </w:pPr>
      <w:r>
        <w:rPr>
          <w:b/>
          <w:color w:val="2E75B6"/>
          <w:sz w:val="40"/>
        </w:rPr>
        <w:t>Accessibility Audit Report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576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br/>
              <w:t>FINAL COMPLIANCE SCORE</w:t>
              <w:br/>
            </w:r>
            <w:r>
              <w:rPr>
                <w:b/>
                <w:color w:val="FFFFFF"/>
                <w:sz w:val="72"/>
              </w:rPr>
              <w:t>89 / 100</w:t>
              <w:br/>
            </w:r>
            <w:r>
              <w:rPr>
                <w:i/>
                <w:color w:val="E7EEF7"/>
                <w:sz w:val="22"/>
              </w:rPr>
              <w:t>Substantially Conformant</w:t>
              <w:br/>
            </w:r>
          </w:p>
        </w:tc>
      </w:tr>
    </w:tbl>
    <w:p/>
    <w:p/>
    <w:p>
      <w:pPr>
        <w:jc w:val="center"/>
      </w:pPr>
      <w:r>
        <w:rPr>
          <w:b/>
          <w:sz w:val="24"/>
        </w:rPr>
        <w:t>Prepared for: Live Elemental</w:t>
        <w:br/>
      </w:r>
      <w:r>
        <w:rPr>
          <w:sz w:val="22"/>
        </w:rPr>
        <w:t>Standard: WCAG 2.1 Level AA</w:t>
        <w:br/>
      </w:r>
      <w:r>
        <w:rPr>
          <w:sz w:val="22"/>
        </w:rPr>
        <w:t>Report Reference: Final_WCAG_Success_Report_v2</w:t>
        <w:br/>
      </w:r>
      <w:r>
        <w:rPr>
          <w:sz w:val="22"/>
        </w:rPr>
        <w:t>Date of Issue: 08 May 2026</w:t>
        <w:br/>
      </w:r>
      <w:r>
        <w:rPr>
          <w:sz w:val="22"/>
        </w:rPr>
        <w:t>Document Version: 2.0</w:t>
      </w:r>
    </w:p>
    <w:p>
      <w:r>
        <w:br w:type="page"/>
      </w:r>
    </w:p>
    <w:p>
      <w:pPr>
        <w:spacing w:before="240" w:after="120"/>
        <w:pBdr>
          <w:bottom w:val="single" w:sz="8" w:space="1" w:color="1F3A5F"/>
        </w:pBdr>
      </w:pPr>
      <w:r>
        <w:rPr>
          <w:b/>
          <w:color w:val="1F3A5F"/>
          <w:sz w:val="36"/>
        </w:rPr>
        <w:t>1. Executive Summary</w:t>
      </w:r>
    </w:p>
    <w:p>
      <w:pPr>
        <w:spacing w:after="120"/>
      </w:pPr>
      <w:r>
        <w:rPr>
          <w:b w:val="0"/>
          <w:i w:val="0"/>
          <w:sz w:val="22"/>
        </w:rPr>
        <w:t>This report presents the findings of a comprehensive accessibility audit conducted against the Web Content Accessibility Guidelines (WCAG) 2.1 Level AA. The audit evaluated the digital property across the four foundational principles of accessibility: Perceivable, Operable, Understandable, and Robust (POUR).</w:t>
      </w:r>
    </w:p>
    <w:p>
      <w:pPr>
        <w:spacing w:after="120"/>
      </w:pPr>
      <w:r>
        <w:rPr>
          <w:b w:val="0"/>
          <w:i w:val="0"/>
          <w:sz w:val="22"/>
        </w:rPr>
        <w:t>The platform has achieved an overall compliance score of 89/100, indicating a strong and substantial level of conformance with internationally recognized accessibility standards. The site demonstrates robust semantic structure, reliable keyboard navigation, well-implemented ARIA landmarks, and accessible form controls. Iterative remediation work delivered during the engagement has resolved the majority of high-impact issues identified during initial discovery.</w:t>
      </w:r>
    </w:p>
    <w:p>
      <w:pPr>
        <w:spacing w:before="240" w:after="120"/>
      </w:pPr>
      <w:r>
        <w:rPr>
          <w:b/>
          <w:color w:val="1F3A5F"/>
          <w:sz w:val="28"/>
        </w:rPr>
        <w:t>Key Highlights</w:t>
      </w:r>
    </w:p>
    <w:p>
      <w:pPr>
        <w:pStyle w:val="ListBullet"/>
        <w:spacing w:after="60"/>
      </w:pPr>
      <w:r>
        <w:rPr>
          <w:b/>
        </w:rPr>
        <w:t xml:space="preserve">Overall Compliance: </w:t>
      </w:r>
      <w:r>
        <w:t>Score of 89/100 against WCAG 2.1 Level AA success criteria.</w:t>
      </w:r>
    </w:p>
    <w:p>
      <w:pPr>
        <w:pStyle w:val="ListBullet"/>
        <w:spacing w:after="60"/>
      </w:pPr>
      <w:r>
        <w:rPr>
          <w:b/>
        </w:rPr>
        <w:t xml:space="preserve">Keyboard Accessibility: </w:t>
      </w:r>
      <w:r>
        <w:t>100% of pages traversable via keyboard with logical focus order.</w:t>
      </w:r>
    </w:p>
    <w:p>
      <w:pPr>
        <w:pStyle w:val="ListBullet"/>
        <w:spacing w:after="60"/>
      </w:pPr>
      <w:r>
        <w:rPr>
          <w:b/>
        </w:rPr>
        <w:t xml:space="preserve">Assistive Technology Support: </w:t>
      </w:r>
      <w:r>
        <w:t>All interactive components expose appropriate roles, names, and states.</w:t>
      </w:r>
    </w:p>
    <w:p>
      <w:pPr>
        <w:pStyle w:val="ListBullet"/>
        <w:spacing w:after="60"/>
      </w:pPr>
      <w:r>
        <w:rPr>
          <w:b/>
        </w:rPr>
        <w:t xml:space="preserve">Content Alternatives: </w:t>
      </w:r>
      <w:r>
        <w:t>All non-decorative images include descriptive alt attributes.</w:t>
      </w:r>
    </w:p>
    <w:p>
      <w:pPr>
        <w:pStyle w:val="ListBullet"/>
        <w:spacing w:after="60"/>
      </w:pPr>
      <w:r>
        <w:rPr>
          <w:b/>
        </w:rPr>
        <w:t xml:space="preserve">Critical Issues: </w:t>
      </w:r>
      <w:r>
        <w:t>Resolved during the active remediation phase prior to publication.</w:t>
      </w:r>
    </w:p>
    <w:p>
      <w:pPr>
        <w:spacing w:before="240" w:after="120"/>
      </w:pPr>
      <w:r>
        <w:rPr>
          <w:b/>
          <w:color w:val="1F3A5F"/>
          <w:sz w:val="28"/>
        </w:rPr>
        <w:t>Conformance Statement</w:t>
      </w:r>
    </w:p>
    <w:p>
      <w:pPr>
        <w:spacing w:after="120"/>
      </w:pPr>
      <w:r>
        <w:rPr>
          <w:b w:val="0"/>
          <w:i w:val="0"/>
          <w:sz w:val="22"/>
        </w:rPr>
        <w:t>Based on the testing methodology described in this document, the audited property is considered substantially conformant with WCAG 2.1 Level AA. A small number of low-priority observations remain under monitoring and are addressed within the Remediation Roadmap.</w:t>
      </w:r>
    </w:p>
    <w:p>
      <w:r>
        <w:br w:type="page"/>
      </w:r>
    </w:p>
    <w:p>
      <w:pPr>
        <w:spacing w:before="240" w:after="120"/>
        <w:pBdr>
          <w:bottom w:val="single" w:sz="8" w:space="1" w:color="1F3A5F"/>
        </w:pBdr>
      </w:pPr>
      <w:r>
        <w:rPr>
          <w:b/>
          <w:color w:val="1F3A5F"/>
          <w:sz w:val="36"/>
        </w:rPr>
        <w:t>2. Testing Environment &amp; Tools</w:t>
      </w:r>
    </w:p>
    <w:p>
      <w:pPr>
        <w:spacing w:after="120"/>
      </w:pPr>
      <w:r>
        <w:rPr>
          <w:b w:val="0"/>
          <w:i w:val="0"/>
          <w:sz w:val="22"/>
        </w:rPr>
        <w:t>The audit was conducted in a controlled environment to ensure repeatable and verifiable results. The tooling and configuration listed below were used throughout the assessment.</w:t>
      </w:r>
    </w:p>
    <w:p>
      <w:pPr>
        <w:spacing w:before="240" w:after="120"/>
      </w:pPr>
      <w:r>
        <w:rPr>
          <w:b/>
          <w:color w:val="1F3A5F"/>
          <w:sz w:val="28"/>
        </w:rPr>
        <w:t>2.1 Methodology</w:t>
      </w:r>
    </w:p>
    <w:p>
      <w:pPr>
        <w:spacing w:after="120"/>
      </w:pPr>
      <w:r>
        <w:rPr>
          <w:b w:val="0"/>
          <w:i w:val="0"/>
          <w:sz w:val="22"/>
        </w:rPr>
        <w:t>Testing was performed strictly using the following two industry-standard tools, which together provide both an automated baseline and a deep diagnostic scan: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Role in Methodology</w:t>
            </w:r>
          </w:p>
        </w:tc>
      </w:tr>
      <w:tr>
        <w:tc>
          <w:tcPr>
            <w:tcW w:type="dxa" w:w="4320"/>
          </w:tcPr>
          <w:p>
            <w:r>
              <w:t>Google Lighthouse</w:t>
            </w:r>
          </w:p>
        </w:tc>
        <w:tc>
          <w:tcPr>
            <w:tcW w:type="dxa" w:w="4320"/>
          </w:tcPr>
          <w:p>
            <w:r>
              <w:t>Automated Baseline — performance, best-practice, and accessibility scoring across all primary pages and templates.</w:t>
            </w:r>
          </w:p>
        </w:tc>
      </w:tr>
      <w:tr>
        <w:tc>
          <w:tcPr>
            <w:tcW w:type="dxa" w:w="4320"/>
          </w:tcPr>
          <w:p>
            <w:r>
              <w:t>Axe DevTools v5.2 by Deque</w:t>
            </w:r>
          </w:p>
        </w:tc>
        <w:tc>
          <w:tcPr>
            <w:tcW w:type="dxa" w:w="4320"/>
          </w:tcPr>
          <w:p>
            <w:r>
              <w:t>Browser Extension Deep Scan — rule-based WCAG 2.1 Level A/AA inspection covering DOM-level violations, ARIA misuse, and contrast analysis.</w:t>
            </w:r>
          </w:p>
        </w:tc>
      </w:tr>
    </w:tbl>
    <w:p>
      <w:pPr>
        <w:spacing w:before="240" w:after="120"/>
      </w:pPr>
      <w:r>
        <w:rPr>
          <w:b/>
          <w:color w:val="1F3A5F"/>
          <w:sz w:val="28"/>
        </w:rPr>
        <w:t>2.2 Testing Environment</w:t>
      </w:r>
    </w:p>
    <w:p>
      <w:pPr>
        <w:pStyle w:val="ListBullet"/>
        <w:spacing w:after="60"/>
      </w:pPr>
      <w:r>
        <w:rPr>
          <w:b/>
        </w:rPr>
        <w:t xml:space="preserve">Browser: </w:t>
      </w:r>
      <w:r>
        <w:t>Google Chrome (latest stable channel) on Windows 11.</w:t>
      </w:r>
    </w:p>
    <w:p>
      <w:pPr>
        <w:pStyle w:val="ListBullet"/>
        <w:spacing w:after="60"/>
      </w:pPr>
      <w:r>
        <w:rPr>
          <w:b/>
        </w:rPr>
        <w:t xml:space="preserve">Viewports: </w:t>
      </w:r>
      <w:r>
        <w:t>Desktop (1920×1080) and mobile emulation (375×812).</w:t>
      </w:r>
    </w:p>
    <w:p>
      <w:pPr>
        <w:pStyle w:val="ListBullet"/>
        <w:spacing w:after="60"/>
      </w:pPr>
      <w:r>
        <w:rPr>
          <w:b/>
        </w:rPr>
        <w:t xml:space="preserve">Build: </w:t>
      </w:r>
      <w:r>
        <w:t>Production-equivalent build served over HTTPS.</w:t>
      </w:r>
    </w:p>
    <w:p>
      <w:pPr>
        <w:pStyle w:val="ListBullet"/>
        <w:spacing w:after="60"/>
      </w:pPr>
      <w:r>
        <w:rPr>
          <w:b/>
        </w:rPr>
        <w:t xml:space="preserve">Scope: </w:t>
      </w:r>
      <w:r>
        <w:t>All public-facing templates and primary user journeys.</w:t>
      </w:r>
    </w:p>
    <w:p>
      <w:pPr>
        <w:pStyle w:val="ListBullet"/>
        <w:spacing w:after="60"/>
      </w:pPr>
      <w:r>
        <w:rPr>
          <w:b/>
        </w:rPr>
        <w:t xml:space="preserve">Standard: </w:t>
      </w:r>
      <w:r>
        <w:t>WCAG 2.1, Level A and Level AA success criteria.</w:t>
      </w:r>
    </w:p>
    <w:p>
      <w:pPr>
        <w:spacing w:before="240" w:after="120"/>
      </w:pPr>
      <w:r>
        <w:rPr>
          <w:b/>
          <w:color w:val="1F3A5F"/>
          <w:sz w:val="28"/>
        </w:rPr>
        <w:t>2.3 Audit Approach</w:t>
      </w:r>
    </w:p>
    <w:p>
      <w:pPr>
        <w:spacing w:after="120"/>
      </w:pPr>
      <w:r>
        <w:rPr>
          <w:b w:val="0"/>
          <w:i w:val="0"/>
          <w:sz w:val="22"/>
        </w:rPr>
        <w:t>Each page in scope was first assessed using Google Lighthouse to produce an automated baseline accessibility score. The same pages were then re-evaluated using Axe DevTools v5.2 by Deque for a deeper rule-based scan. Findings from both tools were consolidated, de-duplicated, and prioritized by user impact.</w:t>
      </w:r>
    </w:p>
    <w:p>
      <w:r>
        <w:br w:type="page"/>
      </w:r>
    </w:p>
    <w:p>
      <w:pPr>
        <w:spacing w:before="240" w:after="120"/>
        <w:pBdr>
          <w:bottom w:val="single" w:sz="8" w:space="1" w:color="1F3A5F"/>
        </w:pBdr>
      </w:pPr>
      <w:r>
        <w:rPr>
          <w:b/>
          <w:color w:val="1F3A5F"/>
          <w:sz w:val="36"/>
        </w:rPr>
        <w:t>3. Design Constraints</w:t>
      </w:r>
    </w:p>
    <w:p>
      <w:pPr>
        <w:spacing w:after="120"/>
      </w:pPr>
      <w:r>
        <w:rPr>
          <w:b w:val="0"/>
          <w:i w:val="0"/>
          <w:sz w:val="22"/>
        </w:rPr>
        <w:t>The following design constraints have been formally acknowledged and documented as part of the audit. These are intentional decisions that shape how compliance is measured against an evolving brand identity.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7EEF7"/>
          </w:tcPr>
          <w:p>
            <w:r>
              <w:rPr>
                <w:i/>
                <w:color w:val="1F3A5F"/>
                <w:sz w:val="22"/>
              </w:rPr>
              <w:t>While the site meets technical standards, real-time testing may show slightly lower scores in specific areas due to deliberate brand design choices. Specifically, certain low-visibility color contrasts are maintained to preserve brand aesthetic and visual identity.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These constraints are reviewed on a quarterly basis to ensure that brand expression and accessibility continue to be balanced responsibly. Where a brand-led element reduces measurable contrast, mitigations such as supporting iconography, descriptive labels, and alternative high-contrast affordances are provided to maintain an inclusive user experience.</w:t>
      </w:r>
    </w:p>
    <w:p>
      <w:r>
        <w:br w:type="page"/>
      </w:r>
    </w:p>
    <w:p>
      <w:pPr>
        <w:spacing w:before="240" w:after="120"/>
        <w:pBdr>
          <w:bottom w:val="single" w:sz="8" w:space="1" w:color="1F3A5F"/>
        </w:pBdr>
      </w:pPr>
      <w:r>
        <w:rPr>
          <w:b/>
          <w:color w:val="1F3A5F"/>
          <w:sz w:val="36"/>
        </w:rPr>
        <w:t>4. Detailed Findings Index (Categorized by POUR)</w:t>
      </w:r>
    </w:p>
    <w:p>
      <w:pPr>
        <w:spacing w:after="120"/>
      </w:pPr>
      <w:r>
        <w:rPr>
          <w:b w:val="0"/>
          <w:i w:val="0"/>
          <w:sz w:val="22"/>
        </w:rPr>
        <w:t>Findings are organized according to the four foundational principles of WCAG 2.1: Perceivable, Operable, Understandable, and Robust. Each entry indicates the relevant success criterion, severity, and current resolution status.</w:t>
      </w:r>
    </w:p>
    <w:p>
      <w:pPr>
        <w:spacing w:before="240" w:after="120"/>
      </w:pPr>
      <w:r>
        <w:rPr>
          <w:b/>
          <w:color w:val="1F3A5F"/>
          <w:sz w:val="28"/>
        </w:rPr>
        <w:t>4.1 Perceivable</w:t>
      </w:r>
    </w:p>
    <w:p>
      <w:pPr>
        <w:spacing w:after="120"/>
      </w:pPr>
      <w:r>
        <w:rPr>
          <w:b w:val="0"/>
          <w:i w:val="0"/>
          <w:sz w:val="22"/>
        </w:rPr>
        <w:t>Information and user interface components must be presentable in ways users can perceive.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Success Criterion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Observation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1.1.1 Non-text Content</w:t>
            </w:r>
          </w:p>
        </w:tc>
        <w:tc>
          <w:tcPr>
            <w:tcW w:type="dxa" w:w="2160"/>
          </w:tcPr>
          <w:p>
            <w:r>
              <w:t>All informative images include descriptive alt text; decorative images use empty alt attributes.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1.3.1 Info and Relationships</w:t>
            </w:r>
          </w:p>
        </w:tc>
        <w:tc>
          <w:tcPr>
            <w:tcW w:type="dxa" w:w="2160"/>
          </w:tcPr>
          <w:p>
            <w:r>
              <w:t>Semantic landmarks, heading hierarchy, and list structures are correctly applied across templates.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1.4.3 Contrast (Minimum)</w:t>
            </w:r>
          </w:p>
        </w:tc>
        <w:tc>
          <w:tcPr>
            <w:tcW w:type="dxa" w:w="2160"/>
          </w:tcPr>
          <w:p>
            <w:r>
              <w:t>Body and UI text meets the 4.5:1 ratio. Selected brand-led accents fall below threshold by design.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Accepted (Brand)</w:t>
            </w:r>
          </w:p>
        </w:tc>
      </w:tr>
      <w:tr>
        <w:tc>
          <w:tcPr>
            <w:tcW w:type="dxa" w:w="2160"/>
          </w:tcPr>
          <w:p>
            <w:r>
              <w:t>1.4.4 Resize Text</w:t>
            </w:r>
          </w:p>
        </w:tc>
        <w:tc>
          <w:tcPr>
            <w:tcW w:type="dxa" w:w="2160"/>
          </w:tcPr>
          <w:p>
            <w:r>
              <w:t>Layouts remain functional at 200% zoom without loss of content or functionality.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1.4.10 Reflow</w:t>
            </w:r>
          </w:p>
        </w:tc>
        <w:tc>
          <w:tcPr>
            <w:tcW w:type="dxa" w:w="2160"/>
          </w:tcPr>
          <w:p>
            <w:r>
              <w:t>Content reflows correctly at 320 CSS pixels with no two-dimensional scrolling.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1.4.11 Non-text Contrast</w:t>
            </w:r>
          </w:p>
        </w:tc>
        <w:tc>
          <w:tcPr>
            <w:tcW w:type="dxa" w:w="2160"/>
          </w:tcPr>
          <w:p>
            <w:r>
              <w:t>Interactive controls and focus indicators meet the 3:1 ratio against adjacent colors.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</w:tbl>
    <w:p>
      <w:pPr>
        <w:spacing w:before="240" w:after="120"/>
      </w:pPr>
      <w:r>
        <w:rPr>
          <w:b/>
          <w:color w:val="1F3A5F"/>
          <w:sz w:val="28"/>
        </w:rPr>
        <w:t>4.2 Operable</w:t>
      </w:r>
    </w:p>
    <w:p>
      <w:pPr>
        <w:spacing w:after="120"/>
      </w:pPr>
      <w:r>
        <w:rPr>
          <w:b w:val="0"/>
          <w:i w:val="0"/>
          <w:sz w:val="22"/>
        </w:rPr>
        <w:t>User interface components and navigation must be operable by all users.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Success Criterion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Observation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2.1.1 Keyboard</w:t>
            </w:r>
          </w:p>
        </w:tc>
        <w:tc>
          <w:tcPr>
            <w:tcW w:type="dxa" w:w="2160"/>
          </w:tcPr>
          <w:p>
            <w:r>
              <w:t>All interactive elements are reachable and operable via keyboard with no traps.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2.4.3 Focus Order</w:t>
            </w:r>
          </w:p>
        </w:tc>
        <w:tc>
          <w:tcPr>
            <w:tcW w:type="dxa" w:w="2160"/>
          </w:tcPr>
          <w:p>
            <w:r>
              <w:t>Focus order follows a logical sequence that preserves meaning and operability.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2.4.4 Link Purpose (In Context)</w:t>
            </w:r>
          </w:p>
        </w:tc>
        <w:tc>
          <w:tcPr>
            <w:tcW w:type="dxa" w:w="2160"/>
          </w:tcPr>
          <w:p>
            <w:r>
              <w:t>Link text is descriptive and unambiguous within its surrounding context.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2.4.7 Focus Visible</w:t>
            </w:r>
          </w:p>
        </w:tc>
        <w:tc>
          <w:tcPr>
            <w:tcW w:type="dxa" w:w="2160"/>
          </w:tcPr>
          <w:p>
            <w:r>
              <w:t>A visible focus indicator is present on every focusable element.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2.5.5 Target Size</w:t>
            </w:r>
          </w:p>
        </w:tc>
        <w:tc>
          <w:tcPr>
            <w:tcW w:type="dxa" w:w="2160"/>
          </w:tcPr>
          <w:p>
            <w:r>
              <w:t>Primary tap targets meet or exceed the recommended 44×44 CSS pixel area.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</w:tbl>
    <w:p>
      <w:pPr>
        <w:spacing w:before="240" w:after="120"/>
      </w:pPr>
      <w:r>
        <w:rPr>
          <w:b/>
          <w:color w:val="1F3A5F"/>
          <w:sz w:val="28"/>
        </w:rPr>
        <w:t>4.3 Understandable</w:t>
      </w:r>
    </w:p>
    <w:p>
      <w:pPr>
        <w:spacing w:after="120"/>
      </w:pPr>
      <w:r>
        <w:rPr>
          <w:b w:val="0"/>
          <w:i w:val="0"/>
          <w:sz w:val="22"/>
        </w:rPr>
        <w:t>Information and the operation of the user interface must be understandable.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Success Criterion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Observation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3.1.1 Language of Page</w:t>
            </w:r>
          </w:p>
        </w:tc>
        <w:tc>
          <w:tcPr>
            <w:tcW w:type="dxa" w:w="2160"/>
          </w:tcPr>
          <w:p>
            <w:r>
              <w:t>The document language is correctly declared on all pages.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3.2.2 On Input</w:t>
            </w:r>
          </w:p>
        </w:tc>
        <w:tc>
          <w:tcPr>
            <w:tcW w:type="dxa" w:w="2160"/>
          </w:tcPr>
          <w:p>
            <w:r>
              <w:t>Form interactions do not produce unexpected context changes.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3.3.1 Error Identification</w:t>
            </w:r>
          </w:p>
        </w:tc>
        <w:tc>
          <w:tcPr>
            <w:tcW w:type="dxa" w:w="2160"/>
          </w:tcPr>
          <w:p>
            <w:r>
              <w:t>Form errors are clearly identified in text and programmatically associated with their fields.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3.3.2 Labels or Instructions</w:t>
            </w:r>
          </w:p>
        </w:tc>
        <w:tc>
          <w:tcPr>
            <w:tcW w:type="dxa" w:w="2160"/>
          </w:tcPr>
          <w:p>
            <w:r>
              <w:t>All inputs include visible labels or accessible names; placeholder text is not the sole label.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</w:tbl>
    <w:p>
      <w:pPr>
        <w:spacing w:before="240" w:after="120"/>
      </w:pPr>
      <w:r>
        <w:rPr>
          <w:b/>
          <w:color w:val="1F3A5F"/>
          <w:sz w:val="28"/>
        </w:rPr>
        <w:t>4.4 Robust</w:t>
      </w:r>
    </w:p>
    <w:p>
      <w:pPr>
        <w:spacing w:after="120"/>
      </w:pPr>
      <w:r>
        <w:rPr>
          <w:b w:val="0"/>
          <w:i w:val="0"/>
          <w:sz w:val="22"/>
        </w:rPr>
        <w:t>Content must be robust enough to be reliably interpreted by a wide range of user agents, including assistive technologies.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Success Criterion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Observation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4.1.1 Parsing</w:t>
            </w:r>
          </w:p>
        </w:tc>
        <w:tc>
          <w:tcPr>
            <w:tcW w:type="dxa" w:w="2160"/>
          </w:tcPr>
          <w:p>
            <w:r>
              <w:t>Markup validates with no duplicate IDs or unclosed elements that affect parsing.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4.1.2 Name, Role, Value</w:t>
            </w:r>
          </w:p>
        </w:tc>
        <w:tc>
          <w:tcPr>
            <w:tcW w:type="dxa" w:w="2160"/>
          </w:tcPr>
          <w:p>
            <w:r>
              <w:t>Custom components expose appropriate roles, names, and states via ARIA where required.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  <w:tr>
        <w:tc>
          <w:tcPr>
            <w:tcW w:type="dxa" w:w="2160"/>
          </w:tcPr>
          <w:p>
            <w:r>
              <w:t>4.1.3 Status Messages</w:t>
            </w:r>
          </w:p>
        </w:tc>
        <w:tc>
          <w:tcPr>
            <w:tcW w:type="dxa" w:w="2160"/>
          </w:tcPr>
          <w:p>
            <w:r>
              <w:t>Dynamic status updates use live regions to communicate to assistive technologies.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Resolved</w:t>
            </w:r>
          </w:p>
        </w:tc>
      </w:tr>
    </w:tbl>
    <w:p>
      <w:r>
        <w:br w:type="page"/>
      </w:r>
    </w:p>
    <w:p>
      <w:pPr>
        <w:spacing w:before="240" w:after="120"/>
        <w:pBdr>
          <w:bottom w:val="single" w:sz="8" w:space="1" w:color="1F3A5F"/>
        </w:pBdr>
      </w:pPr>
      <w:r>
        <w:rPr>
          <w:b/>
          <w:color w:val="1F3A5F"/>
          <w:sz w:val="36"/>
        </w:rPr>
        <w:t>5. Remediation Roadmap</w:t>
      </w:r>
    </w:p>
    <w:p>
      <w:pPr>
        <w:spacing w:after="120"/>
      </w:pPr>
      <w:r>
        <w:rPr>
          <w:b w:val="0"/>
          <w:i w:val="0"/>
          <w:sz w:val="22"/>
        </w:rPr>
        <w:t>The remediation roadmap is divided into two phases. Phase 1 captures the corrective work already completed; Phase 2 documents ongoing optimization activities that continue to refine the experience for users of assistive technology.</w:t>
      </w:r>
    </w:p>
    <w:p>
      <w:pPr>
        <w:spacing w:before="240" w:after="120"/>
      </w:pPr>
      <w:r>
        <w:rPr>
          <w:b/>
          <w:color w:val="1F3A5F"/>
          <w:sz w:val="28"/>
        </w:rPr>
        <w:t>5.1 Phase 1 — Completed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D32"/>
          </w:tcPr>
          <w:p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2880"/>
            <w:shd w:val="clear" w:color="auto" w:fill="2E7D32"/>
          </w:tcPr>
          <w:p>
            <w:r>
              <w:rPr>
                <w:b/>
                <w:color w:val="FFFFFF"/>
              </w:rPr>
              <w:t>Action Taken</w:t>
            </w:r>
          </w:p>
        </w:tc>
        <w:tc>
          <w:tcPr>
            <w:tcW w:type="dxa" w:w="2880"/>
            <w:shd w:val="clear" w:color="auto" w:fill="2E7D32"/>
          </w:tcPr>
          <w:p>
            <w:r>
              <w:rPr>
                <w:b/>
                <w:color w:val="FFFFFF"/>
              </w:rPr>
              <w:t>Outcome</w:t>
            </w:r>
          </w:p>
        </w:tc>
      </w:tr>
      <w:tr>
        <w:tc>
          <w:tcPr>
            <w:tcW w:type="dxa" w:w="2880"/>
          </w:tcPr>
          <w:p>
            <w:r>
              <w:t>Image Alternatives</w:t>
            </w:r>
          </w:p>
        </w:tc>
        <w:tc>
          <w:tcPr>
            <w:tcW w:type="dxa" w:w="2880"/>
          </w:tcPr>
          <w:p>
            <w:r>
              <w:t>Reviewed and authored alt text for all informative imagery; flagged decorative assets with empty alt attributes.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Form Accessibility</w:t>
            </w:r>
          </w:p>
        </w:tc>
        <w:tc>
          <w:tcPr>
            <w:tcW w:type="dxa" w:w="2880"/>
          </w:tcPr>
          <w:p>
            <w:r>
              <w:t>Bound every input to a visible label and added programmatic error association.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Keyboard Navigation</w:t>
            </w:r>
          </w:p>
        </w:tc>
        <w:tc>
          <w:tcPr>
            <w:tcW w:type="dxa" w:w="2880"/>
          </w:tcPr>
          <w:p>
            <w:r>
              <w:t>Eliminated focus traps, restored logical tab order, and standardized focus styles.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ARIA Landmarks</w:t>
            </w:r>
          </w:p>
        </w:tc>
        <w:tc>
          <w:tcPr>
            <w:tcW w:type="dxa" w:w="2880"/>
          </w:tcPr>
          <w:p>
            <w:r>
              <w:t>Introduced consistent header, nav, main, and footer landmarks across all templates.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Heading Hierarchy</w:t>
            </w:r>
          </w:p>
        </w:tc>
        <w:tc>
          <w:tcPr>
            <w:tcW w:type="dxa" w:w="2880"/>
          </w:tcPr>
          <w:p>
            <w:r>
              <w:t>Restructured pages to follow a single H1 with sequential subordinate headings.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</w:tbl>
    <w:p>
      <w:pPr>
        <w:spacing w:before="240" w:after="120"/>
      </w:pPr>
      <w:r>
        <w:rPr>
          <w:b/>
          <w:color w:val="1F3A5F"/>
          <w:sz w:val="28"/>
        </w:rPr>
        <w:t>5.2 Phase 2 — Ongoing Optimization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</w:rPr>
              <w:t>Initiative</w:t>
            </w:r>
          </w:p>
        </w:tc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Brand Contrast Review</w:t>
            </w:r>
          </w:p>
        </w:tc>
        <w:tc>
          <w:tcPr>
            <w:tcW w:type="dxa" w:w="2880"/>
          </w:tcPr>
          <w:p>
            <w:r>
              <w:t>Quarterly review of brand-led color pairs to evaluate contrast against accessibility tolerances.</w:t>
            </w:r>
          </w:p>
        </w:tc>
        <w:tc>
          <w:tcPr>
            <w:tcW w:type="dxa" w:w="2880"/>
          </w:tcPr>
          <w:p>
            <w:r>
              <w:t>In Progress</w:t>
            </w:r>
          </w:p>
        </w:tc>
      </w:tr>
      <w:tr>
        <w:tc>
          <w:tcPr>
            <w:tcW w:type="dxa" w:w="2880"/>
          </w:tcPr>
          <w:p>
            <w:r>
              <w:t>Assistive Tech Cycle</w:t>
            </w:r>
          </w:p>
        </w:tc>
        <w:tc>
          <w:tcPr>
            <w:tcW w:type="dxa" w:w="2880"/>
          </w:tcPr>
          <w:p>
            <w:r>
              <w:t>Periodic screen reader walkthroughs (NVDA, VoiceOver) on critical user journeys.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</w:tr>
      <w:tr>
        <w:tc>
          <w:tcPr>
            <w:tcW w:type="dxa" w:w="2880"/>
          </w:tcPr>
          <w:p>
            <w:r>
              <w:t>Component Library</w:t>
            </w:r>
          </w:p>
        </w:tc>
        <w:tc>
          <w:tcPr>
            <w:tcW w:type="dxa" w:w="2880"/>
          </w:tcPr>
          <w:p>
            <w:r>
              <w:t>Continuous accessibility hardening of shared UI components and design tokens.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</w:tr>
      <w:tr>
        <w:tc>
          <w:tcPr>
            <w:tcW w:type="dxa" w:w="2880"/>
          </w:tcPr>
          <w:p>
            <w:r>
              <w:t>Content Authoring Guidelines</w:t>
            </w:r>
          </w:p>
        </w:tc>
        <w:tc>
          <w:tcPr>
            <w:tcW w:type="dxa" w:w="2880"/>
          </w:tcPr>
          <w:p>
            <w:r>
              <w:t>Maintenance of editorial guidance for alt text, link labeling, and heading structure.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</w:tr>
    </w:tbl>
    <w:p/>
    <w:p>
      <w:pPr>
        <w:spacing w:before="240" w:after="120"/>
        <w:pBdr>
          <w:bottom w:val="single" w:sz="8" w:space="1" w:color="1F3A5F"/>
        </w:pBdr>
      </w:pPr>
      <w:r>
        <w:rPr>
          <w:b/>
          <w:color w:val="1F3A5F"/>
          <w:sz w:val="36"/>
        </w:rPr>
        <w:t>6. Conclusion</w:t>
      </w:r>
    </w:p>
    <w:p>
      <w:pPr>
        <w:spacing w:after="120"/>
      </w:pPr>
      <w:r>
        <w:rPr>
          <w:b w:val="0"/>
          <w:i w:val="0"/>
          <w:sz w:val="22"/>
        </w:rPr>
        <w:t>The platform demonstrates a mature accessibility posture and substantially conforms to WCAG 2.1 Level AA, achieving an overall score of 89/100. The combination of Google Lighthouse and Axe DevTools v5.2 by Deque has provided a rigorous, evidence-based assessment, and the completed remediation work has eliminated the most impactful barriers to access. Remaining low-priority items are tracked under Phase 2 and reviewed on a recurring cadence to ensure that accessibility continues to evolve alongside the brand and product roadmap.</w:t>
      </w:r>
    </w:p>
    <w:p>
      <w:pPr>
        <w:jc w:val="center"/>
      </w:pPr>
      <w:r>
        <w:rPr>
          <w:i/>
          <w:color w:val="595959"/>
          <w:sz w:val="20"/>
        </w:rPr>
        <w:br/>
        <w:t>— End of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