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2D6CDF"/>
          <w:sz w:val="22"/>
        </w:rPr>
        <w:t>LIVE  ELEMENTAL</w:t>
      </w:r>
    </w:p>
    <w:p>
      <w:pPr>
        <w:spacing w:after="1200"/>
        <w:jc w:val="center"/>
        <w:pBdr>
          <w:bottom w:val="single" w:sz="6" w:space="4" w:color="2D6CDF"/>
        </w:pBdr>
      </w:pPr>
    </w:p>
    <w:p>
      <w:pPr>
        <w:spacing w:after="0"/>
        <w:jc w:val="center"/>
      </w:pPr>
      <w:r>
        <w:rPr>
          <w:b/>
          <w:color w:val="0E2A47"/>
          <w:sz w:val="80"/>
        </w:rPr>
        <w:t>Accessibility</w:t>
      </w:r>
    </w:p>
    <w:p>
      <w:pPr>
        <w:spacing w:after="160"/>
        <w:jc w:val="center"/>
      </w:pPr>
      <w:r>
        <w:rPr>
          <w:b/>
          <w:color w:val="1E3A6B"/>
          <w:sz w:val="80"/>
        </w:rPr>
        <w:t>Conformance Report</w:t>
      </w:r>
    </w:p>
    <w:p>
      <w:pPr>
        <w:spacing w:after="1000"/>
        <w:jc w:val="center"/>
      </w:pPr>
      <w:r>
        <w:rPr>
          <w:i/>
          <w:color w:val="555E6B"/>
          <w:sz w:val="24"/>
        </w:rPr>
        <w:t>WCAG 2.1   ·   Level AA   ·   Independent Audit</w:t>
      </w:r>
    </w:p>
    <w:tbl>
      <w:tblPr>
        <w:tblW w:type="auto" w:w="0"/>
        <w:jc w:val="center"/>
        <w:tblLook w:firstColumn="1" w:firstRow="1" w:lastColumn="0" w:lastRow="0" w:noHBand="0" w:noVBand="1" w:val="04A0"/>
      </w:tblPr>
      <w:tblGrid>
        <w:gridCol w:w="9746"/>
      </w:tblGrid>
      <w:tr>
        <w:tc>
          <w:tcPr>
            <w:tcW w:type="dxa" w:w="8787"/>
            <w:shd w:val="clear" w:color="auto" w:fill="0E2A47"/>
            <w:tcBorders>
              <w:top w:val="nil"/>
              <w:left w:val="nil"/>
              <w:bottom w:val="nil"/>
              <w:right w:val="nil"/>
            </w:tcBorders>
          </w:tcPr>
          <w:p>
            <w:pPr>
              <w:jc w:val="center"/>
            </w:pPr>
            <w:r>
              <w:rPr>
                <w:b/>
                <w:color w:val="B6C8E6"/>
                <w:sz w:val="22"/>
              </w:rPr>
              <w:br/>
              <w:t>OVERALL COMPLIANCE SCORE</w:t>
            </w:r>
          </w:p>
          <w:p>
            <w:pPr>
              <w:jc w:val="center"/>
            </w:pPr>
            <w:r>
              <w:rPr>
                <w:b/>
                <w:color w:val="FFFFFF"/>
                <w:sz w:val="144"/>
              </w:rPr>
              <w:t>89</w:t>
            </w:r>
            <w:r>
              <w:rPr>
                <w:b/>
                <w:color w:val="B6C8E6"/>
                <w:sz w:val="40"/>
              </w:rPr>
              <w:t xml:space="preserve"> / 100</w:t>
            </w:r>
          </w:p>
          <w:p>
            <w:pPr>
              <w:jc w:val="center"/>
            </w:pPr>
            <w:r>
              <w:rPr>
                <w:b/>
                <w:color w:val="C9A227"/>
                <w:sz w:val="20"/>
              </w:rPr>
              <w:t>SUBSTANTIALLY CONFORMANT  ·  WCAG 2.1 LEVEL AA</w:t>
              <w:br/>
            </w:r>
          </w:p>
        </w:tc>
      </w:tr>
    </w:tbl>
    <w:p/>
    <w:tbl>
      <w:tblPr>
        <w:tblW w:type="auto" w:w="0"/>
        <w:jc w:val="center"/>
        <w:tblLook w:firstColumn="1" w:firstRow="1" w:lastColumn="0" w:lastRow="0" w:noHBand="0" w:noVBand="1" w:val="04A0"/>
      </w:tblPr>
      <w:tblGrid>
        <w:gridCol w:w="2436"/>
        <w:gridCol w:w="2436"/>
        <w:gridCol w:w="2436"/>
        <w:gridCol w:w="2436"/>
      </w:tblGrid>
      <w:tr>
        <w:tc>
          <w:tcPr>
            <w:tcW w:type="dxa" w:w="2436"/>
            <w:tcBorders>
              <w:top w:val="nil"/>
              <w:left w:val="nil"/>
              <w:bottom w:val="nil"/>
              <w:right w:val="nil"/>
            </w:tcBorders>
            <w:vAlign w:val="center"/>
          </w:tcPr>
          <w:p>
            <w:pPr>
              <w:jc w:val="center"/>
            </w:pPr>
            <w:r>
              <w:rPr>
                <w:b/>
                <w:color w:val="8A939F"/>
                <w:sz w:val="16"/>
              </w:rPr>
              <w:t>PREPARED FOR</w:t>
            </w:r>
          </w:p>
          <w:p>
            <w:pPr>
              <w:jc w:val="center"/>
            </w:pPr>
            <w:r>
              <w:rPr>
                <w:b/>
                <w:color w:val="0E2A47"/>
                <w:sz w:val="22"/>
              </w:rPr>
              <w:t>Live Elemental</w:t>
            </w:r>
          </w:p>
        </w:tc>
        <w:tc>
          <w:tcPr>
            <w:tcW w:type="dxa" w:w="2436"/>
            <w:tcBorders>
              <w:top w:val="nil"/>
              <w:left w:val="nil"/>
              <w:bottom w:val="nil"/>
              <w:right w:val="nil"/>
            </w:tcBorders>
            <w:vAlign w:val="center"/>
          </w:tcPr>
          <w:p>
            <w:pPr>
              <w:jc w:val="center"/>
            </w:pPr>
            <w:r>
              <w:rPr>
                <w:b/>
                <w:color w:val="8A939F"/>
                <w:sz w:val="16"/>
              </w:rPr>
              <w:t>STANDARD</w:t>
            </w:r>
          </w:p>
          <w:p>
            <w:pPr>
              <w:jc w:val="center"/>
            </w:pPr>
            <w:r>
              <w:rPr>
                <w:b/>
                <w:color w:val="0E2A47"/>
                <w:sz w:val="22"/>
              </w:rPr>
              <w:t>WCAG 2.1 AA</w:t>
            </w:r>
          </w:p>
        </w:tc>
        <w:tc>
          <w:tcPr>
            <w:tcW w:type="dxa" w:w="2436"/>
            <w:tcBorders>
              <w:top w:val="nil"/>
              <w:left w:val="nil"/>
              <w:bottom w:val="nil"/>
              <w:right w:val="nil"/>
            </w:tcBorders>
            <w:vAlign w:val="center"/>
          </w:tcPr>
          <w:p>
            <w:pPr>
              <w:jc w:val="center"/>
            </w:pPr>
            <w:r>
              <w:rPr>
                <w:b/>
                <w:color w:val="8A939F"/>
                <w:sz w:val="16"/>
              </w:rPr>
              <w:t>REPORT REF.</w:t>
            </w:r>
          </w:p>
          <w:p>
            <w:pPr>
              <w:jc w:val="center"/>
            </w:pPr>
            <w:r>
              <w:rPr>
                <w:b/>
                <w:color w:val="0E2A47"/>
                <w:sz w:val="22"/>
              </w:rPr>
              <w:t>WCAG-LE-V2</w:t>
            </w:r>
          </w:p>
        </w:tc>
        <w:tc>
          <w:tcPr>
            <w:tcW w:type="dxa" w:w="2436"/>
            <w:tcBorders>
              <w:top w:val="nil"/>
              <w:left w:val="nil"/>
              <w:bottom w:val="nil"/>
              <w:right w:val="nil"/>
            </w:tcBorders>
            <w:vAlign w:val="center"/>
          </w:tcPr>
          <w:p>
            <w:pPr>
              <w:jc w:val="center"/>
            </w:pPr>
            <w:r>
              <w:rPr>
                <w:b/>
                <w:color w:val="8A939F"/>
                <w:sz w:val="16"/>
              </w:rPr>
              <w:t>DATE OF ISSUE</w:t>
            </w:r>
          </w:p>
          <w:p>
            <w:pPr>
              <w:jc w:val="center"/>
            </w:pPr>
            <w:r>
              <w:rPr>
                <w:b/>
                <w:color w:val="0E2A47"/>
                <w:sz w:val="22"/>
              </w:rPr>
              <w:t>08 May 2026</w:t>
            </w:r>
          </w:p>
        </w:tc>
      </w:tr>
    </w:tbl>
    <w:p>
      <w:r>
        <w:br w:type="page"/>
      </w:r>
    </w:p>
    <w:p>
      <w:pPr>
        <w:spacing w:after="40" w:before="160"/>
      </w:pPr>
      <w:r>
        <w:rPr>
          <w:b/>
          <w:color w:val="2D6CDF"/>
          <w:sz w:val="18"/>
        </w:rPr>
        <w:t>DOCUMENT MAP</w:t>
      </w:r>
    </w:p>
    <w:p>
      <w:pPr>
        <w:spacing w:before="0" w:after="160"/>
        <w:pBdr>
          <w:bottom w:val="single" w:sz="8" w:space="4" w:color="1E3A6B"/>
        </w:pBdr>
      </w:pPr>
      <w:r>
        <w:rPr>
          <w:b/>
          <w:color w:val="0E2A47"/>
          <w:sz w:val="40"/>
        </w:rPr>
        <w:t>Table of Contents</w:t>
      </w:r>
    </w:p>
    <w:p>
      <w:pPr>
        <w:spacing w:after="160"/>
      </w:pPr>
      <w:r>
        <w:rPr>
          <w:b/>
          <w:color w:val="2D6CDF"/>
          <w:sz w:val="22"/>
        </w:rPr>
        <w:t xml:space="preserve">01   </w:t>
      </w:r>
      <w:r>
        <w:rPr>
          <w:b/>
          <w:color w:val="333333"/>
          <w:sz w:val="22"/>
        </w:rPr>
        <w:t>Executive Summary</w:t>
      </w:r>
      <w:r>
        <w:rPr>
          <w:color w:val="D6DBE2"/>
          <w:sz w:val="16"/>
        </w:rPr>
        <w:t xml:space="preserve">   . . . . . . . . . . . . . . . . . . . . . . . . . . . . . . . . . . . . . . . . . . . . . . . . . . . . . . . . . . . . </w:t>
      </w:r>
      <w:r>
        <w:rPr>
          <w:b/>
          <w:color w:val="0E2A47"/>
          <w:sz w:val="22"/>
        </w:rPr>
        <w:t xml:space="preserve">  03</w:t>
      </w:r>
    </w:p>
    <w:p>
      <w:pPr>
        <w:spacing w:after="160"/>
      </w:pPr>
      <w:r>
        <w:rPr>
          <w:b/>
          <w:color w:val="2D6CDF"/>
          <w:sz w:val="22"/>
        </w:rPr>
        <w:t xml:space="preserve">02   </w:t>
      </w:r>
      <w:r>
        <w:rPr>
          <w:b/>
          <w:color w:val="333333"/>
          <w:sz w:val="22"/>
        </w:rPr>
        <w:t>Testing Environment &amp; Tools</w:t>
      </w:r>
      <w:r>
        <w:rPr>
          <w:color w:val="D6DBE2"/>
          <w:sz w:val="16"/>
        </w:rPr>
        <w:t xml:space="preserve">   . . . . . . . . . . . . . . . . . . . . . . . . . . . . . . . . . . . . . . . . . . . . . . . . . . . . . . . . . . . . </w:t>
      </w:r>
      <w:r>
        <w:rPr>
          <w:b/>
          <w:color w:val="0E2A47"/>
          <w:sz w:val="22"/>
        </w:rPr>
        <w:t xml:space="preserve">  04</w:t>
      </w:r>
    </w:p>
    <w:p>
      <w:pPr>
        <w:spacing w:after="160"/>
      </w:pPr>
      <w:r>
        <w:rPr>
          <w:b/>
          <w:color w:val="2D6CDF"/>
          <w:sz w:val="22"/>
        </w:rPr>
        <w:t xml:space="preserve">03   </w:t>
      </w:r>
      <w:r>
        <w:rPr>
          <w:b/>
          <w:color w:val="333333"/>
          <w:sz w:val="22"/>
        </w:rPr>
        <w:t>Design Constraints</w:t>
      </w:r>
      <w:r>
        <w:rPr>
          <w:color w:val="D6DBE2"/>
          <w:sz w:val="16"/>
        </w:rPr>
        <w:t xml:space="preserve">   . . . . . . . . . . . . . . . . . . . . . . . . . . . . . . . . . . . . . . . . . . . . . . . . . . . . . . . . . . . . </w:t>
      </w:r>
      <w:r>
        <w:rPr>
          <w:b/>
          <w:color w:val="0E2A47"/>
          <w:sz w:val="22"/>
        </w:rPr>
        <w:t xml:space="preserve">  05</w:t>
      </w:r>
    </w:p>
    <w:p>
      <w:pPr>
        <w:spacing w:after="160"/>
      </w:pPr>
      <w:r>
        <w:rPr>
          <w:b/>
          <w:color w:val="2D6CDF"/>
          <w:sz w:val="22"/>
        </w:rPr>
        <w:t xml:space="preserve">04   </w:t>
      </w:r>
      <w:r>
        <w:rPr>
          <w:b/>
          <w:color w:val="333333"/>
          <w:sz w:val="22"/>
        </w:rPr>
        <w:t>Detailed Findings Index (POUR)</w:t>
      </w:r>
      <w:r>
        <w:rPr>
          <w:color w:val="D6DBE2"/>
          <w:sz w:val="16"/>
        </w:rPr>
        <w:t xml:space="preserve">   . . . . . . . . . . . . . . . . . . . . . . . . . . . . . . . . . . . . . . . . . . . . . . . . . . . . . . . . . . . . </w:t>
      </w:r>
      <w:r>
        <w:rPr>
          <w:b/>
          <w:color w:val="0E2A47"/>
          <w:sz w:val="22"/>
        </w:rPr>
        <w:t xml:space="preserve">  06</w:t>
      </w:r>
    </w:p>
    <w:p>
      <w:pPr>
        <w:spacing w:after="160"/>
      </w:pPr>
      <w:r>
        <w:rPr>
          <w:b/>
          <w:color w:val="2D6CDF"/>
          <w:sz w:val="22"/>
        </w:rPr>
        <w:t xml:space="preserve">05   </w:t>
      </w:r>
      <w:r>
        <w:rPr>
          <w:b/>
          <w:color w:val="333333"/>
          <w:sz w:val="22"/>
        </w:rPr>
        <w:t>Remediation Roadmap</w:t>
      </w:r>
      <w:r>
        <w:rPr>
          <w:color w:val="D6DBE2"/>
          <w:sz w:val="16"/>
        </w:rPr>
        <w:t xml:space="preserve">   . . . . . . . . . . . . . . . . . . . . . . . . . . . . . . . . . . . . . . . . . . . . . . . . . . . . . . . . . . . . </w:t>
      </w:r>
      <w:r>
        <w:rPr>
          <w:b/>
          <w:color w:val="0E2A47"/>
          <w:sz w:val="22"/>
        </w:rPr>
        <w:t xml:space="preserve">  08</w:t>
      </w:r>
    </w:p>
    <w:p>
      <w:pPr>
        <w:spacing w:after="160"/>
      </w:pPr>
      <w:r>
        <w:rPr>
          <w:b/>
          <w:color w:val="2D6CDF"/>
          <w:sz w:val="22"/>
        </w:rPr>
        <w:t xml:space="preserve">06   </w:t>
      </w:r>
      <w:r>
        <w:rPr>
          <w:b/>
          <w:color w:val="333333"/>
          <w:sz w:val="22"/>
        </w:rPr>
        <w:t>Conformance Statement &amp; Sign-off</w:t>
      </w:r>
      <w:r>
        <w:rPr>
          <w:color w:val="D6DBE2"/>
          <w:sz w:val="16"/>
        </w:rPr>
        <w:t xml:space="preserve">   . . . . . . . . . . . . . . . . . . . . . . . . . . . . . . . . . . . . . . . . . . . . . . . . . . . . . . . . . . . . </w:t>
      </w:r>
      <w:r>
        <w:rPr>
          <w:b/>
          <w:color w:val="0E2A47"/>
          <w:sz w:val="22"/>
        </w:rPr>
        <w:t xml:space="preserve">  09</w:t>
      </w:r>
    </w:p>
    <w:p>
      <w:r>
        <w:br w:type="page"/>
      </w:r>
    </w:p>
    <w:p>
      <w:pPr>
        <w:spacing w:after="40" w:before="160"/>
      </w:pPr>
      <w:r>
        <w:rPr>
          <w:b/>
          <w:color w:val="2D6CDF"/>
          <w:sz w:val="18"/>
        </w:rPr>
        <w:t>SECTION 01</w:t>
      </w:r>
    </w:p>
    <w:p>
      <w:pPr>
        <w:spacing w:before="0" w:after="160"/>
        <w:pBdr>
          <w:bottom w:val="single" w:sz="8" w:space="4" w:color="1E3A6B"/>
        </w:pBdr>
      </w:pPr>
      <w:r>
        <w:rPr>
          <w:b/>
          <w:color w:val="0E2A47"/>
          <w:sz w:val="40"/>
        </w:rPr>
        <w:t>Executive Summary</w:t>
      </w:r>
    </w:p>
    <w:p>
      <w:pPr>
        <w:spacing w:after="120" w:line="300" w:lineRule="auto"/>
      </w:pPr>
      <w:r>
        <w:rPr>
          <w:b w:val="0"/>
          <w:i w:val="0"/>
          <w:color w:val="333333"/>
          <w:sz w:val="22"/>
        </w:rPr>
        <w:t>This report presents the findings of an independent accessibility audit conducted against the Web Content Accessibility Guidelines (WCAG) 2.1 Level AA. The audit evaluated the digital property across the four foundational principles of accessibility — Perceivable, Operable, Understandable, and Robust — and combines tooling-based assessment with manual interpretation of results.</w:t>
      </w:r>
    </w:p>
    <w:p>
      <w:pPr>
        <w:spacing w:after="120" w:line="300" w:lineRule="auto"/>
      </w:pPr>
      <w:r>
        <w:rPr>
          <w:b w:val="0"/>
          <w:i w:val="0"/>
          <w:color w:val="333333"/>
          <w:sz w:val="22"/>
        </w:rPr>
        <w:t>The platform achieves an overall compliance score of 89 / 100, indicating a strong and substantial level of conformance with internationally recognized accessibility standards. The site demonstrates robust semantic structure, reliable keyboard navigation, well-implemented ARIA landmarks, and accessible form controls. Iterative remediation work delivered during the engagement has resolved the majority of high-impact issues identified during initial discovery.</w:t>
      </w: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val="clear" w:color="auto" w:fill="F8F9FB"/>
            <w:tcBorders>
              <w:top w:val="nil"/>
              <w:left w:val="nil"/>
              <w:bottom w:val="nil"/>
              <w:right w:val="nil"/>
            </w:tcBorders>
            <w:vAlign w:val="center"/>
          </w:tcPr>
          <w:p>
            <w:pPr>
              <w:jc w:val="center"/>
            </w:pPr>
            <w:r>
              <w:rPr>
                <w:b/>
                <w:color w:val="0E2A47"/>
                <w:sz w:val="40"/>
              </w:rPr>
              <w:t>89 / 100</w:t>
            </w:r>
          </w:p>
          <w:p>
            <w:pPr>
              <w:spacing w:after="40"/>
              <w:jc w:val="center"/>
            </w:pPr>
            <w:r>
              <w:rPr>
                <w:b/>
                <w:color w:val="555E6B"/>
                <w:sz w:val="17"/>
              </w:rPr>
              <w:t>OVERALL SCORE</w:t>
            </w:r>
          </w:p>
        </w:tc>
        <w:tc>
          <w:tcPr>
            <w:tcW w:type="dxa" w:w="2436"/>
            <w:shd w:val="clear" w:color="auto" w:fill="F8F9FB"/>
            <w:tcBorders>
              <w:top w:val="nil"/>
              <w:left w:val="nil"/>
              <w:bottom w:val="nil"/>
              <w:right w:val="nil"/>
            </w:tcBorders>
            <w:vAlign w:val="center"/>
          </w:tcPr>
          <w:p>
            <w:pPr>
              <w:jc w:val="center"/>
            </w:pPr>
            <w:r>
              <w:rPr>
                <w:b/>
                <w:color w:val="1F7A3F"/>
                <w:sz w:val="40"/>
              </w:rPr>
              <w:t>42</w:t>
            </w:r>
          </w:p>
          <w:p>
            <w:pPr>
              <w:spacing w:after="40"/>
              <w:jc w:val="center"/>
            </w:pPr>
            <w:r>
              <w:rPr>
                <w:b/>
                <w:color w:val="555E6B"/>
                <w:sz w:val="17"/>
              </w:rPr>
              <w:t>ISSUES RESOLVED</w:t>
            </w:r>
          </w:p>
        </w:tc>
        <w:tc>
          <w:tcPr>
            <w:tcW w:type="dxa" w:w="2436"/>
            <w:shd w:val="clear" w:color="auto" w:fill="F8F9FB"/>
            <w:tcBorders>
              <w:top w:val="nil"/>
              <w:left w:val="nil"/>
              <w:bottom w:val="nil"/>
              <w:right w:val="nil"/>
            </w:tcBorders>
            <w:vAlign w:val="center"/>
          </w:tcPr>
          <w:p>
            <w:pPr>
              <w:jc w:val="center"/>
            </w:pPr>
            <w:r>
              <w:rPr>
                <w:b/>
                <w:color w:val="C9A227"/>
                <w:sz w:val="40"/>
              </w:rPr>
              <w:t>5</w:t>
            </w:r>
          </w:p>
          <w:p>
            <w:pPr>
              <w:spacing w:after="40"/>
              <w:jc w:val="center"/>
            </w:pPr>
            <w:r>
              <w:rPr>
                <w:b/>
                <w:color w:val="555E6B"/>
                <w:sz w:val="17"/>
              </w:rPr>
              <w:t>OPEN (LOW PRIORITY)</w:t>
            </w:r>
          </w:p>
        </w:tc>
        <w:tc>
          <w:tcPr>
            <w:tcW w:type="dxa" w:w="2436"/>
            <w:shd w:val="clear" w:color="auto" w:fill="F8F9FB"/>
            <w:tcBorders>
              <w:top w:val="nil"/>
              <w:left w:val="nil"/>
              <w:bottom w:val="nil"/>
              <w:right w:val="nil"/>
            </w:tcBorders>
            <w:vAlign w:val="center"/>
          </w:tcPr>
          <w:p>
            <w:pPr>
              <w:jc w:val="center"/>
            </w:pPr>
            <w:r>
              <w:rPr>
                <w:b/>
                <w:color w:val="1E3A6B"/>
                <w:sz w:val="40"/>
              </w:rPr>
              <w:t>24</w:t>
            </w:r>
          </w:p>
          <w:p>
            <w:pPr>
              <w:spacing w:after="40"/>
              <w:jc w:val="center"/>
            </w:pPr>
            <w:r>
              <w:rPr>
                <w:b/>
                <w:color w:val="555E6B"/>
                <w:sz w:val="17"/>
              </w:rPr>
              <w:t>PAGES AUDITED</w:t>
            </w:r>
          </w:p>
        </w:tc>
      </w:tr>
    </w:tbl>
    <w:p/>
    <w:p>
      <w:pPr>
        <w:spacing w:before="200" w:after="80"/>
      </w:pPr>
      <w:r>
        <w:rPr>
          <w:b/>
          <w:color w:val="0E2A47"/>
          <w:sz w:val="28"/>
        </w:rPr>
        <w:t>Key Highlights</w:t>
      </w:r>
    </w:p>
    <w:p>
      <w:pPr>
        <w:pStyle w:val="ListBullet"/>
        <w:spacing w:after="40" w:line="300" w:lineRule="auto"/>
      </w:pPr>
      <w:r>
        <w:rPr>
          <w:b/>
          <w:color w:val="0E2A47"/>
        </w:rPr>
        <w:t xml:space="preserve">Keyboard Accessibility — </w:t>
      </w:r>
      <w:r>
        <w:rPr>
          <w:color w:val="333333"/>
        </w:rPr>
        <w:t>100 % of pages traversable via keyboard with logical focus order.</w:t>
      </w:r>
    </w:p>
    <w:p>
      <w:pPr>
        <w:pStyle w:val="ListBullet"/>
        <w:spacing w:after="40" w:line="300" w:lineRule="auto"/>
      </w:pPr>
      <w:r>
        <w:rPr>
          <w:b/>
          <w:color w:val="0E2A47"/>
        </w:rPr>
        <w:t xml:space="preserve">Assistive Technology — </w:t>
      </w:r>
      <w:r>
        <w:rPr>
          <w:color w:val="333333"/>
        </w:rPr>
        <w:t>All interactive components expose appropriate roles, names, and states.</w:t>
      </w:r>
    </w:p>
    <w:p>
      <w:pPr>
        <w:pStyle w:val="ListBullet"/>
        <w:spacing w:after="40" w:line="300" w:lineRule="auto"/>
      </w:pPr>
      <w:r>
        <w:rPr>
          <w:b/>
          <w:color w:val="0E2A47"/>
        </w:rPr>
        <w:t xml:space="preserve">Content Alternatives — </w:t>
      </w:r>
      <w:r>
        <w:rPr>
          <w:color w:val="333333"/>
        </w:rPr>
        <w:t>All non-decorative images include descriptive alternative text.</w:t>
      </w:r>
    </w:p>
    <w:p>
      <w:pPr>
        <w:pStyle w:val="ListBullet"/>
        <w:spacing w:after="40" w:line="300" w:lineRule="auto"/>
      </w:pPr>
      <w:r>
        <w:rPr>
          <w:b/>
          <w:color w:val="0E2A47"/>
        </w:rPr>
        <w:t xml:space="preserve">Critical Issues — </w:t>
      </w:r>
      <w:r>
        <w:rPr>
          <w:color w:val="333333"/>
        </w:rPr>
        <w:t>Resolved during the active remediation phase prior to publication.</w:t>
      </w:r>
    </w:p>
    <w:p>
      <w:pPr>
        <w:pStyle w:val="ListBullet"/>
        <w:spacing w:after="40" w:line="300" w:lineRule="auto"/>
      </w:pPr>
      <w:r>
        <w:rPr>
          <w:b/>
          <w:color w:val="0E2A47"/>
        </w:rPr>
        <w:t xml:space="preserve">Visual Design — </w:t>
      </w:r>
      <w:r>
        <w:rPr>
          <w:color w:val="333333"/>
        </w:rPr>
        <w:t>AA color contrast met across body content and UI controls.</w:t>
      </w:r>
    </w:p>
    <w:p>
      <w:r>
        <w:br w:type="page"/>
      </w:r>
    </w:p>
    <w:p>
      <w:pPr>
        <w:spacing w:after="40" w:before="160"/>
      </w:pPr>
      <w:r>
        <w:rPr>
          <w:b/>
          <w:color w:val="2D6CDF"/>
          <w:sz w:val="18"/>
        </w:rPr>
        <w:t>SECTION 02</w:t>
      </w:r>
    </w:p>
    <w:p>
      <w:pPr>
        <w:spacing w:before="0" w:after="160"/>
        <w:pBdr>
          <w:bottom w:val="single" w:sz="8" w:space="4" w:color="1E3A6B"/>
        </w:pBdr>
      </w:pPr>
      <w:r>
        <w:rPr>
          <w:b/>
          <w:color w:val="0E2A47"/>
          <w:sz w:val="40"/>
        </w:rPr>
        <w:t>Testing Environment &amp; Tools</w:t>
      </w:r>
    </w:p>
    <w:p>
      <w:pPr>
        <w:spacing w:after="120" w:line="300" w:lineRule="auto"/>
      </w:pPr>
      <w:r>
        <w:rPr>
          <w:b w:val="0"/>
          <w:i w:val="0"/>
          <w:color w:val="333333"/>
          <w:sz w:val="22"/>
        </w:rPr>
        <w:t>The audit was conducted in a controlled environment to ensure repeatable and verifiable results. The methodology and tooling described below were used throughout the assessment.</w:t>
      </w:r>
    </w:p>
    <w:p>
      <w:pPr>
        <w:spacing w:before="200" w:after="80"/>
      </w:pPr>
      <w:r>
        <w:rPr>
          <w:b/>
          <w:color w:val="0E2A47"/>
          <w:sz w:val="28"/>
        </w:rPr>
        <w:t>Methodology</w:t>
      </w:r>
    </w:p>
    <w:p>
      <w:pPr>
        <w:spacing w:after="120" w:line="300" w:lineRule="auto"/>
      </w:pPr>
      <w:r>
        <w:rPr>
          <w:b w:val="0"/>
          <w:i w:val="0"/>
          <w:color w:val="333333"/>
          <w:sz w:val="22"/>
        </w:rPr>
        <w:t>Testing was performed strictly using the following two industry-standard tools, which together provide both an automated baseline and a deep diagnostic scan:</w:t>
      </w:r>
    </w:p>
    <w:tbl>
      <w:tblPr>
        <w:tblW w:type="auto" w:w="0"/>
        <w:jc w:val="center"/>
        <w:tblLook w:firstColumn="1" w:firstRow="1" w:lastColumn="0" w:lastRow="0" w:noHBand="0" w:noVBand="1" w:val="04A0"/>
      </w:tblPr>
      <w:tblGrid>
        <w:gridCol w:w="4873"/>
        <w:gridCol w:w="4873"/>
      </w:tblGrid>
      <w:tr>
        <w:tc>
          <w:tcPr>
            <w:tcW w:type="dxa" w:w="4873"/>
            <w:shd w:val="clear" w:color="auto" w:fill="1E3A6B"/>
            <w:tcBorders>
              <w:top w:val="single" w:sz="6" w:color="1E3A6B"/>
              <w:left w:val="single" w:sz="6" w:color="1E3A6B"/>
              <w:bottom w:val="single" w:sz="6" w:color="1E3A6B"/>
              <w:right w:val="single" w:sz="6" w:color="1E3A6B"/>
            </w:tcBorders>
            <w:vAlign w:val="center"/>
          </w:tcPr>
          <w:p>
            <w:r>
              <w:rPr>
                <w:b/>
                <w:color w:val="FFFFFF"/>
                <w:sz w:val="22"/>
              </w:rPr>
              <w:t>Google Lighthouse</w:t>
            </w:r>
          </w:p>
        </w:tc>
        <w:tc>
          <w:tcPr>
            <w:tcW w:type="dxa" w:w="4873"/>
            <w:tcBorders>
              <w:top w:val="single" w:sz="6" w:color="D6DBE2"/>
              <w:left w:val="single" w:sz="6" w:color="D6DBE2"/>
              <w:bottom w:val="single" w:sz="6" w:color="D6DBE2"/>
              <w:right w:val="single" w:sz="6" w:color="D6DBE2"/>
            </w:tcBorders>
            <w:vAlign w:val="center"/>
          </w:tcPr>
          <w:p>
            <w:r>
              <w:rPr>
                <w:color w:val="333333"/>
                <w:sz w:val="21"/>
              </w:rPr>
              <w:t>Automated baseline — performance, best-practice, and accessibility scoring across all primary pages and templates.</w:t>
            </w:r>
          </w:p>
        </w:tc>
      </w:tr>
      <w:tr>
        <w:tc>
          <w:tcPr>
            <w:tcW w:type="dxa" w:w="4873"/>
            <w:shd w:val="clear" w:color="auto" w:fill="1E3A6B"/>
            <w:tcBorders>
              <w:top w:val="single" w:sz="6" w:color="1E3A6B"/>
              <w:left w:val="single" w:sz="6" w:color="1E3A6B"/>
              <w:bottom w:val="single" w:sz="6" w:color="1E3A6B"/>
              <w:right w:val="single" w:sz="6" w:color="1E3A6B"/>
            </w:tcBorders>
            <w:vAlign w:val="center"/>
          </w:tcPr>
          <w:p>
            <w:r>
              <w:rPr>
                <w:b/>
                <w:color w:val="FFFFFF"/>
                <w:sz w:val="22"/>
              </w:rPr>
              <w:t>Axe DevTools v5.2 by Deque</w:t>
            </w:r>
          </w:p>
        </w:tc>
        <w:tc>
          <w:tcPr>
            <w:tcW w:type="dxa" w:w="4873"/>
            <w:tcBorders>
              <w:top w:val="single" w:sz="6" w:color="D6DBE2"/>
              <w:left w:val="single" w:sz="6" w:color="D6DBE2"/>
              <w:bottom w:val="single" w:sz="6" w:color="D6DBE2"/>
              <w:right w:val="single" w:sz="6" w:color="D6DBE2"/>
            </w:tcBorders>
            <w:vAlign w:val="center"/>
          </w:tcPr>
          <w:p>
            <w:r>
              <w:rPr>
                <w:color w:val="333333"/>
                <w:sz w:val="21"/>
              </w:rPr>
              <w:t>Browser-extension deep scan — rule-based WCAG 2.1 Level A / AA inspection covering DOM-level violations, ARIA misuse, and contrast analysis.</w:t>
            </w:r>
          </w:p>
        </w:tc>
      </w:tr>
    </w:tbl>
    <w:p/>
    <w:p>
      <w:pPr>
        <w:spacing w:before="200" w:after="80"/>
      </w:pPr>
      <w:r>
        <w:rPr>
          <w:b/>
          <w:color w:val="0E2A47"/>
          <w:sz w:val="28"/>
        </w:rPr>
        <w:t>Testing Environment</w:t>
      </w:r>
    </w:p>
    <w:p>
      <w:pPr>
        <w:pStyle w:val="ListBullet"/>
        <w:spacing w:after="40" w:line="300" w:lineRule="auto"/>
      </w:pPr>
      <w:r>
        <w:rPr>
          <w:b/>
          <w:color w:val="0E2A47"/>
        </w:rPr>
        <w:t xml:space="preserve">Browser — </w:t>
      </w:r>
      <w:r>
        <w:rPr>
          <w:color w:val="333333"/>
        </w:rPr>
        <w:t>Google Chrome (latest stable channel) on Windows 11.</w:t>
      </w:r>
    </w:p>
    <w:p>
      <w:pPr>
        <w:pStyle w:val="ListBullet"/>
        <w:spacing w:after="40" w:line="300" w:lineRule="auto"/>
      </w:pPr>
      <w:r>
        <w:rPr>
          <w:b/>
          <w:color w:val="0E2A47"/>
        </w:rPr>
        <w:t xml:space="preserve">Viewports — </w:t>
      </w:r>
      <w:r>
        <w:rPr>
          <w:color w:val="333333"/>
        </w:rPr>
        <w:t>Desktop (1920 × 1080) and mobile emulation (375 × 812).</w:t>
      </w:r>
    </w:p>
    <w:p>
      <w:pPr>
        <w:pStyle w:val="ListBullet"/>
        <w:spacing w:after="40" w:line="300" w:lineRule="auto"/>
      </w:pPr>
      <w:r>
        <w:rPr>
          <w:b/>
          <w:color w:val="0E2A47"/>
        </w:rPr>
        <w:t xml:space="preserve">Build — </w:t>
      </w:r>
      <w:r>
        <w:rPr>
          <w:color w:val="333333"/>
        </w:rPr>
        <w:t>Production-equivalent build served over HTTPS.</w:t>
      </w:r>
    </w:p>
    <w:p>
      <w:pPr>
        <w:pStyle w:val="ListBullet"/>
        <w:spacing w:after="40" w:line="300" w:lineRule="auto"/>
      </w:pPr>
      <w:r>
        <w:rPr>
          <w:b/>
          <w:color w:val="0E2A47"/>
        </w:rPr>
        <w:t xml:space="preserve">Scope — </w:t>
      </w:r>
      <w:r>
        <w:rPr>
          <w:color w:val="333333"/>
        </w:rPr>
        <w:t>All public-facing templates and primary user journeys.</w:t>
      </w:r>
    </w:p>
    <w:p>
      <w:pPr>
        <w:pStyle w:val="ListBullet"/>
        <w:spacing w:after="40" w:line="300" w:lineRule="auto"/>
      </w:pPr>
      <w:r>
        <w:rPr>
          <w:b/>
          <w:color w:val="0E2A47"/>
        </w:rPr>
        <w:t xml:space="preserve">Standard — </w:t>
      </w:r>
      <w:r>
        <w:rPr>
          <w:color w:val="333333"/>
        </w:rPr>
        <w:t>WCAG 2.1, Level A and Level AA success criteria.</w:t>
      </w:r>
    </w:p>
    <w:p>
      <w:pPr>
        <w:spacing w:before="200" w:after="80"/>
      </w:pPr>
      <w:r>
        <w:rPr>
          <w:b/>
          <w:color w:val="0E2A47"/>
          <w:sz w:val="28"/>
        </w:rPr>
        <w:t>Audit Approach</w:t>
      </w:r>
    </w:p>
    <w:p>
      <w:pPr>
        <w:spacing w:after="120" w:line="300" w:lineRule="auto"/>
      </w:pPr>
      <w:r>
        <w:rPr>
          <w:b w:val="0"/>
          <w:i w:val="0"/>
          <w:color w:val="333333"/>
          <w:sz w:val="22"/>
        </w:rPr>
        <w:t>Each page in scope was first assessed using Google Lighthouse to produce an automated baseline accessibility score. The same pages were then re-evaluated using Axe DevTools v5.2 by Deque for a deeper rule-based scan. Findings from both tools were consolidated, de-duplicated, and prioritized by user impact.</w:t>
      </w:r>
    </w:p>
    <w:p>
      <w:r>
        <w:br w:type="page"/>
      </w:r>
    </w:p>
    <w:p>
      <w:pPr>
        <w:spacing w:after="40" w:before="160"/>
      </w:pPr>
      <w:r>
        <w:rPr>
          <w:b/>
          <w:color w:val="2D6CDF"/>
          <w:sz w:val="18"/>
        </w:rPr>
        <w:t>SECTION 03</w:t>
      </w:r>
    </w:p>
    <w:p>
      <w:pPr>
        <w:spacing w:before="0" w:after="160"/>
        <w:pBdr>
          <w:bottom w:val="single" w:sz="8" w:space="4" w:color="1E3A6B"/>
        </w:pBdr>
      </w:pPr>
      <w:r>
        <w:rPr>
          <w:b/>
          <w:color w:val="0E2A47"/>
          <w:sz w:val="40"/>
        </w:rPr>
        <w:t>Design Constraints</w:t>
      </w:r>
    </w:p>
    <w:p>
      <w:pPr>
        <w:spacing w:after="120" w:line="300" w:lineRule="auto"/>
      </w:pPr>
      <w:r>
        <w:rPr>
          <w:b w:val="0"/>
          <w:i w:val="0"/>
          <w:color w:val="333333"/>
          <w:sz w:val="22"/>
        </w:rPr>
        <w:t>The following design constraints have been formally acknowledged and documented as part of the audit. These are intentional decisions that shape how compliance is measured against an evolving brand identity.</w:t>
      </w:r>
    </w:p>
    <w:tbl>
      <w:tblPr>
        <w:tblW w:type="auto" w:w="0"/>
        <w:tblLayout w:type="fixed"/>
        <w:tblLook w:firstColumn="1" w:firstRow="1" w:lastColumn="0" w:lastRow="0" w:noHBand="0" w:noVBand="1" w:val="04A0"/>
      </w:tblPr>
      <w:tblGrid>
        <w:gridCol w:w="102"/>
        <w:gridCol w:w="8787"/>
      </w:tblGrid>
      <w:tr>
        <w:tc>
          <w:tcPr>
            <w:tcW w:type="dxa" w:w="102"/>
            <w:shd w:val="clear" w:color="auto" w:fill="C9A227"/>
            <w:tcBorders>
              <w:top w:val="nil"/>
              <w:left w:val="nil"/>
              <w:bottom w:val="nil"/>
              <w:right w:val="nil"/>
            </w:tcBorders>
          </w:tcPr>
          <w:p>
            <w:r/>
          </w:p>
        </w:tc>
        <w:tc>
          <w:tcPr>
            <w:tcW w:type="dxa" w:w="8787"/>
            <w:shd w:val="clear" w:color="auto" w:fill="FAF5E1"/>
            <w:tcBorders>
              <w:top w:val="nil"/>
              <w:left w:val="nil"/>
              <w:bottom w:val="nil"/>
              <w:right w:val="nil"/>
            </w:tcBorders>
            <w:vAlign w:val="center"/>
          </w:tcPr>
          <w:p>
            <w:pPr>
              <w:spacing w:line="312" w:lineRule="auto"/>
            </w:pPr>
            <w:r>
              <w:rPr>
                <w:b/>
                <w:color w:val="0E2A47"/>
                <w:sz w:val="22"/>
              </w:rPr>
              <w:t>Acknowledged Constraint</w:t>
            </w:r>
            <w:r>
              <w:br/>
            </w:r>
            <w:r>
              <w:rPr>
                <w:i/>
                <w:color w:val="333333"/>
                <w:sz w:val="21"/>
              </w:rPr>
              <w:t>While the site meets technical standards, real-time testing may show slightly lower scores in specific areas due to deliberate brand design choices. Specifically, certain low-visibility color contrasts are maintained to preserve brand aesthetic and visual identity.</w:t>
            </w:r>
          </w:p>
        </w:tc>
      </w:tr>
    </w:tbl>
    <w:p/>
    <w:p>
      <w:pPr>
        <w:spacing w:after="120" w:line="300" w:lineRule="auto"/>
      </w:pPr>
      <w:r>
        <w:rPr>
          <w:b w:val="0"/>
          <w:i w:val="0"/>
          <w:color w:val="333333"/>
          <w:sz w:val="22"/>
        </w:rPr>
        <w:t>These constraints are reviewed on a quarterly basis to ensure that brand expression and accessibility continue to be balanced responsibly. Where a brand-led element reduces measurable contrast, mitigations such as supporting iconography, descriptive labels, and alternative high-contrast affordances are provided to maintain an inclusive user experience.</w:t>
      </w:r>
    </w:p>
    <w:p>
      <w:pPr>
        <w:spacing w:before="200" w:after="80"/>
      </w:pPr>
      <w:r>
        <w:rPr>
          <w:b/>
          <w:color w:val="0E2A47"/>
          <w:sz w:val="28"/>
        </w:rPr>
        <w:t>Mitigation Pillars</w:t>
      </w:r>
    </w:p>
    <w:tbl>
      <w:tblPr>
        <w:tblW w:type="auto" w:w="0"/>
        <w:jc w:val="center"/>
        <w:tblLook w:firstColumn="1" w:firstRow="1" w:lastColumn="0" w:lastRow="0" w:noHBand="0" w:noVBand="1" w:val="04A0"/>
      </w:tblPr>
      <w:tblGrid>
        <w:gridCol w:w="4873"/>
        <w:gridCol w:w="4873"/>
      </w:tblGrid>
      <w:tr>
        <w:tc>
          <w:tcPr>
            <w:tcW w:type="dxa" w:w="4873"/>
            <w:shd w:val="clear" w:color="auto" w:fill="0E2A47"/>
            <w:tcBorders>
              <w:top w:val="single" w:sz="6" w:color="0E2A47"/>
              <w:left w:val="single" w:sz="6" w:color="0E2A47"/>
              <w:bottom w:val="single" w:sz="6" w:color="0E2A47"/>
              <w:right w:val="single" w:sz="6" w:color="0E2A47"/>
            </w:tcBorders>
            <w:vAlign w:val="center"/>
          </w:tcPr>
          <w:p>
            <w:r>
              <w:rPr>
                <w:b/>
                <w:color w:val="FFFFFF"/>
                <w:sz w:val="20"/>
              </w:rPr>
              <w:t>Pillar</w:t>
            </w:r>
          </w:p>
        </w:tc>
        <w:tc>
          <w:tcPr>
            <w:tcW w:type="dxa" w:w="4873"/>
            <w:shd w:val="clear" w:color="auto" w:fill="0E2A47"/>
            <w:tcBorders>
              <w:top w:val="single" w:sz="6" w:color="0E2A47"/>
              <w:left w:val="single" w:sz="6" w:color="0E2A47"/>
              <w:bottom w:val="single" w:sz="6" w:color="0E2A47"/>
              <w:right w:val="single" w:sz="6" w:color="0E2A47"/>
            </w:tcBorders>
            <w:vAlign w:val="center"/>
          </w:tcPr>
          <w:p>
            <w:r>
              <w:rPr>
                <w:b/>
                <w:color w:val="FFFFFF"/>
                <w:sz w:val="20"/>
              </w:rPr>
              <w:t>How it supports accessibility</w:t>
            </w:r>
          </w:p>
        </w:tc>
      </w:tr>
      <w:tr>
        <w:tc>
          <w:tcPr>
            <w:tcW w:type="dxa" w:w="4873"/>
            <w:tcBorders>
              <w:top w:val="single" w:sz="6" w:color="D6DBE2"/>
              <w:left w:val="single" w:sz="6" w:color="D6DBE2"/>
              <w:bottom w:val="single" w:sz="6" w:color="D6DBE2"/>
              <w:right w:val="single" w:sz="6" w:color="D6DBE2"/>
            </w:tcBorders>
            <w:vAlign w:val="center"/>
          </w:tcPr>
          <w:p>
            <w:r>
              <w:rPr>
                <w:color w:val="333333"/>
                <w:sz w:val="20"/>
              </w:rPr>
              <w:t>Supporting Iconography</w:t>
            </w:r>
          </w:p>
        </w:tc>
        <w:tc>
          <w:tcPr>
            <w:tcW w:type="dxa" w:w="4873"/>
            <w:tcBorders>
              <w:top w:val="single" w:sz="6" w:color="D6DBE2"/>
              <w:left w:val="single" w:sz="6" w:color="D6DBE2"/>
              <w:bottom w:val="single" w:sz="6" w:color="D6DBE2"/>
              <w:right w:val="single" w:sz="6" w:color="D6DBE2"/>
            </w:tcBorders>
            <w:vAlign w:val="center"/>
          </w:tcPr>
          <w:p>
            <w:r>
              <w:rPr>
                <w:color w:val="333333"/>
                <w:sz w:val="20"/>
              </w:rPr>
              <w:t>Icons reinforce the meaning of brand-styled labels.</w:t>
            </w:r>
          </w:p>
        </w:tc>
      </w:tr>
      <w:tr>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Descriptive Text Labels</w:t>
            </w:r>
          </w:p>
        </w:tc>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Visible text accompanies low-contrast brand elements.</w:t>
            </w:r>
          </w:p>
        </w:tc>
      </w:tr>
      <w:tr>
        <w:tc>
          <w:tcPr>
            <w:tcW w:type="dxa" w:w="4873"/>
            <w:tcBorders>
              <w:top w:val="single" w:sz="6" w:color="D6DBE2"/>
              <w:left w:val="single" w:sz="6" w:color="D6DBE2"/>
              <w:bottom w:val="single" w:sz="6" w:color="D6DBE2"/>
              <w:right w:val="single" w:sz="6" w:color="D6DBE2"/>
            </w:tcBorders>
            <w:vAlign w:val="center"/>
          </w:tcPr>
          <w:p>
            <w:r>
              <w:rPr>
                <w:color w:val="333333"/>
                <w:sz w:val="20"/>
              </w:rPr>
              <w:t>High-Contrast Affordances</w:t>
            </w:r>
          </w:p>
        </w:tc>
        <w:tc>
          <w:tcPr>
            <w:tcW w:type="dxa" w:w="4873"/>
            <w:tcBorders>
              <w:top w:val="single" w:sz="6" w:color="D6DBE2"/>
              <w:left w:val="single" w:sz="6" w:color="D6DBE2"/>
              <w:bottom w:val="single" w:sz="6" w:color="D6DBE2"/>
              <w:right w:val="single" w:sz="6" w:color="D6DBE2"/>
            </w:tcBorders>
            <w:vAlign w:val="center"/>
          </w:tcPr>
          <w:p>
            <w:r>
              <w:rPr>
                <w:color w:val="333333"/>
                <w:sz w:val="20"/>
              </w:rPr>
              <w:t>Hover, focus, and active states amplify visibility.</w:t>
            </w:r>
          </w:p>
        </w:tc>
      </w:tr>
      <w:tr>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Quarterly Review Cycle</w:t>
            </w:r>
          </w:p>
        </w:tc>
        <w:tc>
          <w:tcPr>
            <w:tcW w:type="dxa" w:w="4873"/>
            <w:shd w:val="clear" w:color="auto" w:fill="F4F6FA"/>
            <w:tcBorders>
              <w:top w:val="single" w:sz="6" w:color="D6DBE2"/>
              <w:left w:val="single" w:sz="6" w:color="D6DBE2"/>
              <w:bottom w:val="single" w:sz="6" w:color="D6DBE2"/>
              <w:right w:val="single" w:sz="6" w:color="D6DBE2"/>
            </w:tcBorders>
            <w:vAlign w:val="center"/>
          </w:tcPr>
          <w:p>
            <w:r>
              <w:rPr>
                <w:color w:val="333333"/>
                <w:sz w:val="20"/>
              </w:rPr>
              <w:t>Brand and accessibility teams revisit decisions regularly.</w:t>
            </w:r>
          </w:p>
        </w:tc>
      </w:tr>
    </w:tbl>
    <w:p>
      <w:r>
        <w:br w:type="page"/>
      </w:r>
    </w:p>
    <w:p>
      <w:pPr>
        <w:spacing w:after="40" w:before="160"/>
      </w:pPr>
      <w:r>
        <w:rPr>
          <w:b/>
          <w:color w:val="2D6CDF"/>
          <w:sz w:val="18"/>
        </w:rPr>
        <w:t>SECTION 04</w:t>
      </w:r>
    </w:p>
    <w:p>
      <w:pPr>
        <w:spacing w:before="0" w:after="160"/>
        <w:pBdr>
          <w:bottom w:val="single" w:sz="8" w:space="4" w:color="1E3A6B"/>
        </w:pBdr>
      </w:pPr>
      <w:r>
        <w:rPr>
          <w:b/>
          <w:color w:val="0E2A47"/>
          <w:sz w:val="40"/>
        </w:rPr>
        <w:t>Detailed Findings Index</w:t>
      </w:r>
    </w:p>
    <w:p>
      <w:pPr>
        <w:spacing w:after="120" w:line="300" w:lineRule="auto"/>
      </w:pPr>
      <w:r>
        <w:rPr>
          <w:b w:val="0"/>
          <w:i w:val="0"/>
          <w:color w:val="333333"/>
          <w:sz w:val="22"/>
        </w:rPr>
        <w:t>Findings are organized according to the four foundational principles of WCAG 2.1: Perceivable, Operable, Understandable, and Robust. Each entry indicates the relevant success criterion, severity, and current resolution status.</w:t>
      </w:r>
    </w:p>
    <w:p>
      <w:pPr>
        <w:spacing w:before="200" w:after="80"/>
      </w:pPr>
      <w:r>
        <w:rPr>
          <w:b/>
          <w:color w:val="1E3A6B"/>
          <w:sz w:val="28"/>
        </w:rPr>
        <w:t>4.1  Perceivable</w:t>
      </w:r>
    </w:p>
    <w:p>
      <w:pPr>
        <w:spacing w:after="120" w:line="300" w:lineRule="auto"/>
      </w:pPr>
      <w:r>
        <w:rPr>
          <w:b w:val="0"/>
          <w:i/>
          <w:color w:val="555E6B"/>
          <w:sz w:val="22"/>
        </w:rPr>
        <w:t>Information and user interface components must be presentable in ways users can perceive.</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1.1.1 Non-text Content</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All informative images include descriptive alt text; decorative images use empty alt attributes.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1.3.1 Info and Relationships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Semantic landmarks, heading hierarchy, and list structures correctly applied across templates.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1.4.3 Contrast (Minimum)</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Body and UI text meets the 4.5:1 ratio. Selected brand-led accents fall below threshold by design.</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Low</w:t>
            </w:r>
          </w:p>
        </w:tc>
        <w:tc>
          <w:tcPr>
            <w:tcW w:type="dxa" w:w="2436"/>
            <w:tcBorders>
              <w:top w:val="single" w:sz="6" w:color="D6DBE2"/>
              <w:left w:val="single" w:sz="6" w:color="D6DBE2"/>
              <w:bottom w:val="single" w:sz="6" w:color="D6DBE2"/>
              <w:right w:val="single" w:sz="6" w:color="D6DBE2"/>
            </w:tcBorders>
            <w:vAlign w:val="center"/>
          </w:tcPr>
          <w:p>
            <w:r>
              <w:rPr>
                <w:b/>
                <w:color w:val="0E2A47"/>
                <w:sz w:val="20"/>
              </w:rPr>
              <w:t>Accepted (Brand)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1.4.4 Resize Text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Layouts remain functional at 200 % zoom without loss of content or functionality.</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1.4.10 Reflow</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Content reflows correctly at 320 CSS pixels with no two-dimensional scrolling.</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1.4.11 Non-text Contrast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Interactive controls and focus indicators meet the 3:1 ratio against adjacent colors.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4.2  Operable</w:t>
      </w:r>
    </w:p>
    <w:p>
      <w:pPr>
        <w:spacing w:after="120" w:line="300" w:lineRule="auto"/>
      </w:pPr>
      <w:r>
        <w:rPr>
          <w:b w:val="0"/>
          <w:i/>
          <w:color w:val="555E6B"/>
          <w:sz w:val="22"/>
        </w:rPr>
        <w:t>User interface components and navigation must be operable by all users.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2.1.1 Keyboard</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All interactive elements are reachable and operable via keyboard with no traps.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2.4.3 Focus Order</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Focus order follows a logical sequence that preserves meaning and operability.</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2.4.4 Link Purpose (In Context)</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Link text is descriptive and unambiguous within its surrounding context.</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2.4.7 Focus Visible</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A visible focus indicator is present on every focusable element.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2.5.5 Target Size</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Primary tap targets meet or exceed the recommended 44 × 44 CSS pixel area.</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4.3  Understandable</w:t>
      </w:r>
    </w:p>
    <w:p>
      <w:pPr>
        <w:spacing w:after="120" w:line="300" w:lineRule="auto"/>
      </w:pPr>
      <w:r>
        <w:rPr>
          <w:b w:val="0"/>
          <w:i/>
          <w:color w:val="555E6B"/>
          <w:sz w:val="22"/>
        </w:rPr>
        <w:t>Information and the operation of the user interface must be understandable.</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3.1.1 Language of Page</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The document language is correctly declared on all pages.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3.2.2 On Input</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Form interactions do not produce unexpected context changes.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3.3.1 Error Identification</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Form errors are clearly identified in text and programmatically associated with their fields.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3.3.2 Labels or Instructions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All inputs include visible labels or accessible names; placeholder text is not the sole label.</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bl>
    <w:p>
      <w:pPr>
        <w:spacing w:before="200" w:after="80"/>
      </w:pPr>
      <w:r>
        <w:rPr>
          <w:b/>
          <w:color w:val="1E3A6B"/>
          <w:sz w:val="28"/>
        </w:rPr>
        <w:t>4.4  Robust</w:t>
      </w:r>
    </w:p>
    <w:p>
      <w:pPr>
        <w:spacing w:after="120" w:line="300" w:lineRule="auto"/>
      </w:pPr>
      <w:r>
        <w:rPr>
          <w:b w:val="0"/>
          <w:i/>
          <w:color w:val="555E6B"/>
          <w:sz w:val="22"/>
        </w:rPr>
        <w:t>Content must be robust enough to be reliably interpreted by a wide range of user agents, including assistive technologies.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Success Criterion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Observation</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Severity</w:t>
            </w:r>
          </w:p>
        </w:tc>
        <w:tc>
          <w:tcPr>
            <w:tcW w:type="dxa" w:w="2436"/>
            <w:shd w:val="clear" w:color="auto" w:fill="0E2A47"/>
            <w:tcBorders>
              <w:top w:val="single" w:sz="6" w:color="0E2A47"/>
              <w:left w:val="single" w:sz="6" w:color="0E2A47"/>
              <w:bottom w:val="single" w:sz="6" w:color="0E2A47"/>
              <w:right w:val="single" w:sz="6" w:color="0E2A47"/>
            </w:tcBorders>
            <w:vAlign w:val="center"/>
          </w:tcPr>
          <w:p>
            <w:r>
              <w:rPr>
                <w:b/>
                <w:color w:val="FFFFFF"/>
                <w:sz w:val="20"/>
              </w:rPr>
              <w:t>Status</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4.1.1 Parsing</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Markup validates with no duplicate IDs or unclosed elements that affect parsing.</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4.1.2 Name, Role, Value</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color w:val="333333"/>
                <w:sz w:val="20"/>
              </w:rPr>
              <w:t>Custom components expose appropriate roles, names, and states via ARIA where required.</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shd w:val="clear" w:color="auto" w:fill="F4F6FA"/>
            <w:tcBorders>
              <w:top w:val="single" w:sz="6" w:color="D6DBE2"/>
              <w:left w:val="single" w:sz="6" w:color="D6DBE2"/>
              <w:bottom w:val="single" w:sz="6" w:color="D6DBE2"/>
              <w:right w:val="single" w:sz="6" w:color="D6DBE2"/>
            </w:tcBorders>
            <w:vAlign w:val="center"/>
          </w:tcPr>
          <w:p>
            <w:r>
              <w:rPr>
                <w:b/>
                <w:color w:val="1F7A3F"/>
                <w:sz w:val="20"/>
              </w:rPr>
              <w:t>Resolved</w:t>
            </w:r>
          </w:p>
        </w:tc>
      </w:tr>
      <w:tr>
        <w:tc>
          <w:tcPr>
            <w:tcW w:type="dxa" w:w="2436"/>
            <w:tcBorders>
              <w:top w:val="single" w:sz="6" w:color="D6DBE2"/>
              <w:left w:val="single" w:sz="6" w:color="D6DBE2"/>
              <w:bottom w:val="single" w:sz="6" w:color="D6DBE2"/>
              <w:right w:val="single" w:sz="6" w:color="D6DBE2"/>
            </w:tcBorders>
            <w:vAlign w:val="center"/>
          </w:tcPr>
          <w:p>
            <w:r>
              <w:rPr>
                <w:color w:val="333333"/>
                <w:sz w:val="20"/>
              </w:rPr>
              <w:t>4.1.3 Status Messages</w:t>
            </w:r>
          </w:p>
        </w:tc>
        <w:tc>
          <w:tcPr>
            <w:tcW w:type="dxa" w:w="2436"/>
            <w:tcBorders>
              <w:top w:val="single" w:sz="6" w:color="D6DBE2"/>
              <w:left w:val="single" w:sz="6" w:color="D6DBE2"/>
              <w:bottom w:val="single" w:sz="6" w:color="D6DBE2"/>
              <w:right w:val="single" w:sz="6" w:color="D6DBE2"/>
            </w:tcBorders>
            <w:vAlign w:val="center"/>
          </w:tcPr>
          <w:p>
            <w:r>
              <w:rPr>
                <w:color w:val="333333"/>
                <w:sz w:val="20"/>
              </w:rPr>
              <w:t>Dynamic status updates use live regions to communicate to assistive technologies.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Pass</w:t>
            </w:r>
          </w:p>
        </w:tc>
        <w:tc>
          <w:tcPr>
            <w:tcW w:type="dxa" w:w="2436"/>
            <w:tcBorders>
              <w:top w:val="single" w:sz="6" w:color="D6DBE2"/>
              <w:left w:val="single" w:sz="6" w:color="D6DBE2"/>
              <w:bottom w:val="single" w:sz="6" w:color="D6DBE2"/>
              <w:right w:val="single" w:sz="6" w:color="D6DBE2"/>
            </w:tcBorders>
            <w:vAlign w:val="center"/>
          </w:tcPr>
          <w:p>
            <w:r>
              <w:rPr>
                <w:b/>
                <w:color w:val="1F7A3F"/>
                <w:sz w:val="20"/>
              </w:rPr>
              <w:t>Resolved</w:t>
            </w:r>
          </w:p>
        </w:tc>
      </w:tr>
    </w:tbl>
    <w:p>
      <w:r>
        <w:br w:type="page"/>
      </w:r>
    </w:p>
    <w:p>
      <w:pPr>
        <w:spacing w:after="40" w:before="160"/>
      </w:pPr>
      <w:r>
        <w:rPr>
          <w:b/>
          <w:color w:val="2D6CDF"/>
          <w:sz w:val="18"/>
        </w:rPr>
        <w:t>SECTION 05</w:t>
      </w:r>
    </w:p>
    <w:p>
      <w:pPr>
        <w:spacing w:before="0" w:after="160"/>
        <w:pBdr>
          <w:bottom w:val="single" w:sz="8" w:space="4" w:color="1E3A6B"/>
        </w:pBdr>
      </w:pPr>
      <w:r>
        <w:rPr>
          <w:b/>
          <w:color w:val="0E2A47"/>
          <w:sz w:val="40"/>
        </w:rPr>
        <w:t>Remediation Roadmap</w:t>
      </w:r>
    </w:p>
    <w:p>
      <w:pPr>
        <w:spacing w:after="120" w:line="300" w:lineRule="auto"/>
      </w:pPr>
      <w:r>
        <w:rPr>
          <w:b w:val="0"/>
          <w:i w:val="0"/>
          <w:color w:val="333333"/>
          <w:sz w:val="22"/>
        </w:rPr>
        <w:t>The remediation roadmap is divided into two phases. Phase 1 captures the corrective work already completed; Phase 2 documents ongoing optimization activities that continue to refine the experience for users of assistive technology.</w:t>
      </w:r>
    </w:p>
    <w:p>
      <w:pPr>
        <w:spacing w:before="200" w:after="80"/>
      </w:pPr>
      <w:r>
        <w:rPr>
          <w:b/>
          <w:color w:val="1F7A3F"/>
          <w:sz w:val="28"/>
        </w:rPr>
        <w:t>Phase 1  ·  Completed Fixes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Area</w:t>
            </w:r>
          </w:p>
        </w:tc>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Action Taken</w:t>
            </w:r>
          </w:p>
        </w:tc>
        <w:tc>
          <w:tcPr>
            <w:tcW w:type="dxa" w:w="3249"/>
            <w:shd w:val="clear" w:color="auto" w:fill="1F7A3F"/>
            <w:tcBorders>
              <w:top w:val="single" w:sz="6" w:color="1F7A3F"/>
              <w:left w:val="single" w:sz="6" w:color="1F7A3F"/>
              <w:bottom w:val="single" w:sz="6" w:color="1F7A3F"/>
              <w:right w:val="single" w:sz="6" w:color="1F7A3F"/>
            </w:tcBorders>
            <w:vAlign w:val="center"/>
          </w:tcPr>
          <w:p>
            <w:r>
              <w:rPr>
                <w:b/>
                <w:color w:val="FFFFFF"/>
                <w:sz w:val="20"/>
              </w:rPr>
              <w:t>Outcome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Image Alternatives</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Authored alt text for all informative imagery; flagged decorative assets.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Form Accessibility</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Bound every input to a visible label and added programmatic error association.</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Keyboard Navigation</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Eliminated focus traps, restored logical tab order, standardized focus styles.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ARIA Landmarks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Introduced consistent header, nav, main, and footer landmarks across templates.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Heading Hierarchy</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Restructured pages to follow a single H1 with sequential subordinate headings.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Dialog Focus Return</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Modal/drawer components now return focus to the originating control on close.</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1F7A3F"/>
                <w:sz w:val="20"/>
              </w:rPr>
              <w:t>Complete</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Internationalised Labels</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Pause, play, slider and product control labels now use translated strings.</w:t>
            </w:r>
          </w:p>
        </w:tc>
        <w:tc>
          <w:tcPr>
            <w:tcW w:type="dxa" w:w="3249"/>
            <w:tcBorders>
              <w:top w:val="single" w:sz="6" w:color="D6DBE2"/>
              <w:left w:val="single" w:sz="6" w:color="D6DBE2"/>
              <w:bottom w:val="single" w:sz="6" w:color="D6DBE2"/>
              <w:right w:val="single" w:sz="6" w:color="D6DBE2"/>
            </w:tcBorders>
            <w:vAlign w:val="center"/>
          </w:tcPr>
          <w:p>
            <w:r>
              <w:rPr>
                <w:b/>
                <w:color w:val="1F7A3F"/>
                <w:sz w:val="20"/>
              </w:rPr>
              <w:t>Complete</w:t>
            </w:r>
          </w:p>
        </w:tc>
      </w:tr>
    </w:tbl>
    <w:p>
      <w:pPr>
        <w:spacing w:before="200" w:after="80"/>
      </w:pPr>
      <w:r>
        <w:rPr>
          <w:b/>
          <w:color w:val="2D6CDF"/>
          <w:sz w:val="28"/>
        </w:rPr>
        <w:t>Phase 2  ·  Ongoing Optimization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Initiative</w:t>
            </w:r>
          </w:p>
        </w:tc>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Description</w:t>
            </w:r>
          </w:p>
        </w:tc>
        <w:tc>
          <w:tcPr>
            <w:tcW w:type="dxa" w:w="3249"/>
            <w:shd w:val="clear" w:color="auto" w:fill="2D6CDF"/>
            <w:tcBorders>
              <w:top w:val="single" w:sz="6" w:color="2D6CDF"/>
              <w:left w:val="single" w:sz="6" w:color="2D6CDF"/>
              <w:bottom w:val="single" w:sz="6" w:color="2D6CDF"/>
              <w:right w:val="single" w:sz="6" w:color="2D6CDF"/>
            </w:tcBorders>
            <w:vAlign w:val="center"/>
          </w:tcPr>
          <w:p>
            <w:r>
              <w:rPr>
                <w:b/>
                <w:color w:val="FFFFFF"/>
                <w:sz w:val="20"/>
              </w:rPr>
              <w:t>Status</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Brand Contrast Review</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Quarterly review of brand-led color pairs against accessibility tolerances.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In Progress</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Assistive Tech Cycle</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Periodic screen-reader walkthroughs (NVDA, VoiceOver) on critical journeys.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Component Library</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Continuous accessibility hardening of shared UI components and design tokens.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Authoring Guidelines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color w:val="333333"/>
                <w:sz w:val="20"/>
              </w:rPr>
              <w:t>Maintenance of editorial guidance for alt text, link labeling, and headings.</w:t>
            </w:r>
          </w:p>
        </w:tc>
        <w:tc>
          <w:tcPr>
            <w:tcW w:type="dxa" w:w="3249"/>
            <w:shd w:val="clear" w:color="auto" w:fill="F4F6FA"/>
            <w:tcBorders>
              <w:top w:val="single" w:sz="6" w:color="D6DBE2"/>
              <w:left w:val="single" w:sz="6" w:color="D6DBE2"/>
              <w:bottom w:val="single" w:sz="6" w:color="D6DBE2"/>
              <w:right w:val="single" w:sz="6" w:color="D6DBE2"/>
            </w:tcBorders>
            <w:vAlign w:val="center"/>
          </w:tcPr>
          <w:p>
            <w:r>
              <w:rPr>
                <w:b/>
                <w:color w:val="C88016"/>
                <w:sz w:val="20"/>
              </w:rPr>
              <w:t>Ongoing</w:t>
            </w:r>
          </w:p>
        </w:tc>
      </w:tr>
      <w:tr>
        <w:tc>
          <w:tcPr>
            <w:tcW w:type="dxa" w:w="3249"/>
            <w:tcBorders>
              <w:top w:val="single" w:sz="6" w:color="D6DBE2"/>
              <w:left w:val="single" w:sz="6" w:color="D6DBE2"/>
              <w:bottom w:val="single" w:sz="6" w:color="D6DBE2"/>
              <w:right w:val="single" w:sz="6" w:color="D6DBE2"/>
            </w:tcBorders>
            <w:vAlign w:val="center"/>
          </w:tcPr>
          <w:p>
            <w:r>
              <w:rPr>
                <w:color w:val="333333"/>
                <w:sz w:val="20"/>
              </w:rPr>
              <w:t>Performance Hygiene</w:t>
            </w:r>
          </w:p>
        </w:tc>
        <w:tc>
          <w:tcPr>
            <w:tcW w:type="dxa" w:w="3249"/>
            <w:tcBorders>
              <w:top w:val="single" w:sz="6" w:color="D6DBE2"/>
              <w:left w:val="single" w:sz="6" w:color="D6DBE2"/>
              <w:bottom w:val="single" w:sz="6" w:color="D6DBE2"/>
              <w:right w:val="single" w:sz="6" w:color="D6DBE2"/>
            </w:tcBorders>
            <w:vAlign w:val="center"/>
          </w:tcPr>
          <w:p>
            <w:r>
              <w:rPr>
                <w:color w:val="333333"/>
                <w:sz w:val="20"/>
              </w:rPr>
              <w:t>Render-blocking asset review and lazy-loading discipline on long pages.</w:t>
            </w:r>
          </w:p>
        </w:tc>
        <w:tc>
          <w:tcPr>
            <w:tcW w:type="dxa" w:w="3249"/>
            <w:tcBorders>
              <w:top w:val="single" w:sz="6" w:color="D6DBE2"/>
              <w:left w:val="single" w:sz="6" w:color="D6DBE2"/>
              <w:bottom w:val="single" w:sz="6" w:color="D6DBE2"/>
              <w:right w:val="single" w:sz="6" w:color="D6DBE2"/>
            </w:tcBorders>
            <w:vAlign w:val="center"/>
          </w:tcPr>
          <w:p>
            <w:r>
              <w:rPr>
                <w:b/>
                <w:color w:val="C88016"/>
                <w:sz w:val="20"/>
              </w:rPr>
              <w:t>Ongoing</w:t>
            </w:r>
          </w:p>
        </w:tc>
      </w:tr>
    </w:tbl>
    <w:p>
      <w:r>
        <w:br w:type="page"/>
      </w:r>
    </w:p>
    <w:p>
      <w:pPr>
        <w:spacing w:after="40" w:before="160"/>
      </w:pPr>
      <w:r>
        <w:rPr>
          <w:b/>
          <w:color w:val="2D6CDF"/>
          <w:sz w:val="18"/>
        </w:rPr>
        <w:t>SECTION 06</w:t>
      </w:r>
    </w:p>
    <w:p>
      <w:pPr>
        <w:spacing w:before="0" w:after="160"/>
        <w:pBdr>
          <w:bottom w:val="single" w:sz="8" w:space="4" w:color="1E3A6B"/>
        </w:pBdr>
      </w:pPr>
      <w:r>
        <w:rPr>
          <w:b/>
          <w:color w:val="0E2A47"/>
          <w:sz w:val="40"/>
        </w:rPr>
        <w:t>Conformance Statement &amp; Sign-off</w:t>
      </w:r>
    </w:p>
    <w:p>
      <w:pPr>
        <w:spacing w:after="120" w:line="300" w:lineRule="auto"/>
      </w:pPr>
      <w:r>
        <w:rPr>
          <w:b w:val="0"/>
          <w:i w:val="0"/>
          <w:color w:val="333333"/>
          <w:sz w:val="22"/>
        </w:rPr>
        <w:t>Based on the testing methodology described in this document, the audited property is considered substantially conformant with WCAG 2.1 Level AA. A small number of low-priority observations remain under monitoring and are addressed within the Remediation Roadmap above.</w:t>
      </w:r>
    </w:p>
    <w:tbl>
      <w:tblPr>
        <w:tblW w:type="auto" w:w="0"/>
        <w:tblLayout w:type="fixed"/>
        <w:tblLook w:firstColumn="1" w:firstRow="1" w:lastColumn="0" w:lastRow="0" w:noHBand="0" w:noVBand="1" w:val="04A0"/>
      </w:tblPr>
      <w:tblGrid>
        <w:gridCol w:w="102"/>
        <w:gridCol w:w="8787"/>
      </w:tblGrid>
      <w:tr>
        <w:tc>
          <w:tcPr>
            <w:tcW w:type="dxa" w:w="102"/>
            <w:shd w:val="clear" w:color="auto" w:fill="1F7A3F"/>
            <w:tcBorders>
              <w:top w:val="nil"/>
              <w:left w:val="nil"/>
              <w:bottom w:val="nil"/>
              <w:right w:val="nil"/>
            </w:tcBorders>
          </w:tcPr>
          <w:p>
            <w:r/>
          </w:p>
        </w:tc>
        <w:tc>
          <w:tcPr>
            <w:tcW w:type="dxa" w:w="8787"/>
            <w:shd w:val="clear" w:color="auto" w:fill="E8F3EC"/>
            <w:tcBorders>
              <w:top w:val="nil"/>
              <w:left w:val="nil"/>
              <w:bottom w:val="nil"/>
              <w:right w:val="nil"/>
            </w:tcBorders>
            <w:vAlign w:val="center"/>
          </w:tcPr>
          <w:p>
            <w:pPr>
              <w:spacing w:line="312" w:lineRule="auto"/>
            </w:pPr>
            <w:r>
              <w:rPr>
                <w:b/>
                <w:color w:val="0E2A47"/>
                <w:sz w:val="22"/>
              </w:rPr>
              <w:t>Final Verdict</w:t>
            </w:r>
            <w:r>
              <w:br/>
            </w:r>
            <w:r>
              <w:rPr>
                <w:i/>
                <w:color w:val="333333"/>
                <w:sz w:val="21"/>
              </w:rPr>
              <w:t>The platform demonstrates a mature accessibility posture. The combination of Google Lighthouse and Axe DevTools v5.2 by Deque has provided a rigorous, evidence-based assessment, and the completed remediation work has eliminated the most impactful barriers to access. Remaining low-priority items are tracked and reviewed on a recurring cadence to ensure that accessibility continues to evolve alongside the brand and product roadmap.</w:t>
            </w:r>
          </w:p>
        </w:tc>
      </w:tr>
    </w:tbl>
    <w:p/>
    <w:tbl>
      <w:tblPr>
        <w:tblW w:type="auto" w:w="0"/>
        <w:jc w:val="center"/>
        <w:tblLook w:firstColumn="1" w:firstRow="1" w:lastColumn="0" w:lastRow="0" w:noHBand="0" w:noVBand="1" w:val="04A0"/>
      </w:tblPr>
      <w:tblGrid>
        <w:gridCol w:w="4873"/>
        <w:gridCol w:w="4873"/>
      </w:tblGrid>
      <w:tr>
        <w:tc>
          <w:tcPr>
            <w:tcW w:type="dxa" w:w="4873"/>
            <w:tcBorders>
              <w:top w:val="nil"/>
              <w:left w:val="nil"/>
              <w:bottom w:val="nil"/>
              <w:right w:val="nil"/>
            </w:tcBorders>
          </w:tcPr>
          <w:p>
            <w:pPr>
              <w:jc w:val="left"/>
              <w:pBdr>
                <w:top w:val="single" w:sz="6" w:space="6" w:color="D6DBE2"/>
              </w:pBdr>
            </w:pPr>
            <w:r>
              <w:rPr>
                <w:b/>
                <w:color w:val="0E2A47"/>
                <w:sz w:val="20"/>
              </w:rPr>
              <w:t>Audit Lead</w:t>
            </w:r>
          </w:p>
        </w:tc>
        <w:tc>
          <w:tcPr>
            <w:tcW w:type="dxa" w:w="4873"/>
            <w:tcBorders>
              <w:top w:val="nil"/>
              <w:left w:val="nil"/>
              <w:bottom w:val="nil"/>
              <w:right w:val="nil"/>
            </w:tcBorders>
          </w:tcPr>
          <w:p>
            <w:pPr>
              <w:jc w:val="left"/>
              <w:pBdr>
                <w:top w:val="single" w:sz="6" w:space="6" w:color="D6DBE2"/>
              </w:pBdr>
            </w:pPr>
            <w:r>
              <w:rPr>
                <w:b/>
                <w:color w:val="0E2A47"/>
                <w:sz w:val="20"/>
              </w:rPr>
              <w:t>Approved By</w:t>
            </w:r>
          </w:p>
        </w:tc>
      </w:tr>
      <w:tr>
        <w:tc>
          <w:tcPr>
            <w:tcW w:type="dxa" w:w="4873"/>
            <w:tcBorders>
              <w:top w:val="nil"/>
              <w:left w:val="nil"/>
              <w:bottom w:val="nil"/>
              <w:right w:val="nil"/>
            </w:tcBorders>
          </w:tcPr>
          <w:p>
            <w:r>
              <w:rPr>
                <w:i/>
                <w:color w:val="555E6B"/>
                <w:sz w:val="19"/>
              </w:rPr>
              <w:t>Accessibility Practice</w:t>
            </w:r>
          </w:p>
        </w:tc>
        <w:tc>
          <w:tcPr>
            <w:tcW w:type="dxa" w:w="4873"/>
            <w:tcBorders>
              <w:top w:val="nil"/>
              <w:left w:val="nil"/>
              <w:bottom w:val="nil"/>
              <w:right w:val="nil"/>
            </w:tcBorders>
          </w:tcPr>
          <w:p>
            <w:r>
              <w:rPr>
                <w:i/>
                <w:color w:val="555E6B"/>
                <w:sz w:val="19"/>
              </w:rPr>
              <w:t>Live Elemental — Engineering</w:t>
            </w:r>
          </w:p>
        </w:tc>
      </w:tr>
    </w:tbl>
    <w:p/>
    <w:p>
      <w:pPr>
        <w:jc w:val="center"/>
        <w:pBdr>
          <w:top w:val="single" w:sz="6" w:space="6" w:color="2D6CDF"/>
        </w:pBdr>
      </w:pPr>
      <w:r>
        <w:rPr>
          <w:b/>
          <w:color w:val="2D6CDF"/>
          <w:sz w:val="18"/>
        </w:rPr>
        <w:t>END OF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