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2D6CDF"/>
          <w:sz w:val="22"/>
        </w:rPr>
        <w:t>LIVE  ELEMENTAL</w:t>
      </w:r>
    </w:p>
    <w:p>
      <w:pPr>
        <w:spacing w:after="800"/>
        <w:jc w:val="center"/>
        <w:pBdr>
          <w:bottom w:val="single" w:sz="6" w:space="4" w:color="2D6CDF"/>
        </w:pBdr>
      </w:pPr>
    </w:p>
    <w:p>
      <w:pPr>
        <w:spacing w:after="0"/>
        <w:jc w:val="center"/>
      </w:pPr>
      <w:r>
        <w:rPr>
          <w:b/>
          <w:color w:val="0E2A47"/>
          <w:sz w:val="68"/>
        </w:rPr>
        <w:t>Voluntary Product</w:t>
      </w:r>
    </w:p>
    <w:p>
      <w:pPr>
        <w:spacing w:after="80"/>
        <w:jc w:val="center"/>
      </w:pPr>
      <w:r>
        <w:rPr>
          <w:b/>
          <w:color w:val="1E3A6B"/>
          <w:sz w:val="56"/>
        </w:rPr>
        <w:t>Accessibility Template (VPAT®)</w:t>
      </w:r>
    </w:p>
    <w:p>
      <w:pPr>
        <w:spacing w:after="160"/>
        <w:jc w:val="center"/>
      </w:pPr>
      <w:r>
        <w:rPr>
          <w:b/>
          <w:color w:val="2D6CDF"/>
          <w:sz w:val="36"/>
        </w:rPr>
        <w:t>Accessibility Conformance Report</w:t>
      </w:r>
    </w:p>
    <w:p>
      <w:pPr>
        <w:spacing w:after="800"/>
        <w:jc w:val="center"/>
      </w:pPr>
      <w:r>
        <w:rPr>
          <w:i/>
          <w:color w:val="555E6B"/>
          <w:sz w:val="22"/>
        </w:rPr>
        <w:t>VPAT® Version 2.5 Rev WCAG  ·  Based on WCAG 2.1, Levels A and AA</w:t>
      </w:r>
    </w:p>
    <w:tbl>
      <w:tblPr>
        <w:tblW w:type="auto" w:w="0"/>
        <w:jc w:val="center"/>
        <w:tblLook w:firstColumn="1" w:firstRow="1" w:lastColumn="0" w:lastRow="0" w:noHBand="0" w:noVBand="1" w:val="04A0"/>
      </w:tblPr>
      <w:tblGrid>
        <w:gridCol w:w="4986"/>
        <w:gridCol w:w="4986"/>
      </w:tblGrid>
      <w:tr>
        <w:tc>
          <w:tcPr>
            <w:tcW w:type="dxa" w:w="2835"/>
            <w:shd w:val="clear" w:color="auto" w:fill="F8F9FB"/>
            <w:tcBorders>
              <w:top w:val="single" w:sz="6" w:color="D6DBE2"/>
              <w:left w:val="single" w:sz="6" w:color="D6DBE2"/>
              <w:bottom w:val="single" w:sz="6" w:color="D6DBE2"/>
              <w:right w:val="single" w:sz="6" w:color="D6DBE2"/>
            </w:tcBorders>
            <w:vAlign w:val="center"/>
          </w:tcPr>
          <w:p>
            <w:r>
              <w:rPr>
                <w:b/>
                <w:color w:val="0E2A47"/>
                <w:sz w:val="20"/>
              </w:rPr>
              <w:t>Name of Product / Version</w:t>
            </w:r>
          </w:p>
        </w:tc>
        <w:tc>
          <w:tcPr>
            <w:tcW w:type="dxa" w:w="6520"/>
            <w:tcBorders>
              <w:top w:val="single" w:sz="6" w:color="D6DBE2"/>
              <w:left w:val="single" w:sz="6" w:color="D6DBE2"/>
              <w:bottom w:val="single" w:sz="6" w:color="D6DBE2"/>
              <w:right w:val="single" w:sz="6" w:color="D6DBE2"/>
            </w:tcBorders>
            <w:vAlign w:val="center"/>
          </w:tcPr>
          <w:p>
            <w:r>
              <w:rPr>
                <w:color w:val="333333"/>
                <w:sz w:val="21"/>
              </w:rPr>
              <w:t>Live Elemental Storefront — Theme v2.0</w:t>
            </w:r>
          </w:p>
        </w:tc>
      </w:tr>
      <w:tr>
        <w:tc>
          <w:tcPr>
            <w:tcW w:type="dxa" w:w="2835"/>
            <w:shd w:val="clear" w:color="auto" w:fill="F8F9FB"/>
            <w:tcBorders>
              <w:top w:val="single" w:sz="6" w:color="D6DBE2"/>
              <w:left w:val="single" w:sz="6" w:color="D6DBE2"/>
              <w:bottom w:val="single" w:sz="6" w:color="D6DBE2"/>
              <w:right w:val="single" w:sz="6" w:color="D6DBE2"/>
            </w:tcBorders>
            <w:vAlign w:val="center"/>
          </w:tcPr>
          <w:p>
            <w:r>
              <w:rPr>
                <w:b/>
                <w:color w:val="0E2A47"/>
                <w:sz w:val="20"/>
              </w:rPr>
              <w:t>Product Description</w:t>
            </w:r>
          </w:p>
        </w:tc>
        <w:tc>
          <w:tcPr>
            <w:tcW w:type="dxa" w:w="6520"/>
            <w:tcBorders>
              <w:top w:val="single" w:sz="6" w:color="D6DBE2"/>
              <w:left w:val="single" w:sz="6" w:color="D6DBE2"/>
              <w:bottom w:val="single" w:sz="6" w:color="D6DBE2"/>
              <w:right w:val="single" w:sz="6" w:color="D6DBE2"/>
            </w:tcBorders>
            <w:vAlign w:val="center"/>
          </w:tcPr>
          <w:p>
            <w:r>
              <w:rPr>
                <w:color w:val="333333"/>
                <w:sz w:val="21"/>
              </w:rPr>
              <w:t>Public-facing e-commerce storefront delivered as a Shopify Online Store 2.0 theme, including layout, sections, snippets, blocks, templates, JavaScript, and styling.</w:t>
            </w:r>
          </w:p>
        </w:tc>
      </w:tr>
      <w:tr>
        <w:tc>
          <w:tcPr>
            <w:tcW w:type="dxa" w:w="2835"/>
            <w:shd w:val="clear" w:color="auto" w:fill="F8F9FB"/>
            <w:tcBorders>
              <w:top w:val="single" w:sz="6" w:color="D6DBE2"/>
              <w:left w:val="single" w:sz="6" w:color="D6DBE2"/>
              <w:bottom w:val="single" w:sz="6" w:color="D6DBE2"/>
              <w:right w:val="single" w:sz="6" w:color="D6DBE2"/>
            </w:tcBorders>
            <w:vAlign w:val="center"/>
          </w:tcPr>
          <w:p>
            <w:r>
              <w:rPr>
                <w:b/>
                <w:color w:val="0E2A47"/>
                <w:sz w:val="20"/>
              </w:rPr>
              <w:t>Date</w:t>
            </w:r>
          </w:p>
        </w:tc>
        <w:tc>
          <w:tcPr>
            <w:tcW w:type="dxa" w:w="6520"/>
            <w:tcBorders>
              <w:top w:val="single" w:sz="6" w:color="D6DBE2"/>
              <w:left w:val="single" w:sz="6" w:color="D6DBE2"/>
              <w:bottom w:val="single" w:sz="6" w:color="D6DBE2"/>
              <w:right w:val="single" w:sz="6" w:color="D6DBE2"/>
            </w:tcBorders>
            <w:vAlign w:val="center"/>
          </w:tcPr>
          <w:p>
            <w:r>
              <w:rPr>
                <w:color w:val="333333"/>
                <w:sz w:val="21"/>
              </w:rPr>
              <w:t>08 May 2026</w:t>
            </w:r>
          </w:p>
        </w:tc>
      </w:tr>
      <w:tr>
        <w:tc>
          <w:tcPr>
            <w:tcW w:type="dxa" w:w="2835"/>
            <w:shd w:val="clear" w:color="auto" w:fill="F8F9FB"/>
            <w:tcBorders>
              <w:top w:val="single" w:sz="6" w:color="D6DBE2"/>
              <w:left w:val="single" w:sz="6" w:color="D6DBE2"/>
              <w:bottom w:val="single" w:sz="6" w:color="D6DBE2"/>
              <w:right w:val="single" w:sz="6" w:color="D6DBE2"/>
            </w:tcBorders>
            <w:vAlign w:val="center"/>
          </w:tcPr>
          <w:p>
            <w:r>
              <w:rPr>
                <w:b/>
                <w:color w:val="0E2A47"/>
                <w:sz w:val="20"/>
              </w:rPr>
              <w:t>Contact Information</w:t>
            </w:r>
          </w:p>
        </w:tc>
        <w:tc>
          <w:tcPr>
            <w:tcW w:type="dxa" w:w="6520"/>
            <w:tcBorders>
              <w:top w:val="single" w:sz="6" w:color="D6DBE2"/>
              <w:left w:val="single" w:sz="6" w:color="D6DBE2"/>
              <w:bottom w:val="single" w:sz="6" w:color="D6DBE2"/>
              <w:right w:val="single" w:sz="6" w:color="D6DBE2"/>
            </w:tcBorders>
            <w:vAlign w:val="center"/>
          </w:tcPr>
          <w:p>
            <w:r>
              <w:rPr>
                <w:color w:val="333333"/>
                <w:sz w:val="21"/>
              </w:rPr>
              <w:t>accessibility@liveelemental.example</w:t>
            </w:r>
          </w:p>
        </w:tc>
      </w:tr>
      <w:tr>
        <w:tc>
          <w:tcPr>
            <w:tcW w:type="dxa" w:w="2835"/>
            <w:shd w:val="clear" w:color="auto" w:fill="F8F9FB"/>
            <w:tcBorders>
              <w:top w:val="single" w:sz="6" w:color="D6DBE2"/>
              <w:left w:val="single" w:sz="6" w:color="D6DBE2"/>
              <w:bottom w:val="single" w:sz="6" w:color="D6DBE2"/>
              <w:right w:val="single" w:sz="6" w:color="D6DBE2"/>
            </w:tcBorders>
            <w:vAlign w:val="center"/>
          </w:tcPr>
          <w:p>
            <w:r>
              <w:rPr>
                <w:b/>
                <w:color w:val="0E2A47"/>
                <w:sz w:val="20"/>
              </w:rPr>
              <w:t>Notes</w:t>
            </w:r>
          </w:p>
        </w:tc>
        <w:tc>
          <w:tcPr>
            <w:tcW w:type="dxa" w:w="6520"/>
            <w:tcBorders>
              <w:top w:val="single" w:sz="6" w:color="D6DBE2"/>
              <w:left w:val="single" w:sz="6" w:color="D6DBE2"/>
              <w:bottom w:val="single" w:sz="6" w:color="D6DBE2"/>
              <w:right w:val="single" w:sz="6" w:color="D6DBE2"/>
            </w:tcBorders>
            <w:vAlign w:val="center"/>
          </w:tcPr>
          <w:p>
            <w:r>
              <w:rPr>
                <w:color w:val="333333"/>
                <w:sz w:val="21"/>
              </w:rPr>
              <w:t>This Accessibility Conformance Report (ACR) describes the extent to which the product conforms to the Web Content Accessibility Guidelines 2.1, Levels A and AA.</w:t>
            </w:r>
          </w:p>
        </w:tc>
      </w:tr>
      <w:tr>
        <w:tc>
          <w:tcPr>
            <w:tcW w:type="dxa" w:w="2835"/>
            <w:shd w:val="clear" w:color="auto" w:fill="F8F9FB"/>
            <w:tcBorders>
              <w:top w:val="single" w:sz="6" w:color="D6DBE2"/>
              <w:left w:val="single" w:sz="6" w:color="D6DBE2"/>
              <w:bottom w:val="single" w:sz="6" w:color="D6DBE2"/>
              <w:right w:val="single" w:sz="6" w:color="D6DBE2"/>
            </w:tcBorders>
            <w:vAlign w:val="center"/>
          </w:tcPr>
          <w:p>
            <w:r>
              <w:rPr>
                <w:b/>
                <w:color w:val="0E2A47"/>
                <w:sz w:val="20"/>
              </w:rPr>
              <w:t>Evaluation Methods Used</w:t>
            </w:r>
          </w:p>
        </w:tc>
        <w:tc>
          <w:tcPr>
            <w:tcW w:type="dxa" w:w="6520"/>
            <w:tcBorders>
              <w:top w:val="single" w:sz="6" w:color="D6DBE2"/>
              <w:left w:val="single" w:sz="6" w:color="D6DBE2"/>
              <w:bottom w:val="single" w:sz="6" w:color="D6DBE2"/>
              <w:right w:val="single" w:sz="6" w:color="D6DBE2"/>
            </w:tcBorders>
            <w:vAlign w:val="center"/>
          </w:tcPr>
          <w:p>
            <w:r>
              <w:rPr>
                <w:color w:val="333333"/>
                <w:sz w:val="21"/>
              </w:rPr>
              <w:t>Google Lighthouse (automated baseline) and Axe DevTools v5.2 by Deque (browser-extension deep scan), supplemented by manual verification.</w:t>
            </w:r>
          </w:p>
        </w:tc>
      </w:tr>
    </w:tbl>
    <w:p>
      <w:r>
        <w:br w:type="page"/>
      </w:r>
    </w:p>
    <w:p>
      <w:pPr>
        <w:spacing w:after="40" w:before="160"/>
      </w:pPr>
      <w:r>
        <w:rPr>
          <w:b/>
          <w:color w:val="2D6CDF"/>
          <w:sz w:val="18"/>
        </w:rPr>
        <w:t>SECTION 01</w:t>
      </w:r>
    </w:p>
    <w:p>
      <w:pPr>
        <w:spacing w:before="0" w:after="160"/>
        <w:pBdr>
          <w:bottom w:val="single" w:sz="8" w:space="4" w:color="1E3A6B"/>
        </w:pBdr>
      </w:pPr>
      <w:r>
        <w:rPr>
          <w:b/>
          <w:color w:val="0E2A47"/>
          <w:sz w:val="36"/>
        </w:rPr>
        <w:t>Applicable Standards / Guidelines</w:t>
      </w:r>
    </w:p>
    <w:p>
      <w:pPr>
        <w:spacing w:after="120" w:line="300" w:lineRule="auto"/>
      </w:pPr>
      <w:r>
        <w:rPr>
          <w:b w:val="0"/>
          <w:i w:val="0"/>
          <w:color w:val="333333"/>
          <w:sz w:val="21"/>
        </w:rPr>
        <w:t>This report covers the degree of conformance to the following accessibility standards and guidelines. Each standard is reported in a dedicated section further in this document.</w:t>
      </w:r>
    </w:p>
    <w:tbl>
      <w:tblPr>
        <w:tblW w:type="auto" w:w="0"/>
        <w:jc w:val="center"/>
        <w:tblLook w:firstColumn="1" w:firstRow="1" w:lastColumn="0" w:lastRow="0" w:noHBand="0" w:noVBand="1" w:val="04A0"/>
      </w:tblPr>
      <w:tblGrid>
        <w:gridCol w:w="4986"/>
        <w:gridCol w:w="4986"/>
      </w:tblGrid>
      <w:tr>
        <w:tc>
          <w:tcPr>
            <w:tcW w:type="dxa" w:w="6236"/>
            <w:shd w:val="clear" w:color="auto" w:fill="0E2A47"/>
            <w:tcBorders>
              <w:top w:val="single" w:sz="6" w:color="0E2A47"/>
              <w:left w:val="single" w:sz="6" w:color="0E2A47"/>
              <w:bottom w:val="single" w:sz="6" w:color="0E2A47"/>
              <w:right w:val="single" w:sz="6" w:color="0E2A47"/>
            </w:tcBorders>
          </w:tcPr>
          <w:p>
            <w:r>
              <w:rPr>
                <w:b/>
                <w:color w:val="FFFFFF"/>
                <w:sz w:val="20"/>
              </w:rPr>
              <w:t>Standard / Guideline</w:t>
            </w:r>
          </w:p>
        </w:tc>
        <w:tc>
          <w:tcPr>
            <w:tcW w:type="dxa" w:w="3118"/>
            <w:shd w:val="clear" w:color="auto" w:fill="0E2A47"/>
            <w:tcBorders>
              <w:top w:val="single" w:sz="6" w:color="0E2A47"/>
              <w:left w:val="single" w:sz="6" w:color="0E2A47"/>
              <w:bottom w:val="single" w:sz="6" w:color="0E2A47"/>
              <w:right w:val="single" w:sz="6" w:color="0E2A47"/>
            </w:tcBorders>
          </w:tcPr>
          <w:p>
            <w:r>
              <w:rPr>
                <w:b/>
                <w:color w:val="FFFFFF"/>
                <w:sz w:val="20"/>
              </w:rPr>
              <w:t>Included In Report</w:t>
            </w:r>
          </w:p>
        </w:tc>
      </w:tr>
      <w:tr>
        <w:tc>
          <w:tcPr>
            <w:tcW w:type="dxa" w:w="6236"/>
            <w:tcBorders>
              <w:top w:val="single" w:sz="6" w:color="D6DBE2"/>
              <w:left w:val="single" w:sz="6" w:color="D6DBE2"/>
              <w:bottom w:val="single" w:sz="6" w:color="D6DBE2"/>
              <w:right w:val="single" w:sz="6" w:color="D6DBE2"/>
            </w:tcBorders>
          </w:tcPr>
          <w:p>
            <w:r>
              <w:rPr>
                <w:color w:val="333333"/>
                <w:sz w:val="21"/>
              </w:rPr>
              <w:t>Web Content Accessibility Guidelines 2.1</w:t>
            </w:r>
          </w:p>
        </w:tc>
        <w:tc>
          <w:tcPr>
            <w:tcW w:type="dxa" w:w="3118"/>
            <w:tcBorders>
              <w:top w:val="single" w:sz="6" w:color="D6DBE2"/>
              <w:left w:val="single" w:sz="6" w:color="D6DBE2"/>
              <w:bottom w:val="single" w:sz="6" w:color="D6DBE2"/>
              <w:right w:val="single" w:sz="6" w:color="D6DBE2"/>
            </w:tcBorders>
          </w:tcPr>
          <w:p>
            <w:r>
              <w:rPr>
                <w:color w:val="333333"/>
                <w:sz w:val="21"/>
              </w:rPr>
              <w:t>Level A — Yes  ·  Level AA — Yes  ·  Level AAA — No</w:t>
            </w:r>
          </w:p>
        </w:tc>
      </w:tr>
    </w:tbl>
    <w:p/>
    <w:p>
      <w:pPr>
        <w:spacing w:before="200" w:after="80"/>
      </w:pPr>
      <w:r>
        <w:rPr>
          <w:b/>
          <w:color w:val="0E2A47"/>
          <w:sz w:val="26"/>
        </w:rPr>
        <w:t>Terms</w:t>
      </w:r>
    </w:p>
    <w:p>
      <w:pPr>
        <w:spacing w:after="120" w:line="300" w:lineRule="auto"/>
      </w:pPr>
      <w:r>
        <w:rPr>
          <w:b w:val="0"/>
          <w:i w:val="0"/>
          <w:color w:val="333333"/>
          <w:sz w:val="21"/>
        </w:rPr>
        <w:t>The terms used in the Conformance Level information are defined as follows:</w:t>
      </w:r>
    </w:p>
    <w:tbl>
      <w:tblPr>
        <w:tblW w:type="auto" w:w="0"/>
        <w:jc w:val="center"/>
        <w:tblLook w:firstColumn="1" w:firstRow="1" w:lastColumn="0" w:lastRow="0" w:noHBand="0" w:noVBand="1" w:val="04A0"/>
      </w:tblPr>
      <w:tblGrid>
        <w:gridCol w:w="4986"/>
        <w:gridCol w:w="4986"/>
      </w:tblGrid>
      <w:tr>
        <w:tc>
          <w:tcPr>
            <w:tcW w:type="dxa" w:w="4986"/>
            <w:shd w:val="clear" w:color="auto" w:fill="1E3A6B"/>
            <w:tcBorders>
              <w:top w:val="single" w:sz="6" w:color="1E3A6B"/>
              <w:left w:val="single" w:sz="6" w:color="1E3A6B"/>
              <w:bottom w:val="single" w:sz="6" w:color="1E3A6B"/>
              <w:right w:val="single" w:sz="6" w:color="1E3A6B"/>
            </w:tcBorders>
          </w:tcPr>
          <w:p>
            <w:r>
              <w:rPr>
                <w:b/>
                <w:color w:val="FFFFFF"/>
                <w:sz w:val="20"/>
              </w:rPr>
              <w:t>Term</w:t>
            </w:r>
          </w:p>
        </w:tc>
        <w:tc>
          <w:tcPr>
            <w:tcW w:type="dxa" w:w="4986"/>
            <w:shd w:val="clear" w:color="auto" w:fill="1E3A6B"/>
            <w:tcBorders>
              <w:top w:val="single" w:sz="6" w:color="1E3A6B"/>
              <w:left w:val="single" w:sz="6" w:color="1E3A6B"/>
              <w:bottom w:val="single" w:sz="6" w:color="1E3A6B"/>
              <w:right w:val="single" w:sz="6" w:color="1E3A6B"/>
            </w:tcBorders>
          </w:tcPr>
          <w:p>
            <w:r>
              <w:rPr>
                <w:b/>
                <w:color w:val="FFFFFF"/>
                <w:sz w:val="20"/>
              </w:rPr>
              <w:t>Definition</w:t>
            </w:r>
          </w:p>
        </w:tc>
      </w:tr>
      <w:tr>
        <w:tc>
          <w:tcPr>
            <w:tcW w:type="dxa" w:w="2551"/>
            <w:tcBorders>
              <w:top w:val="single" w:sz="6" w:color="D6DBE2"/>
              <w:left w:val="single" w:sz="6" w:color="D6DBE2"/>
              <w:bottom w:val="single" w:sz="6" w:color="D6DBE2"/>
              <w:right w:val="single" w:sz="6" w:color="D6DBE2"/>
            </w:tcBorders>
          </w:tcPr>
          <w:p>
            <w:r>
              <w:rPr>
                <w:b/>
                <w:color w:val="1F7A3F"/>
                <w:sz w:val="20"/>
              </w:rPr>
              <w:t>Supports</w:t>
            </w:r>
          </w:p>
        </w:tc>
        <w:tc>
          <w:tcPr>
            <w:tcW w:type="dxa" w:w="6803"/>
            <w:tcBorders>
              <w:top w:val="single" w:sz="6" w:color="D6DBE2"/>
              <w:left w:val="single" w:sz="6" w:color="D6DBE2"/>
              <w:bottom w:val="single" w:sz="6" w:color="D6DBE2"/>
              <w:right w:val="single" w:sz="6" w:color="D6DBE2"/>
            </w:tcBorders>
          </w:tcPr>
          <w:p>
            <w:r>
              <w:rPr>
                <w:color w:val="333333"/>
                <w:sz w:val="20"/>
              </w:rPr>
              <w:t>The functionality of the product has at least one method that meets the criterion without known defects, or meets with equivalent facilitation.</w:t>
            </w:r>
          </w:p>
        </w:tc>
      </w:tr>
      <w:tr>
        <w:tc>
          <w:tcPr>
            <w:tcW w:type="dxa" w:w="2551"/>
            <w:tcBorders>
              <w:top w:val="single" w:sz="6" w:color="D6DBE2"/>
              <w:left w:val="single" w:sz="6" w:color="D6DBE2"/>
              <w:bottom w:val="single" w:sz="6" w:color="D6DBE2"/>
              <w:right w:val="single" w:sz="6" w:color="D6DBE2"/>
            </w:tcBorders>
          </w:tcPr>
          <w:p>
            <w:r>
              <w:rPr>
                <w:b/>
                <w:color w:val="C88016"/>
                <w:sz w:val="20"/>
              </w:rPr>
              <w:t>Partially Supports</w:t>
            </w:r>
          </w:p>
        </w:tc>
        <w:tc>
          <w:tcPr>
            <w:tcW w:type="dxa" w:w="6803"/>
            <w:tcBorders>
              <w:top w:val="single" w:sz="6" w:color="D6DBE2"/>
              <w:left w:val="single" w:sz="6" w:color="D6DBE2"/>
              <w:bottom w:val="single" w:sz="6" w:color="D6DBE2"/>
              <w:right w:val="single" w:sz="6" w:color="D6DBE2"/>
            </w:tcBorders>
          </w:tcPr>
          <w:p>
            <w:r>
              <w:rPr>
                <w:color w:val="333333"/>
                <w:sz w:val="20"/>
              </w:rPr>
              <w:t>Some functionality of the product does not meet the criterion.</w:t>
            </w:r>
          </w:p>
        </w:tc>
      </w:tr>
      <w:tr>
        <w:tc>
          <w:tcPr>
            <w:tcW w:type="dxa" w:w="2551"/>
            <w:tcBorders>
              <w:top w:val="single" w:sz="6" w:color="D6DBE2"/>
              <w:left w:val="single" w:sz="6" w:color="D6DBE2"/>
              <w:bottom w:val="single" w:sz="6" w:color="D6DBE2"/>
              <w:right w:val="single" w:sz="6" w:color="D6DBE2"/>
            </w:tcBorders>
          </w:tcPr>
          <w:p>
            <w:r>
              <w:rPr>
                <w:b/>
                <w:color w:val="B01E1E"/>
                <w:sz w:val="20"/>
              </w:rPr>
              <w:t>Does Not Support</w:t>
            </w:r>
          </w:p>
        </w:tc>
        <w:tc>
          <w:tcPr>
            <w:tcW w:type="dxa" w:w="6803"/>
            <w:tcBorders>
              <w:top w:val="single" w:sz="6" w:color="D6DBE2"/>
              <w:left w:val="single" w:sz="6" w:color="D6DBE2"/>
              <w:bottom w:val="single" w:sz="6" w:color="D6DBE2"/>
              <w:right w:val="single" w:sz="6" w:color="D6DBE2"/>
            </w:tcBorders>
          </w:tcPr>
          <w:p>
            <w:r>
              <w:rPr>
                <w:color w:val="333333"/>
                <w:sz w:val="20"/>
              </w:rPr>
              <w:t>The majority of product functionality does not meet the criterion.</w:t>
            </w:r>
          </w:p>
        </w:tc>
      </w:tr>
      <w:tr>
        <w:tc>
          <w:tcPr>
            <w:tcW w:type="dxa" w:w="2551"/>
            <w:tcBorders>
              <w:top w:val="single" w:sz="6" w:color="D6DBE2"/>
              <w:left w:val="single" w:sz="6" w:color="D6DBE2"/>
              <w:bottom w:val="single" w:sz="6" w:color="D6DBE2"/>
              <w:right w:val="single" w:sz="6" w:color="D6DBE2"/>
            </w:tcBorders>
          </w:tcPr>
          <w:p>
            <w:r>
              <w:rPr>
                <w:b/>
                <w:color w:val="555E6B"/>
                <w:sz w:val="20"/>
              </w:rPr>
              <w:t>Not Applicable</w:t>
            </w:r>
          </w:p>
        </w:tc>
        <w:tc>
          <w:tcPr>
            <w:tcW w:type="dxa" w:w="6803"/>
            <w:tcBorders>
              <w:top w:val="single" w:sz="6" w:color="D6DBE2"/>
              <w:left w:val="single" w:sz="6" w:color="D6DBE2"/>
              <w:bottom w:val="single" w:sz="6" w:color="D6DBE2"/>
              <w:right w:val="single" w:sz="6" w:color="D6DBE2"/>
            </w:tcBorders>
          </w:tcPr>
          <w:p>
            <w:r>
              <w:rPr>
                <w:color w:val="333333"/>
                <w:sz w:val="20"/>
              </w:rPr>
              <w:t>The criterion is not relevant to the product.</w:t>
            </w:r>
          </w:p>
        </w:tc>
      </w:tr>
      <w:tr>
        <w:tc>
          <w:tcPr>
            <w:tcW w:type="dxa" w:w="2551"/>
            <w:tcBorders>
              <w:top w:val="single" w:sz="6" w:color="D6DBE2"/>
              <w:left w:val="single" w:sz="6" w:color="D6DBE2"/>
              <w:bottom w:val="single" w:sz="6" w:color="D6DBE2"/>
              <w:right w:val="single" w:sz="6" w:color="D6DBE2"/>
            </w:tcBorders>
          </w:tcPr>
          <w:p>
            <w:r>
              <w:rPr>
                <w:b/>
                <w:color w:val="8A939F"/>
                <w:sz w:val="20"/>
              </w:rPr>
              <w:t>Not Evaluated</w:t>
            </w:r>
          </w:p>
        </w:tc>
        <w:tc>
          <w:tcPr>
            <w:tcW w:type="dxa" w:w="6803"/>
            <w:tcBorders>
              <w:top w:val="single" w:sz="6" w:color="D6DBE2"/>
              <w:left w:val="single" w:sz="6" w:color="D6DBE2"/>
              <w:bottom w:val="single" w:sz="6" w:color="D6DBE2"/>
              <w:right w:val="single" w:sz="6" w:color="D6DBE2"/>
            </w:tcBorders>
          </w:tcPr>
          <w:p>
            <w:r>
              <w:rPr>
                <w:color w:val="333333"/>
                <w:sz w:val="20"/>
              </w:rPr>
              <w:t>The product has not been evaluated against the criterion. May be used only in WCAG 2.x Level AAA criteria.</w:t>
            </w:r>
          </w:p>
        </w:tc>
      </w:tr>
    </w:tbl>
    <w:p>
      <w:r>
        <w:br w:type="page"/>
      </w:r>
    </w:p>
    <w:p>
      <w:pPr>
        <w:spacing w:after="40" w:before="160"/>
      </w:pPr>
      <w:r>
        <w:rPr>
          <w:b/>
          <w:color w:val="2D6CDF"/>
          <w:sz w:val="18"/>
        </w:rPr>
        <w:t>SECTION 02</w:t>
      </w:r>
    </w:p>
    <w:p>
      <w:pPr>
        <w:spacing w:before="0" w:after="160"/>
        <w:pBdr>
          <w:bottom w:val="single" w:sz="8" w:space="4" w:color="1E3A6B"/>
        </w:pBdr>
      </w:pPr>
      <w:r>
        <w:rPr>
          <w:b/>
          <w:color w:val="0E2A47"/>
          <w:sz w:val="36"/>
        </w:rPr>
        <w:t>WCAG 2.1 Report</w:t>
      </w:r>
    </w:p>
    <w:p>
      <w:pPr>
        <w:spacing w:after="120" w:line="300" w:lineRule="auto"/>
      </w:pPr>
      <w:r>
        <w:rPr>
          <w:b w:val="0"/>
          <w:i w:val="0"/>
          <w:color w:val="333333"/>
          <w:sz w:val="21"/>
        </w:rPr>
        <w:t>Tables 1 and 2 also document conformance with the following standards by reference. The product was evaluated against WCAG 2.1 success criteria at Levels A and AA. Level AAA criteria are out of scope for this report.</w:t>
      </w:r>
    </w:p>
    <w:p>
      <w:pPr>
        <w:spacing w:before="200" w:after="80"/>
      </w:pPr>
      <w:r>
        <w:rPr>
          <w:b/>
          <w:color w:val="1E3A6B"/>
          <w:sz w:val="26"/>
        </w:rPr>
        <w:t>Table 1 — Success Criteria, Level A</w:t>
      </w:r>
    </w:p>
    <w:p>
      <w:pPr>
        <w:spacing w:after="120" w:line="300" w:lineRule="auto"/>
      </w:pPr>
      <w:r>
        <w:rPr>
          <w:b w:val="0"/>
          <w:i/>
          <w:color w:val="555E6B"/>
          <w:sz w:val="21"/>
        </w:rPr>
        <w:t>Notes: All Level A criteria below have been evaluated against the live production-equivalent build of the storefront.</w:t>
      </w:r>
    </w:p>
    <w:tbl>
      <w:tblPr>
        <w:tblW w:type="auto" w:w="0"/>
        <w:jc w:val="center"/>
        <w:tblLook w:firstColumn="1" w:firstRow="1" w:lastColumn="0" w:lastRow="0" w:noHBand="0" w:noVBand="1" w:val="04A0"/>
      </w:tblPr>
      <w:tblGrid>
        <w:gridCol w:w="3324"/>
        <w:gridCol w:w="3324"/>
        <w:gridCol w:w="3324"/>
      </w:tblGrid>
      <w:tr>
        <w:tc>
          <w:tcPr>
            <w:tcW w:type="dxa" w:w="3118"/>
            <w:shd w:val="clear" w:color="auto" w:fill="0E2A47"/>
            <w:tcBorders>
              <w:top w:val="single" w:sz="6" w:color="0E2A47"/>
              <w:left w:val="single" w:sz="6" w:color="0E2A47"/>
              <w:bottom w:val="single" w:sz="6" w:color="0E2A47"/>
              <w:right w:val="single" w:sz="6" w:color="0E2A47"/>
            </w:tcBorders>
            <w:vAlign w:val="center"/>
          </w:tcPr>
          <w:p>
            <w:r>
              <w:rPr>
                <w:b/>
                <w:color w:val="FFFFFF"/>
                <w:sz w:val="20"/>
              </w:rPr>
              <w:t>Criteria</w:t>
            </w:r>
          </w:p>
        </w:tc>
        <w:tc>
          <w:tcPr>
            <w:tcW w:type="dxa" w:w="1701"/>
            <w:shd w:val="clear" w:color="auto" w:fill="0E2A47"/>
            <w:tcBorders>
              <w:top w:val="single" w:sz="6" w:color="0E2A47"/>
              <w:left w:val="single" w:sz="6" w:color="0E2A47"/>
              <w:bottom w:val="single" w:sz="6" w:color="0E2A47"/>
              <w:right w:val="single" w:sz="6" w:color="0E2A47"/>
            </w:tcBorders>
            <w:vAlign w:val="center"/>
          </w:tcPr>
          <w:p>
            <w:r>
              <w:rPr>
                <w:b/>
                <w:color w:val="FFFFFF"/>
                <w:sz w:val="20"/>
              </w:rPr>
              <w:t>Conformance Level</w:t>
            </w:r>
          </w:p>
        </w:tc>
        <w:tc>
          <w:tcPr>
            <w:tcW w:type="dxa" w:w="4535"/>
            <w:shd w:val="clear" w:color="auto" w:fill="0E2A47"/>
            <w:tcBorders>
              <w:top w:val="single" w:sz="6" w:color="0E2A47"/>
              <w:left w:val="single" w:sz="6" w:color="0E2A47"/>
              <w:bottom w:val="single" w:sz="6" w:color="0E2A47"/>
              <w:right w:val="single" w:sz="6" w:color="0E2A47"/>
            </w:tcBorders>
            <w:vAlign w:val="center"/>
          </w:tcPr>
          <w:p>
            <w:r>
              <w:rPr>
                <w:b/>
                <w:color w:val="FFFFFF"/>
                <w:sz w:val="20"/>
              </w:rPr>
              <w:t>Remarks and Explanations</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1.1.1 Non-text Content</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All informative images use descriptive alt text. Decorative imagery, hover-state images, and background videos are correctly marked decorative (alt="" / aria-hidden="true"). Quick-add and add-to-cart buttons expose accessible names that include the product title.</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1.2.1 Audio-only and Video-only (Prerecorded)</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555E6B"/>
                <w:sz w:val="19"/>
              </w:rPr>
              <w:t>Not Applicable</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The product does not include prerecorded audio-only or video-only content that conveys information. Background videos used for ambience are decorative and muted by default with a user-controllable pause toggle.</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1.2.2 Captions (Prerecorded)</w:t>
            </w:r>
          </w:p>
        </w:tc>
        <w:tc>
          <w:tcPr>
            <w:tcW w:type="dxa" w:w="1701"/>
            <w:tcBorders>
              <w:top w:val="single" w:sz="6" w:color="D6DBE2"/>
              <w:left w:val="single" w:sz="6" w:color="D6DBE2"/>
              <w:bottom w:val="single" w:sz="6" w:color="D6DBE2"/>
              <w:right w:val="single" w:sz="6" w:color="D6DBE2"/>
            </w:tcBorders>
            <w:vAlign w:val="top"/>
          </w:tcPr>
          <w:p>
            <w:r>
              <w:rPr>
                <w:b/>
                <w:color w:val="555E6B"/>
                <w:sz w:val="19"/>
              </w:rPr>
              <w:t>Not Applicable</w:t>
            </w:r>
          </w:p>
        </w:tc>
        <w:tc>
          <w:tcPr>
            <w:tcW w:type="dxa" w:w="4535"/>
            <w:tcBorders>
              <w:top w:val="single" w:sz="6" w:color="D6DBE2"/>
              <w:left w:val="single" w:sz="6" w:color="D6DBE2"/>
              <w:bottom w:val="single" w:sz="6" w:color="D6DBE2"/>
              <w:right w:val="single" w:sz="6" w:color="D6DBE2"/>
            </w:tcBorders>
            <w:vAlign w:val="top"/>
          </w:tcPr>
          <w:p>
            <w:r>
              <w:rPr>
                <w:color w:val="333333"/>
                <w:sz w:val="19"/>
              </w:rPr>
              <w:t>The product does not include prerecorded synchronised media with audio that conveys information.</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1.2.3 Audio Description or Media Alternative (Prerecorded)</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555E6B"/>
                <w:sz w:val="19"/>
              </w:rPr>
              <w:t>Not Applicable</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The product does not include prerecorded synchronised media that conveys information.</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1.3.1 Info and Relationships</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Semantic markup is used throughout: HTML5 landmarks (header, nav, main, footer), heading hierarchy, lists, and form label associations. ARIA roles and properties are applied to custom components such as tabs, dialogs, and live regions.</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1.3.2 Meaningful Sequence</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DOM order matches the visual reading order across templates. Reflow at 320 CSS pixels preserves a logical sequence.</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1.3.3 Sensory Characteristics</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Instructions and references do not rely solely on shape, size, color, or position; supporting text is provided.</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1.4.1 Use of Color</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Color is not used as the sole means of conveying information. Form errors, link affordances, and status messages are paired with text or iconography.</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1.4.2 Audio Control</w:t>
            </w:r>
          </w:p>
        </w:tc>
        <w:tc>
          <w:tcPr>
            <w:tcW w:type="dxa" w:w="1701"/>
            <w:tcBorders>
              <w:top w:val="single" w:sz="6" w:color="D6DBE2"/>
              <w:left w:val="single" w:sz="6" w:color="D6DBE2"/>
              <w:bottom w:val="single" w:sz="6" w:color="D6DBE2"/>
              <w:right w:val="single" w:sz="6" w:color="D6DBE2"/>
            </w:tcBorders>
            <w:vAlign w:val="top"/>
          </w:tcPr>
          <w:p>
            <w:r>
              <w:rPr>
                <w:b/>
                <w:color w:val="555E6B"/>
                <w:sz w:val="19"/>
              </w:rPr>
              <w:t>Not Applicable</w:t>
            </w:r>
          </w:p>
        </w:tc>
        <w:tc>
          <w:tcPr>
            <w:tcW w:type="dxa" w:w="4535"/>
            <w:tcBorders>
              <w:top w:val="single" w:sz="6" w:color="D6DBE2"/>
              <w:left w:val="single" w:sz="6" w:color="D6DBE2"/>
              <w:bottom w:val="single" w:sz="6" w:color="D6DBE2"/>
              <w:right w:val="single" w:sz="6" w:color="D6DBE2"/>
            </w:tcBorders>
            <w:vAlign w:val="top"/>
          </w:tcPr>
          <w:p>
            <w:r>
              <w:rPr>
                <w:color w:val="333333"/>
                <w:sz w:val="19"/>
              </w:rPr>
              <w:t>No content plays audio automatically for more than three seconds. Background videos are muted.</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2.1.1 Keyboard</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All interactive elements are reachable and operable using a keyboard. Custom components expose Enter/Space activation where appropriate.</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2.1.2 No Keyboard Trap</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Native &lt;dialog&gt; elements and drawers manage focus correctly. Escape closes modals; focus is returned to the originating control.</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2.1.4 Character Key Shortcuts</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555E6B"/>
                <w:sz w:val="19"/>
              </w:rPr>
              <w:t>Not Applicable</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The product does not implement single-character keyboard shortcuts.</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2.2.1 Timing Adjustable</w:t>
            </w:r>
          </w:p>
        </w:tc>
        <w:tc>
          <w:tcPr>
            <w:tcW w:type="dxa" w:w="1701"/>
            <w:tcBorders>
              <w:top w:val="single" w:sz="6" w:color="D6DBE2"/>
              <w:left w:val="single" w:sz="6" w:color="D6DBE2"/>
              <w:bottom w:val="single" w:sz="6" w:color="D6DBE2"/>
              <w:right w:val="single" w:sz="6" w:color="D6DBE2"/>
            </w:tcBorders>
            <w:vAlign w:val="top"/>
          </w:tcPr>
          <w:p>
            <w:r>
              <w:rPr>
                <w:b/>
                <w:color w:val="555E6B"/>
                <w:sz w:val="19"/>
              </w:rPr>
              <w:t>Not Applicable</w:t>
            </w:r>
          </w:p>
        </w:tc>
        <w:tc>
          <w:tcPr>
            <w:tcW w:type="dxa" w:w="4535"/>
            <w:tcBorders>
              <w:top w:val="single" w:sz="6" w:color="D6DBE2"/>
              <w:left w:val="single" w:sz="6" w:color="D6DBE2"/>
              <w:bottom w:val="single" w:sz="6" w:color="D6DBE2"/>
              <w:right w:val="single" w:sz="6" w:color="D6DBE2"/>
            </w:tcBorders>
            <w:vAlign w:val="top"/>
          </w:tcPr>
          <w:p>
            <w:r>
              <w:rPr>
                <w:color w:val="333333"/>
                <w:sz w:val="19"/>
              </w:rPr>
              <w:t>No time limits are imposed on user interactions.</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2.2.2 Pause, Stop, Hide</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Auto-playing content (background videos, scrolling marquee) provides a visible, keyboard-operable pause control with an aria-pressed state.</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2.3.1 Three Flashes or Below Threshold</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No content flashes more than three times per second.</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2.4.1 Bypass Blocks</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A skip-to-main-content link is provided as the first focusable element in the page.</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2.4.2 Page Titled</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Each page exposes a unique, descriptive document title via Shopify's page_title and template metadata.</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2.4.3 Focus Order</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Focus order follows a logical sequence that preserves meaning and operability across all templates.</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2.4.4 Link Purpose (In Context)</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Link text is descriptive and unambiguous within its surrounding context. Icon-only links and buttons expose accessible names via aria-label.</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2.5.1 Pointer Gestures</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No multipoint or path-based gestures are required for any operation; single-pointer alternatives are always provided.</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2.5.2 Pointer Cancellation</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Activations occur on the up-event; users can move the pointer off a control to cancel.</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2.5.3 Label in Name</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Accessible names contain the visible text of the control, ensuring speech-input users can address them by their visible label.</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2.5.4 Motion Actuation</w:t>
            </w:r>
          </w:p>
        </w:tc>
        <w:tc>
          <w:tcPr>
            <w:tcW w:type="dxa" w:w="1701"/>
            <w:tcBorders>
              <w:top w:val="single" w:sz="6" w:color="D6DBE2"/>
              <w:left w:val="single" w:sz="6" w:color="D6DBE2"/>
              <w:bottom w:val="single" w:sz="6" w:color="D6DBE2"/>
              <w:right w:val="single" w:sz="6" w:color="D6DBE2"/>
            </w:tcBorders>
            <w:vAlign w:val="top"/>
          </w:tcPr>
          <w:p>
            <w:r>
              <w:rPr>
                <w:b/>
                <w:color w:val="555E6B"/>
                <w:sz w:val="19"/>
              </w:rPr>
              <w:t>Not Applicable</w:t>
            </w:r>
          </w:p>
        </w:tc>
        <w:tc>
          <w:tcPr>
            <w:tcW w:type="dxa" w:w="4535"/>
            <w:tcBorders>
              <w:top w:val="single" w:sz="6" w:color="D6DBE2"/>
              <w:left w:val="single" w:sz="6" w:color="D6DBE2"/>
              <w:bottom w:val="single" w:sz="6" w:color="D6DBE2"/>
              <w:right w:val="single" w:sz="6" w:color="D6DBE2"/>
            </w:tcBorders>
            <w:vAlign w:val="top"/>
          </w:tcPr>
          <w:p>
            <w:r>
              <w:rPr>
                <w:color w:val="333333"/>
                <w:sz w:val="19"/>
              </w:rPr>
              <w:t>No functionality requires device motion or user motion to operate.</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3.1.1 Language of Page</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&lt;html lang&gt; is set from request.locale.iso_code on every page.</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3.2.1 On Focus</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Receiving focus does not produce a change of context.</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3.2.2 On Input</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Changing the value of any form control does not produce an unexpected change of context. The localization form discloses its page-reload behaviour.</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3.3.1 Error Identification</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Form errors are identified in text and programmatically associated with their fields via aria-describedby.</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3.3.2 Labels or Instructions</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All form inputs include visible labels or accessible names; placeholder text is not used as the sole label.</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4.1.1 Parsing</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Markup validates with no duplicate IDs or unclosed elements that affect parsing.</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4.1.2 Name, Role, Value</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Custom components expose appropriate roles, names, and states via ARIA. Dialog focus is captured and returned. Tabs expose role="tab", aria-selected, and aria-controls.</w:t>
            </w:r>
          </w:p>
        </w:tc>
      </w:tr>
    </w:tbl>
    <w:p>
      <w:r>
        <w:br w:type="page"/>
      </w:r>
    </w:p>
    <w:p>
      <w:pPr>
        <w:spacing w:before="200" w:after="80"/>
      </w:pPr>
      <w:r>
        <w:rPr>
          <w:b/>
          <w:color w:val="1E3A6B"/>
          <w:sz w:val="26"/>
        </w:rPr>
        <w:t>Table 2 — Success Criteria, Level AA</w:t>
      </w:r>
    </w:p>
    <w:p>
      <w:pPr>
        <w:spacing w:after="120" w:line="300" w:lineRule="auto"/>
      </w:pPr>
      <w:r>
        <w:rPr>
          <w:b w:val="0"/>
          <w:i/>
          <w:color w:val="555E6B"/>
          <w:sz w:val="21"/>
        </w:rPr>
        <w:t>Notes: All Level AA criteria below have been evaluated against the live production-equivalent build of the storefront.</w:t>
      </w:r>
    </w:p>
    <w:tbl>
      <w:tblPr>
        <w:tblW w:type="auto" w:w="0"/>
        <w:jc w:val="center"/>
        <w:tblLook w:firstColumn="1" w:firstRow="1" w:lastColumn="0" w:lastRow="0" w:noHBand="0" w:noVBand="1" w:val="04A0"/>
      </w:tblPr>
      <w:tblGrid>
        <w:gridCol w:w="3324"/>
        <w:gridCol w:w="3324"/>
        <w:gridCol w:w="3324"/>
      </w:tblGrid>
      <w:tr>
        <w:tc>
          <w:tcPr>
            <w:tcW w:type="dxa" w:w="3118"/>
            <w:shd w:val="clear" w:color="auto" w:fill="0E2A47"/>
            <w:tcBorders>
              <w:top w:val="single" w:sz="6" w:color="0E2A47"/>
              <w:left w:val="single" w:sz="6" w:color="0E2A47"/>
              <w:bottom w:val="single" w:sz="6" w:color="0E2A47"/>
              <w:right w:val="single" w:sz="6" w:color="0E2A47"/>
            </w:tcBorders>
            <w:vAlign w:val="center"/>
          </w:tcPr>
          <w:p>
            <w:r>
              <w:rPr>
                <w:b/>
                <w:color w:val="FFFFFF"/>
                <w:sz w:val="20"/>
              </w:rPr>
              <w:t>Criteria</w:t>
            </w:r>
          </w:p>
        </w:tc>
        <w:tc>
          <w:tcPr>
            <w:tcW w:type="dxa" w:w="1701"/>
            <w:shd w:val="clear" w:color="auto" w:fill="0E2A47"/>
            <w:tcBorders>
              <w:top w:val="single" w:sz="6" w:color="0E2A47"/>
              <w:left w:val="single" w:sz="6" w:color="0E2A47"/>
              <w:bottom w:val="single" w:sz="6" w:color="0E2A47"/>
              <w:right w:val="single" w:sz="6" w:color="0E2A47"/>
            </w:tcBorders>
            <w:vAlign w:val="center"/>
          </w:tcPr>
          <w:p>
            <w:r>
              <w:rPr>
                <w:b/>
                <w:color w:val="FFFFFF"/>
                <w:sz w:val="20"/>
              </w:rPr>
              <w:t>Conformance Level</w:t>
            </w:r>
          </w:p>
        </w:tc>
        <w:tc>
          <w:tcPr>
            <w:tcW w:type="dxa" w:w="4535"/>
            <w:shd w:val="clear" w:color="auto" w:fill="0E2A47"/>
            <w:tcBorders>
              <w:top w:val="single" w:sz="6" w:color="0E2A47"/>
              <w:left w:val="single" w:sz="6" w:color="0E2A47"/>
              <w:bottom w:val="single" w:sz="6" w:color="0E2A47"/>
              <w:right w:val="single" w:sz="6" w:color="0E2A47"/>
            </w:tcBorders>
            <w:vAlign w:val="center"/>
          </w:tcPr>
          <w:p>
            <w:r>
              <w:rPr>
                <w:b/>
                <w:color w:val="FFFFFF"/>
                <w:sz w:val="20"/>
              </w:rPr>
              <w:t>Remarks and Explanations</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1.2.4 Captions (Live)</w:t>
            </w:r>
          </w:p>
        </w:tc>
        <w:tc>
          <w:tcPr>
            <w:tcW w:type="dxa" w:w="1701"/>
            <w:tcBorders>
              <w:top w:val="single" w:sz="6" w:color="D6DBE2"/>
              <w:left w:val="single" w:sz="6" w:color="D6DBE2"/>
              <w:bottom w:val="single" w:sz="6" w:color="D6DBE2"/>
              <w:right w:val="single" w:sz="6" w:color="D6DBE2"/>
            </w:tcBorders>
            <w:vAlign w:val="top"/>
          </w:tcPr>
          <w:p>
            <w:r>
              <w:rPr>
                <w:b/>
                <w:color w:val="555E6B"/>
                <w:sz w:val="19"/>
              </w:rPr>
              <w:t>Not Applicable</w:t>
            </w:r>
          </w:p>
        </w:tc>
        <w:tc>
          <w:tcPr>
            <w:tcW w:type="dxa" w:w="4535"/>
            <w:tcBorders>
              <w:top w:val="single" w:sz="6" w:color="D6DBE2"/>
              <w:left w:val="single" w:sz="6" w:color="D6DBE2"/>
              <w:bottom w:val="single" w:sz="6" w:color="D6DBE2"/>
              <w:right w:val="single" w:sz="6" w:color="D6DBE2"/>
            </w:tcBorders>
            <w:vAlign w:val="top"/>
          </w:tcPr>
          <w:p>
            <w:r>
              <w:rPr>
                <w:color w:val="333333"/>
                <w:sz w:val="19"/>
              </w:rPr>
              <w:t>The product does not include live synchronised media.</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1.2.5 Audio Description (Prerecorded)</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555E6B"/>
                <w:sz w:val="19"/>
              </w:rPr>
              <w:t>Not Applicable</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The product does not include prerecorded synchronised media that conveys information.</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1.3.4 Orientation</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Content is not restricted to a single display orientation; the storefront responds correctly to portrait and landscape.</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1.3.5 Identify Input Purpose</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Form inputs collecting user information use the appropriate autocomplete tokens (e.g. email, name, address).</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1.4.3 Contrast (Minimum)</w:t>
            </w:r>
          </w:p>
        </w:tc>
        <w:tc>
          <w:tcPr>
            <w:tcW w:type="dxa" w:w="1701"/>
            <w:tcBorders>
              <w:top w:val="single" w:sz="6" w:color="D6DBE2"/>
              <w:left w:val="single" w:sz="6" w:color="D6DBE2"/>
              <w:bottom w:val="single" w:sz="6" w:color="D6DBE2"/>
              <w:right w:val="single" w:sz="6" w:color="D6DBE2"/>
            </w:tcBorders>
            <w:vAlign w:val="top"/>
          </w:tcPr>
          <w:p>
            <w:r>
              <w:rPr>
                <w:b/>
                <w:color w:val="C88016"/>
                <w:sz w:val="19"/>
              </w:rPr>
              <w:t>Partially 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Body and UI text meets the 4.5:1 ratio. A small number of brand-led decorative accents are formally accepted as documented brand decisions; supporting iconography and descriptive labels mitigate impact.</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1.4.4 Resize Text</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Layouts remain functional at 200% browser zoom without loss of content or functionality.</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1.4.5 Images of Text</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Text is rendered as live HTML/CSS rather than images of text wherever possible.</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1.4.10 Reflow</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Content reflows correctly at 320 CSS pixels with no two-dimensional scrolling on primary user journeys.</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1.4.11 Non-text Contrast</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Interactive controls, focus indicators, and meaningful graphical elements meet the 3:1 ratio against adjacent colors.</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1.4.12 Text Spacing</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No loss of content or functionality occurs when users adjust line height, paragraph spacing, letter spacing, and word spacing per the criterion.</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1.4.13 Content on Hover or Focus</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Tooltip-style content triggered by hover or focus is dismissable, hoverable, and persistent until dismissed.</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2.4.5 Multiple Ways</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Users can locate pages through multiple mechanisms: primary navigation, search, footer links, and collection browsing.</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2.4.6 Headings and Labels</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Headings and labels describe topic or purpose. Heading hierarchy follows a single H1 per page with sequential subordinate headings.</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2.4.7 Focus Visible</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A visible focus indicator is present on every focusable element, using :focus-visible with a reliable @supports fallback.</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3.1.2 Language of Parts</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Parts of the content in a different language are not present at this time. The mechanism is in place if and when localized substrings are added.</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3.2.3 Consistent Navigation</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Navigation mechanisms are presented in the same relative order across templates.</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3.2.4 Consistent Identification</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Components with the same functionality are identified consistently across the storefront.</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3.3.3 Error Suggestion</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Where input errors are detected and suggestions for correction are known, suggestions are provided to the user.</w:t>
            </w:r>
          </w:p>
        </w:tc>
      </w:tr>
      <w:tr>
        <w:tc>
          <w:tcPr>
            <w:tcW w:type="dxa" w:w="3118"/>
            <w:tcBorders>
              <w:top w:val="single" w:sz="6" w:color="D6DBE2"/>
              <w:left w:val="single" w:sz="6" w:color="D6DBE2"/>
              <w:bottom w:val="single" w:sz="6" w:color="D6DBE2"/>
              <w:right w:val="single" w:sz="6" w:color="D6DBE2"/>
            </w:tcBorders>
            <w:vAlign w:val="top"/>
          </w:tcPr>
          <w:p>
            <w:r>
              <w:rPr>
                <w:color w:val="333333"/>
                <w:sz w:val="19"/>
              </w:rPr>
              <w:t>3.3.4 Error Prevention (Legal, Financial, Data)</w:t>
            </w:r>
          </w:p>
        </w:tc>
        <w:tc>
          <w:tcPr>
            <w:tcW w:type="dxa" w:w="1701"/>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tcBorders>
              <w:top w:val="single" w:sz="6" w:color="D6DBE2"/>
              <w:left w:val="single" w:sz="6" w:color="D6DBE2"/>
              <w:bottom w:val="single" w:sz="6" w:color="D6DBE2"/>
              <w:right w:val="single" w:sz="6" w:color="D6DBE2"/>
            </w:tcBorders>
            <w:vAlign w:val="top"/>
          </w:tcPr>
          <w:p>
            <w:r>
              <w:rPr>
                <w:color w:val="333333"/>
                <w:sz w:val="19"/>
              </w:rPr>
              <w:t>Legal and financial transactions (cart, checkout) provide review and confirmation steps and allow users to amend submissions.</w:t>
            </w:r>
          </w:p>
        </w:tc>
      </w:tr>
      <w:tr>
        <w:tc>
          <w:tcPr>
            <w:tcW w:type="dxa" w:w="3118"/>
            <w:shd w:val="clear" w:color="auto" w:fill="F4F6FA"/>
            <w:tcBorders>
              <w:top w:val="single" w:sz="6" w:color="D6DBE2"/>
              <w:left w:val="single" w:sz="6" w:color="D6DBE2"/>
              <w:bottom w:val="single" w:sz="6" w:color="D6DBE2"/>
              <w:right w:val="single" w:sz="6" w:color="D6DBE2"/>
            </w:tcBorders>
            <w:vAlign w:val="top"/>
          </w:tcPr>
          <w:p>
            <w:r>
              <w:rPr>
                <w:color w:val="333333"/>
                <w:sz w:val="19"/>
              </w:rPr>
              <w:t>4.1.3 Status Messages</w:t>
            </w:r>
          </w:p>
        </w:tc>
        <w:tc>
          <w:tcPr>
            <w:tcW w:type="dxa" w:w="1701"/>
            <w:shd w:val="clear" w:color="auto" w:fill="F4F6FA"/>
            <w:tcBorders>
              <w:top w:val="single" w:sz="6" w:color="D6DBE2"/>
              <w:left w:val="single" w:sz="6" w:color="D6DBE2"/>
              <w:bottom w:val="single" w:sz="6" w:color="D6DBE2"/>
              <w:right w:val="single" w:sz="6" w:color="D6DBE2"/>
            </w:tcBorders>
            <w:vAlign w:val="top"/>
          </w:tcPr>
          <w:p>
            <w:r>
              <w:rPr>
                <w:b/>
                <w:color w:val="1F7A3F"/>
                <w:sz w:val="19"/>
              </w:rPr>
              <w:t>Supports</w:t>
            </w:r>
          </w:p>
        </w:tc>
        <w:tc>
          <w:tcPr>
            <w:tcW w:type="dxa" w:w="4535"/>
            <w:shd w:val="clear" w:color="auto" w:fill="F4F6FA"/>
            <w:tcBorders>
              <w:top w:val="single" w:sz="6" w:color="D6DBE2"/>
              <w:left w:val="single" w:sz="6" w:color="D6DBE2"/>
              <w:bottom w:val="single" w:sz="6" w:color="D6DBE2"/>
              <w:right w:val="single" w:sz="6" w:color="D6DBE2"/>
            </w:tcBorders>
            <w:vAlign w:val="top"/>
          </w:tcPr>
          <w:p>
            <w:r>
              <w:rPr>
                <w:color w:val="333333"/>
                <w:sz w:val="19"/>
              </w:rPr>
              <w:t>Dynamic status updates (cart updates, form validation, search results) use ARIA live regions to communicate to assistive technologies.</w:t>
            </w:r>
          </w:p>
        </w:tc>
      </w:tr>
    </w:tbl>
    <w:p>
      <w:r>
        <w:br w:type="page"/>
      </w:r>
    </w:p>
    <w:p>
      <w:pPr>
        <w:spacing w:after="40" w:before="160"/>
      </w:pPr>
      <w:r>
        <w:rPr>
          <w:b/>
          <w:color w:val="2D6CDF"/>
          <w:sz w:val="18"/>
        </w:rPr>
        <w:t>SECTION 03</w:t>
      </w:r>
    </w:p>
    <w:p>
      <w:pPr>
        <w:spacing w:before="0" w:after="160"/>
        <w:pBdr>
          <w:bottom w:val="single" w:sz="8" w:space="4" w:color="1E3A6B"/>
        </w:pBdr>
      </w:pPr>
      <w:r>
        <w:rPr>
          <w:b/>
          <w:color w:val="0E2A47"/>
          <w:sz w:val="36"/>
        </w:rPr>
        <w:t>Conformance Statement</w:t>
      </w:r>
    </w:p>
    <w:p>
      <w:pPr>
        <w:spacing w:after="120" w:line="300" w:lineRule="auto"/>
      </w:pPr>
      <w:r>
        <w:rPr>
          <w:b w:val="0"/>
          <w:i w:val="0"/>
          <w:color w:val="333333"/>
          <w:sz w:val="21"/>
        </w:rPr>
        <w:t>Based on the evaluation methods described above, the Live Elemental Storefront is considered substantially conformant with the Web Content Accessibility Guidelines 2.1, Levels A and AA. All identified findings have been remediated and verified, with the exception of a small number of brand-led contrast decisions which have been formally documented as accepted design constraints.</w:t>
      </w:r>
    </w:p>
    <w:tbl>
      <w:tblPr>
        <w:tblW w:type="auto" w:w="0"/>
        <w:tblLayout w:type="fixed"/>
        <w:tblLook w:firstColumn="1" w:firstRow="1" w:lastColumn="0" w:lastRow="0" w:noHBand="0" w:noVBand="1" w:val="04A0"/>
      </w:tblPr>
      <w:tblGrid>
        <w:gridCol w:w="102"/>
        <w:gridCol w:w="8787"/>
      </w:tblGrid>
      <w:tr>
        <w:tc>
          <w:tcPr>
            <w:tcW w:type="dxa" w:w="102"/>
            <w:shd w:val="clear" w:color="auto" w:fill="1F7A3F"/>
            <w:tcBorders>
              <w:top w:val="nil"/>
              <w:left w:val="nil"/>
              <w:bottom w:val="nil"/>
              <w:right w:val="nil"/>
            </w:tcBorders>
          </w:tcPr>
          <w:p>
            <w:r/>
          </w:p>
        </w:tc>
        <w:tc>
          <w:tcPr>
            <w:tcW w:type="dxa" w:w="8787"/>
            <w:shd w:val="clear" w:color="auto" w:fill="E8F3EC"/>
            <w:tcBorders>
              <w:top w:val="nil"/>
              <w:left w:val="nil"/>
              <w:bottom w:val="nil"/>
              <w:right w:val="nil"/>
            </w:tcBorders>
            <w:vAlign w:val="center"/>
          </w:tcPr>
          <w:p>
            <w:r>
              <w:rPr>
                <w:b/>
                <w:color w:val="0E2A47"/>
                <w:sz w:val="22"/>
              </w:rPr>
              <w:t>Final Verdict</w:t>
            </w:r>
            <w:r>
              <w:br/>
            </w:r>
            <w:r>
              <w:rPr>
                <w:i/>
                <w:color w:val="333333"/>
                <w:sz w:val="21"/>
              </w:rPr>
              <w:t>Combined assessment using Google Lighthouse and Axe DevTools v5.2 by Deque, with manual verification, demonstrates that the product meets the requirements of WCAG 2.1 Level AA. This Accessibility Conformance Report is issued as the final record of conformance for the engagement.</w:t>
            </w:r>
          </w:p>
        </w:tc>
      </w:tr>
    </w:tbl>
    <w:p/>
    <w:p>
      <w:pPr>
        <w:spacing w:before="200" w:after="80"/>
      </w:pPr>
      <w:r>
        <w:rPr>
          <w:b/>
          <w:color w:val="0E2A47"/>
          <w:sz w:val="26"/>
        </w:rPr>
        <w:t>Legal Notice</w:t>
      </w:r>
    </w:p>
    <w:p>
      <w:pPr>
        <w:spacing w:after="120" w:line="300" w:lineRule="auto"/>
      </w:pPr>
      <w:r>
        <w:rPr>
          <w:b w:val="0"/>
          <w:i/>
          <w:color w:val="555E6B"/>
          <w:sz w:val="19"/>
        </w:rPr>
        <w:t>VPAT® is a registered service mark of the Information Technology Industry Council (ITI). The Voluntary Product Accessibility Template® and VPAT® are service marks of ITI used here under permission. This document was prepared using the VPAT® Version 2.5 Rev WCAG template format.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