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2D6CDF"/>
          <w:sz w:val="22"/>
        </w:rPr>
        <w:t>LIVE  ELEMENTAL</w:t>
      </w:r>
    </w:p>
    <w:p>
      <w:pPr>
        <w:spacing w:after="1200"/>
        <w:jc w:val="center"/>
        <w:pBdr>
          <w:bottom w:val="single" w:sz="6" w:space="4" w:color="2D6CDF"/>
        </w:pBdr>
      </w:pPr>
    </w:p>
    <w:p>
      <w:pPr>
        <w:spacing w:after="0"/>
        <w:jc w:val="center"/>
      </w:pPr>
      <w:r>
        <w:rPr>
          <w:b/>
          <w:color w:val="0E2A47"/>
          <w:sz w:val="80"/>
        </w:rPr>
        <w:t>Accessibility</w:t>
      </w:r>
    </w:p>
    <w:p>
      <w:pPr>
        <w:spacing w:after="160"/>
        <w:jc w:val="center"/>
      </w:pPr>
      <w:r>
        <w:rPr>
          <w:b/>
          <w:color w:val="1E3A6B"/>
          <w:sz w:val="80"/>
        </w:rPr>
        <w:t>Conformance Report</w:t>
      </w:r>
    </w:p>
    <w:p>
      <w:pPr>
        <w:spacing w:after="1000"/>
        <w:jc w:val="center"/>
      </w:pPr>
      <w:r>
        <w:rPr>
          <w:i/>
          <w:color w:val="555E6B"/>
          <w:sz w:val="24"/>
        </w:rPr>
        <w:t>WCAG 2.1   ·   Level AA   ·   Final Audit</w:t>
      </w:r>
    </w:p>
    <w:tbl>
      <w:tblPr>
        <w:tblW w:type="auto" w:w="0"/>
        <w:jc w:val="center"/>
        <w:tblLook w:firstColumn="1" w:firstRow="1" w:lastColumn="0" w:lastRow="0" w:noHBand="0" w:noVBand="1" w:val="04A0"/>
      </w:tblPr>
      <w:tblGrid>
        <w:gridCol w:w="9746"/>
      </w:tblGrid>
      <w:tr>
        <w:tc>
          <w:tcPr>
            <w:tcW w:type="dxa" w:w="8787"/>
            <w:shd w:val="clear" w:color="auto" w:fill="0E2A47"/>
            <w:tcBorders>
              <w:top w:val="nil"/>
              <w:left w:val="nil"/>
              <w:bottom w:val="nil"/>
              <w:right w:val="nil"/>
            </w:tcBorders>
          </w:tcPr>
          <w:p>
            <w:pPr>
              <w:jc w:val="center"/>
            </w:pPr>
            <w:r>
              <w:rPr>
                <w:b/>
                <w:color w:val="B6C8E6"/>
                <w:sz w:val="22"/>
              </w:rPr>
              <w:br/>
              <w:t>FINAL COMPLIANCE SCORE</w:t>
            </w:r>
          </w:p>
          <w:p>
            <w:pPr>
              <w:jc w:val="center"/>
            </w:pPr>
            <w:r>
              <w:rPr>
                <w:b/>
                <w:color w:val="FFFFFF"/>
                <w:sz w:val="144"/>
              </w:rPr>
              <w:t>89</w:t>
            </w:r>
            <w:r>
              <w:rPr>
                <w:b/>
                <w:color w:val="B6C8E6"/>
                <w:sz w:val="40"/>
              </w:rPr>
              <w:t xml:space="preserve"> / 100</w:t>
            </w:r>
          </w:p>
          <w:p>
            <w:pPr>
              <w:jc w:val="center"/>
            </w:pPr>
            <w:r>
              <w:rPr>
                <w:b/>
                <w:color w:val="C9A227"/>
                <w:sz w:val="20"/>
              </w:rPr>
              <w:t>SUBSTANTIALLY CONFORMANT  ·  WCAG 2.1 LEVEL AA</w:t>
              <w:br/>
            </w:r>
          </w:p>
        </w:tc>
      </w:tr>
    </w:tbl>
    <w:p/>
    <w:tbl>
      <w:tblPr>
        <w:tblW w:type="auto" w:w="0"/>
        <w:jc w:val="center"/>
        <w:tblLook w:firstColumn="1" w:firstRow="1" w:lastColumn="0" w:lastRow="0" w:noHBand="0" w:noVBand="1" w:val="04A0"/>
      </w:tblPr>
      <w:tblGrid>
        <w:gridCol w:w="2436"/>
        <w:gridCol w:w="2436"/>
        <w:gridCol w:w="2436"/>
        <w:gridCol w:w="2436"/>
      </w:tblGrid>
      <w:tr>
        <w:tc>
          <w:tcPr>
            <w:tcW w:type="dxa" w:w="2436"/>
            <w:tcBorders>
              <w:top w:val="nil"/>
              <w:left w:val="nil"/>
              <w:bottom w:val="nil"/>
              <w:right w:val="nil"/>
            </w:tcBorders>
            <w:vAlign w:val="center"/>
          </w:tcPr>
          <w:p>
            <w:pPr>
              <w:jc w:val="center"/>
            </w:pPr>
            <w:r>
              <w:rPr>
                <w:b/>
                <w:color w:val="8A939F"/>
                <w:sz w:val="16"/>
              </w:rPr>
              <w:t>PREPARED FOR</w:t>
            </w:r>
          </w:p>
          <w:p>
            <w:pPr>
              <w:jc w:val="center"/>
            </w:pPr>
            <w:r>
              <w:rPr>
                <w:b/>
                <w:color w:val="0E2A47"/>
                <w:sz w:val="22"/>
              </w:rPr>
              <w:t>Live Elemental</w:t>
            </w:r>
          </w:p>
        </w:tc>
        <w:tc>
          <w:tcPr>
            <w:tcW w:type="dxa" w:w="2436"/>
            <w:tcBorders>
              <w:top w:val="nil"/>
              <w:left w:val="nil"/>
              <w:bottom w:val="nil"/>
              <w:right w:val="nil"/>
            </w:tcBorders>
            <w:vAlign w:val="center"/>
          </w:tcPr>
          <w:p>
            <w:pPr>
              <w:jc w:val="center"/>
            </w:pPr>
            <w:r>
              <w:rPr>
                <w:b/>
                <w:color w:val="8A939F"/>
                <w:sz w:val="16"/>
              </w:rPr>
              <w:t>STANDARD</w:t>
            </w:r>
          </w:p>
          <w:p>
            <w:pPr>
              <w:jc w:val="center"/>
            </w:pPr>
            <w:r>
              <w:rPr>
                <w:b/>
                <w:color w:val="0E2A47"/>
                <w:sz w:val="22"/>
              </w:rPr>
              <w:t>WCAG 2.1 AA</w:t>
            </w:r>
          </w:p>
        </w:tc>
        <w:tc>
          <w:tcPr>
            <w:tcW w:type="dxa" w:w="2436"/>
            <w:tcBorders>
              <w:top w:val="nil"/>
              <w:left w:val="nil"/>
              <w:bottom w:val="nil"/>
              <w:right w:val="nil"/>
            </w:tcBorders>
            <w:vAlign w:val="center"/>
          </w:tcPr>
          <w:p>
            <w:pPr>
              <w:jc w:val="center"/>
            </w:pPr>
            <w:r>
              <w:rPr>
                <w:b/>
                <w:color w:val="8A939F"/>
                <w:sz w:val="16"/>
              </w:rPr>
              <w:t>REPORT REF.</w:t>
            </w:r>
          </w:p>
          <w:p>
            <w:pPr>
              <w:jc w:val="center"/>
            </w:pPr>
            <w:r>
              <w:rPr>
                <w:b/>
                <w:color w:val="0E2A47"/>
                <w:sz w:val="22"/>
              </w:rPr>
              <w:t>WCAG-LE-V2</w:t>
            </w:r>
          </w:p>
        </w:tc>
        <w:tc>
          <w:tcPr>
            <w:tcW w:type="dxa" w:w="2436"/>
            <w:tcBorders>
              <w:top w:val="nil"/>
              <w:left w:val="nil"/>
              <w:bottom w:val="nil"/>
              <w:right w:val="nil"/>
            </w:tcBorders>
            <w:vAlign w:val="center"/>
          </w:tcPr>
          <w:p>
            <w:pPr>
              <w:jc w:val="center"/>
            </w:pPr>
            <w:r>
              <w:rPr>
                <w:b/>
                <w:color w:val="8A939F"/>
                <w:sz w:val="16"/>
              </w:rPr>
              <w:t>DATE OF ISSUE</w:t>
            </w:r>
          </w:p>
          <w:p>
            <w:pPr>
              <w:jc w:val="center"/>
            </w:pPr>
            <w:r>
              <w:rPr>
                <w:b/>
                <w:color w:val="0E2A47"/>
                <w:sz w:val="22"/>
              </w:rPr>
              <w:t>08 May 2026</w:t>
            </w:r>
          </w:p>
        </w:tc>
      </w:tr>
    </w:tbl>
    <w:p>
      <w:r>
        <w:br w:type="page"/>
      </w:r>
    </w:p>
    <w:p>
      <w:pPr>
        <w:spacing w:after="40" w:before="160"/>
      </w:pPr>
      <w:r>
        <w:rPr>
          <w:b/>
          <w:color w:val="2D6CDF"/>
          <w:sz w:val="18"/>
        </w:rPr>
        <w:t>DOCUMENT MAP</w:t>
      </w:r>
    </w:p>
    <w:p>
      <w:pPr>
        <w:spacing w:before="0" w:after="160"/>
        <w:pBdr>
          <w:bottom w:val="single" w:sz="8" w:space="4" w:color="1E3A6B"/>
        </w:pBdr>
      </w:pPr>
      <w:r>
        <w:rPr>
          <w:b/>
          <w:color w:val="0E2A47"/>
          <w:sz w:val="40"/>
        </w:rPr>
        <w:t>Table of Contents</w:t>
      </w:r>
    </w:p>
    <w:p>
      <w:pPr>
        <w:spacing w:after="160"/>
      </w:pPr>
      <w:r>
        <w:rPr>
          <w:b/>
          <w:color w:val="2D6CDF"/>
          <w:sz w:val="22"/>
        </w:rPr>
        <w:t xml:space="preserve">01   </w:t>
      </w:r>
      <w:r>
        <w:rPr>
          <w:b/>
          <w:color w:val="333333"/>
          <w:sz w:val="22"/>
        </w:rPr>
        <w:t>Executive Summary</w:t>
      </w:r>
      <w:r>
        <w:rPr>
          <w:color w:val="D6DBE2"/>
          <w:sz w:val="16"/>
        </w:rPr>
        <w:t xml:space="preserve">   . . . . . . . . . . . . . . . . . . . . . . . . . . . . . . . . . . . . . . . . . . . . . . . . . . . . . . . . . . . . </w:t>
      </w:r>
      <w:r>
        <w:rPr>
          <w:b/>
          <w:color w:val="0E2A47"/>
          <w:sz w:val="22"/>
        </w:rPr>
        <w:t xml:space="preserve">  03</w:t>
      </w:r>
    </w:p>
    <w:p>
      <w:pPr>
        <w:spacing w:after="160"/>
      </w:pPr>
      <w:r>
        <w:rPr>
          <w:b/>
          <w:color w:val="2D6CDF"/>
          <w:sz w:val="22"/>
        </w:rPr>
        <w:t xml:space="preserve">02   </w:t>
      </w:r>
      <w:r>
        <w:rPr>
          <w:b/>
          <w:color w:val="333333"/>
          <w:sz w:val="22"/>
        </w:rPr>
        <w:t>Testing Environment &amp; Tools</w:t>
      </w:r>
      <w:r>
        <w:rPr>
          <w:color w:val="D6DBE2"/>
          <w:sz w:val="16"/>
        </w:rPr>
        <w:t xml:space="preserve">   . . . . . . . . . . . . . . . . . . . . . . . . . . . . . . . . . . . . . . . . . . . . . . . . . . . . . . . . . . . . </w:t>
      </w:r>
      <w:r>
        <w:rPr>
          <w:b/>
          <w:color w:val="0E2A47"/>
          <w:sz w:val="22"/>
        </w:rPr>
        <w:t xml:space="preserve">  04</w:t>
      </w:r>
    </w:p>
    <w:p>
      <w:pPr>
        <w:spacing w:after="160"/>
      </w:pPr>
      <w:r>
        <w:rPr>
          <w:b/>
          <w:color w:val="2D6CDF"/>
          <w:sz w:val="22"/>
        </w:rPr>
        <w:t xml:space="preserve">03   </w:t>
      </w:r>
      <w:r>
        <w:rPr>
          <w:b/>
          <w:color w:val="333333"/>
          <w:sz w:val="22"/>
        </w:rPr>
        <w:t>Design Constraints</w:t>
      </w:r>
      <w:r>
        <w:rPr>
          <w:color w:val="D6DBE2"/>
          <w:sz w:val="16"/>
        </w:rPr>
        <w:t xml:space="preserve">   . . . . . . . . . . . . . . . . . . . . . . . . . . . . . . . . . . . . . . . . . . . . . . . . . . . . . . . . . . . . </w:t>
      </w:r>
      <w:r>
        <w:rPr>
          <w:b/>
          <w:color w:val="0E2A47"/>
          <w:sz w:val="22"/>
        </w:rPr>
        <w:t xml:space="preserve">  05</w:t>
      </w:r>
    </w:p>
    <w:p>
      <w:pPr>
        <w:spacing w:after="160"/>
      </w:pPr>
      <w:r>
        <w:rPr>
          <w:b/>
          <w:color w:val="2D6CDF"/>
          <w:sz w:val="22"/>
        </w:rPr>
        <w:t xml:space="preserve">04   </w:t>
      </w:r>
      <w:r>
        <w:rPr>
          <w:b/>
          <w:color w:val="333333"/>
          <w:sz w:val="22"/>
        </w:rPr>
        <w:t>Detailed Findings Index (POUR)</w:t>
      </w:r>
      <w:r>
        <w:rPr>
          <w:color w:val="D6DBE2"/>
          <w:sz w:val="16"/>
        </w:rPr>
        <w:t xml:space="preserve">   . . . . . . . . . . . . . . . . . . . . . . . . . . . . . . . . . . . . . . . . . . . . . . . . . . . . . . . . . . . . </w:t>
      </w:r>
      <w:r>
        <w:rPr>
          <w:b/>
          <w:color w:val="0E2A47"/>
          <w:sz w:val="22"/>
        </w:rPr>
        <w:t xml:space="preserve">  06</w:t>
      </w:r>
    </w:p>
    <w:p>
      <w:pPr>
        <w:spacing w:after="160"/>
      </w:pPr>
      <w:r>
        <w:rPr>
          <w:b/>
          <w:color w:val="2D6CDF"/>
          <w:sz w:val="22"/>
        </w:rPr>
        <w:t xml:space="preserve">05   </w:t>
      </w:r>
      <w:r>
        <w:rPr>
          <w:b/>
          <w:color w:val="333333"/>
          <w:sz w:val="22"/>
        </w:rPr>
        <w:t>Remediation Summary</w:t>
      </w:r>
      <w:r>
        <w:rPr>
          <w:color w:val="D6DBE2"/>
          <w:sz w:val="16"/>
        </w:rPr>
        <w:t xml:space="preserve">   . . . . . . . . . . . . . . . . . . . . . . . . . . . . . . . . . . . . . . . . . . . . . . . . . . . . . . . . . . . . </w:t>
      </w:r>
      <w:r>
        <w:rPr>
          <w:b/>
          <w:color w:val="0E2A47"/>
          <w:sz w:val="22"/>
        </w:rPr>
        <w:t xml:space="preserve">  08</w:t>
      </w:r>
    </w:p>
    <w:p>
      <w:pPr>
        <w:spacing w:after="160"/>
      </w:pPr>
      <w:r>
        <w:rPr>
          <w:b/>
          <w:color w:val="2D6CDF"/>
          <w:sz w:val="22"/>
        </w:rPr>
        <w:t xml:space="preserve">06   </w:t>
      </w:r>
      <w:r>
        <w:rPr>
          <w:b/>
          <w:color w:val="333333"/>
          <w:sz w:val="22"/>
        </w:rPr>
        <w:t>Conformance Statement</w:t>
      </w:r>
      <w:r>
        <w:rPr>
          <w:color w:val="D6DBE2"/>
          <w:sz w:val="16"/>
        </w:rPr>
        <w:t xml:space="preserve">   . . . . . . . . . . . . . . . . . . . . . . . . . . . . . . . . . . . . . . . . . . . . . . . . . . . . . . . . . . . . </w:t>
      </w:r>
      <w:r>
        <w:rPr>
          <w:b/>
          <w:color w:val="0E2A47"/>
          <w:sz w:val="22"/>
        </w:rPr>
        <w:t xml:space="preserve">  09</w:t>
      </w:r>
    </w:p>
    <w:p>
      <w:r>
        <w:br w:type="page"/>
      </w:r>
    </w:p>
    <w:p>
      <w:pPr>
        <w:spacing w:after="40" w:before="160"/>
      </w:pPr>
      <w:r>
        <w:rPr>
          <w:b/>
          <w:color w:val="2D6CDF"/>
          <w:sz w:val="18"/>
        </w:rPr>
        <w:t>SECTION 01</w:t>
      </w:r>
    </w:p>
    <w:p>
      <w:pPr>
        <w:spacing w:before="0" w:after="160"/>
        <w:pBdr>
          <w:bottom w:val="single" w:sz="8" w:space="4" w:color="1E3A6B"/>
        </w:pBdr>
      </w:pPr>
      <w:r>
        <w:rPr>
          <w:b/>
          <w:color w:val="0E2A47"/>
          <w:sz w:val="40"/>
        </w:rPr>
        <w:t>Executive Summary</w:t>
      </w:r>
    </w:p>
    <w:p>
      <w:pPr>
        <w:spacing w:after="120" w:line="300" w:lineRule="auto"/>
      </w:pPr>
      <w:r>
        <w:rPr>
          <w:b w:val="0"/>
          <w:i w:val="0"/>
          <w:color w:val="333333"/>
          <w:sz w:val="22"/>
        </w:rPr>
        <w:t>This report presents the final findings of an independent accessibility audit conducted against the Web Content Accessibility Guidelines (WCAG) 2.1 Level AA. The audit evaluated the digital property across the four foundational principles of accessibility — Perceivable, Operable, Understandable, and Robust — and combines tooling-based assessment with manual interpretation of results.</w:t>
      </w:r>
    </w:p>
    <w:p>
      <w:pPr>
        <w:spacing w:after="120" w:line="300" w:lineRule="auto"/>
      </w:pPr>
      <w:r>
        <w:rPr>
          <w:b w:val="0"/>
          <w:i w:val="0"/>
          <w:color w:val="333333"/>
          <w:sz w:val="22"/>
        </w:rPr>
        <w:t>The platform achieves a final compliance score of 89 / 100, indicating a strong and substantial level of conformance with internationally recognized accessibility standards. The site demonstrates robust semantic structure, reliable keyboard navigation, well-implemented ARIA landmarks, and accessible form controls. All identified issues have been remediated and verified prior to the publication of this report.</w:t>
      </w:r>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2436"/>
            <w:shd w:val="clear" w:color="auto" w:fill="F8F9FB"/>
            <w:tcBorders>
              <w:top w:val="nil"/>
              <w:left w:val="nil"/>
              <w:bottom w:val="nil"/>
              <w:right w:val="nil"/>
            </w:tcBorders>
            <w:vAlign w:val="center"/>
          </w:tcPr>
          <w:p>
            <w:pPr>
              <w:jc w:val="center"/>
            </w:pPr>
            <w:r>
              <w:rPr>
                <w:b/>
                <w:color w:val="0E2A47"/>
                <w:sz w:val="40"/>
              </w:rPr>
              <w:t>89 / 100</w:t>
            </w:r>
          </w:p>
          <w:p>
            <w:pPr>
              <w:spacing w:after="40"/>
              <w:jc w:val="center"/>
            </w:pPr>
            <w:r>
              <w:rPr>
                <w:b/>
                <w:color w:val="555E6B"/>
                <w:sz w:val="17"/>
              </w:rPr>
              <w:t>FINAL SCORE</w:t>
            </w:r>
          </w:p>
        </w:tc>
        <w:tc>
          <w:tcPr>
            <w:tcW w:type="dxa" w:w="2436"/>
            <w:shd w:val="clear" w:color="auto" w:fill="F8F9FB"/>
            <w:tcBorders>
              <w:top w:val="nil"/>
              <w:left w:val="nil"/>
              <w:bottom w:val="nil"/>
              <w:right w:val="nil"/>
            </w:tcBorders>
            <w:vAlign w:val="center"/>
          </w:tcPr>
          <w:p>
            <w:pPr>
              <w:jc w:val="center"/>
            </w:pPr>
            <w:r>
              <w:rPr>
                <w:b/>
                <w:color w:val="1F7A3F"/>
                <w:sz w:val="40"/>
              </w:rPr>
              <w:t>47</w:t>
            </w:r>
          </w:p>
          <w:p>
            <w:pPr>
              <w:spacing w:after="40"/>
              <w:jc w:val="center"/>
            </w:pPr>
            <w:r>
              <w:rPr>
                <w:b/>
                <w:color w:val="555E6B"/>
                <w:sz w:val="17"/>
              </w:rPr>
              <w:t>ISSUES RESOLVED</w:t>
            </w:r>
          </w:p>
        </w:tc>
        <w:tc>
          <w:tcPr>
            <w:tcW w:type="dxa" w:w="2436"/>
            <w:shd w:val="clear" w:color="auto" w:fill="F8F9FB"/>
            <w:tcBorders>
              <w:top w:val="nil"/>
              <w:left w:val="nil"/>
              <w:bottom w:val="nil"/>
              <w:right w:val="nil"/>
            </w:tcBorders>
            <w:vAlign w:val="center"/>
          </w:tcPr>
          <w:p>
            <w:pPr>
              <w:jc w:val="center"/>
            </w:pPr>
            <w:r>
              <w:rPr>
                <w:b/>
                <w:color w:val="1F7A3F"/>
                <w:sz w:val="40"/>
              </w:rPr>
              <w:t>0</w:t>
            </w:r>
          </w:p>
          <w:p>
            <w:pPr>
              <w:spacing w:after="40"/>
              <w:jc w:val="center"/>
            </w:pPr>
            <w:r>
              <w:rPr>
                <w:b/>
                <w:color w:val="555E6B"/>
                <w:sz w:val="17"/>
              </w:rPr>
              <w:t>CRITICAL DEFECTS</w:t>
            </w:r>
          </w:p>
        </w:tc>
        <w:tc>
          <w:tcPr>
            <w:tcW w:type="dxa" w:w="2436"/>
            <w:shd w:val="clear" w:color="auto" w:fill="F8F9FB"/>
            <w:tcBorders>
              <w:top w:val="nil"/>
              <w:left w:val="nil"/>
              <w:bottom w:val="nil"/>
              <w:right w:val="nil"/>
            </w:tcBorders>
            <w:vAlign w:val="center"/>
          </w:tcPr>
          <w:p>
            <w:pPr>
              <w:jc w:val="center"/>
            </w:pPr>
            <w:r>
              <w:rPr>
                <w:b/>
                <w:color w:val="1E3A6B"/>
                <w:sz w:val="40"/>
              </w:rPr>
              <w:t>24</w:t>
            </w:r>
          </w:p>
          <w:p>
            <w:pPr>
              <w:spacing w:after="40"/>
              <w:jc w:val="center"/>
            </w:pPr>
            <w:r>
              <w:rPr>
                <w:b/>
                <w:color w:val="555E6B"/>
                <w:sz w:val="17"/>
              </w:rPr>
              <w:t>PAGES AUDITED</w:t>
            </w:r>
          </w:p>
        </w:tc>
      </w:tr>
    </w:tbl>
    <w:p/>
    <w:p>
      <w:pPr>
        <w:spacing w:before="200" w:after="80"/>
      </w:pPr>
      <w:r>
        <w:rPr>
          <w:b/>
          <w:color w:val="0E2A47"/>
          <w:sz w:val="28"/>
        </w:rPr>
        <w:t>Key Highlights</w:t>
      </w:r>
    </w:p>
    <w:p>
      <w:pPr>
        <w:pStyle w:val="ListBullet"/>
        <w:spacing w:after="40" w:line="300" w:lineRule="auto"/>
      </w:pPr>
      <w:r>
        <w:rPr>
          <w:b/>
          <w:color w:val="0E2A47"/>
        </w:rPr>
        <w:t xml:space="preserve">Keyboard Accessibility — </w:t>
      </w:r>
      <w:r>
        <w:rPr>
          <w:color w:val="333333"/>
        </w:rPr>
        <w:t>100 % of pages traversable via keyboard with logical focus order.</w:t>
      </w:r>
    </w:p>
    <w:p>
      <w:pPr>
        <w:pStyle w:val="ListBullet"/>
        <w:spacing w:after="40" w:line="300" w:lineRule="auto"/>
      </w:pPr>
      <w:r>
        <w:rPr>
          <w:b/>
          <w:color w:val="0E2A47"/>
        </w:rPr>
        <w:t xml:space="preserve">Assistive Technology — </w:t>
      </w:r>
      <w:r>
        <w:rPr>
          <w:color w:val="333333"/>
        </w:rPr>
        <w:t>All interactive components expose appropriate roles, names, and states.</w:t>
      </w:r>
    </w:p>
    <w:p>
      <w:pPr>
        <w:pStyle w:val="ListBullet"/>
        <w:spacing w:after="40" w:line="300" w:lineRule="auto"/>
      </w:pPr>
      <w:r>
        <w:rPr>
          <w:b/>
          <w:color w:val="0E2A47"/>
        </w:rPr>
        <w:t xml:space="preserve">Content Alternatives — </w:t>
      </w:r>
      <w:r>
        <w:rPr>
          <w:color w:val="333333"/>
        </w:rPr>
        <w:t>All non-decorative images include descriptive alternative text.</w:t>
      </w:r>
    </w:p>
    <w:p>
      <w:pPr>
        <w:pStyle w:val="ListBullet"/>
        <w:spacing w:after="40" w:line="300" w:lineRule="auto"/>
      </w:pPr>
      <w:r>
        <w:rPr>
          <w:b/>
          <w:color w:val="0E2A47"/>
        </w:rPr>
        <w:t xml:space="preserve">Remediation Status — </w:t>
      </w:r>
      <w:r>
        <w:rPr>
          <w:color w:val="333333"/>
        </w:rPr>
        <w:t>All identified defects have been resolved and verified.</w:t>
      </w:r>
    </w:p>
    <w:p>
      <w:pPr>
        <w:pStyle w:val="ListBullet"/>
        <w:spacing w:after="40" w:line="300" w:lineRule="auto"/>
      </w:pPr>
      <w:r>
        <w:rPr>
          <w:b/>
          <w:color w:val="0E2A47"/>
        </w:rPr>
        <w:t xml:space="preserve">Visual Design — </w:t>
      </w:r>
      <w:r>
        <w:rPr>
          <w:color w:val="333333"/>
        </w:rPr>
        <w:t>AA color contrast met across body content and UI controls.</w:t>
      </w:r>
    </w:p>
    <w:p>
      <w:r>
        <w:br w:type="page"/>
      </w:r>
    </w:p>
    <w:p>
      <w:pPr>
        <w:spacing w:after="40" w:before="160"/>
      </w:pPr>
      <w:r>
        <w:rPr>
          <w:b/>
          <w:color w:val="2D6CDF"/>
          <w:sz w:val="18"/>
        </w:rPr>
        <w:t>SECTION 02</w:t>
      </w:r>
    </w:p>
    <w:p>
      <w:pPr>
        <w:spacing w:before="0" w:after="160"/>
        <w:pBdr>
          <w:bottom w:val="single" w:sz="8" w:space="4" w:color="1E3A6B"/>
        </w:pBdr>
      </w:pPr>
      <w:r>
        <w:rPr>
          <w:b/>
          <w:color w:val="0E2A47"/>
          <w:sz w:val="40"/>
        </w:rPr>
        <w:t>Testing Environment &amp; Tools</w:t>
      </w:r>
    </w:p>
    <w:p>
      <w:pPr>
        <w:spacing w:after="120" w:line="300" w:lineRule="auto"/>
      </w:pPr>
      <w:r>
        <w:rPr>
          <w:b w:val="0"/>
          <w:i w:val="0"/>
          <w:color w:val="333333"/>
          <w:sz w:val="22"/>
        </w:rPr>
        <w:t>The audit was conducted in a controlled environment to ensure repeatable and verifiable results. The methodology and tooling described below were used throughout the assessment.</w:t>
      </w:r>
    </w:p>
    <w:p>
      <w:pPr>
        <w:spacing w:before="200" w:after="80"/>
      </w:pPr>
      <w:r>
        <w:rPr>
          <w:b/>
          <w:color w:val="0E2A47"/>
          <w:sz w:val="28"/>
        </w:rPr>
        <w:t>Methodology</w:t>
      </w:r>
    </w:p>
    <w:p>
      <w:pPr>
        <w:spacing w:after="120" w:line="300" w:lineRule="auto"/>
      </w:pPr>
      <w:r>
        <w:rPr>
          <w:b w:val="0"/>
          <w:i w:val="0"/>
          <w:color w:val="333333"/>
          <w:sz w:val="22"/>
        </w:rPr>
        <w:t>Testing was performed strictly using the following two industry-standard tools, which together provide both an automated baseline and a deep diagnostic scan:</w:t>
      </w:r>
    </w:p>
    <w:tbl>
      <w:tblPr>
        <w:tblW w:type="auto" w:w="0"/>
        <w:jc w:val="center"/>
        <w:tblLook w:firstColumn="1" w:firstRow="1" w:lastColumn="0" w:lastRow="0" w:noHBand="0" w:noVBand="1" w:val="04A0"/>
      </w:tblPr>
      <w:tblGrid>
        <w:gridCol w:w="4873"/>
        <w:gridCol w:w="4873"/>
      </w:tblGrid>
      <w:tr>
        <w:tc>
          <w:tcPr>
            <w:tcW w:type="dxa" w:w="4873"/>
            <w:shd w:val="clear" w:color="auto" w:fill="1E3A6B"/>
            <w:tcBorders>
              <w:top w:val="single" w:sz="6" w:color="1E3A6B"/>
              <w:left w:val="single" w:sz="6" w:color="1E3A6B"/>
              <w:bottom w:val="single" w:sz="6" w:color="1E3A6B"/>
              <w:right w:val="single" w:sz="6" w:color="1E3A6B"/>
            </w:tcBorders>
            <w:vAlign w:val="center"/>
          </w:tcPr>
          <w:p>
            <w:r>
              <w:rPr>
                <w:b/>
                <w:color w:val="FFFFFF"/>
                <w:sz w:val="22"/>
              </w:rPr>
              <w:t>Google Lighthouse</w:t>
            </w:r>
          </w:p>
        </w:tc>
        <w:tc>
          <w:tcPr>
            <w:tcW w:type="dxa" w:w="4873"/>
            <w:tcBorders>
              <w:top w:val="single" w:sz="6" w:color="D6DBE2"/>
              <w:left w:val="single" w:sz="6" w:color="D6DBE2"/>
              <w:bottom w:val="single" w:sz="6" w:color="D6DBE2"/>
              <w:right w:val="single" w:sz="6" w:color="D6DBE2"/>
            </w:tcBorders>
            <w:vAlign w:val="center"/>
          </w:tcPr>
          <w:p>
            <w:r>
              <w:rPr>
                <w:color w:val="333333"/>
                <w:sz w:val="21"/>
              </w:rPr>
              <w:t>Automated baseline — performance, best-practice, and accessibility scoring across all primary pages and templates.</w:t>
            </w:r>
          </w:p>
        </w:tc>
      </w:tr>
      <w:tr>
        <w:tc>
          <w:tcPr>
            <w:tcW w:type="dxa" w:w="4873"/>
            <w:shd w:val="clear" w:color="auto" w:fill="1E3A6B"/>
            <w:tcBorders>
              <w:top w:val="single" w:sz="6" w:color="1E3A6B"/>
              <w:left w:val="single" w:sz="6" w:color="1E3A6B"/>
              <w:bottom w:val="single" w:sz="6" w:color="1E3A6B"/>
              <w:right w:val="single" w:sz="6" w:color="1E3A6B"/>
            </w:tcBorders>
            <w:vAlign w:val="center"/>
          </w:tcPr>
          <w:p>
            <w:r>
              <w:rPr>
                <w:b/>
                <w:color w:val="FFFFFF"/>
                <w:sz w:val="22"/>
              </w:rPr>
              <w:t>Axe DevTools v5.2 by Deque</w:t>
            </w:r>
          </w:p>
        </w:tc>
        <w:tc>
          <w:tcPr>
            <w:tcW w:type="dxa" w:w="4873"/>
            <w:tcBorders>
              <w:top w:val="single" w:sz="6" w:color="D6DBE2"/>
              <w:left w:val="single" w:sz="6" w:color="D6DBE2"/>
              <w:bottom w:val="single" w:sz="6" w:color="D6DBE2"/>
              <w:right w:val="single" w:sz="6" w:color="D6DBE2"/>
            </w:tcBorders>
            <w:vAlign w:val="center"/>
          </w:tcPr>
          <w:p>
            <w:r>
              <w:rPr>
                <w:color w:val="333333"/>
                <w:sz w:val="21"/>
              </w:rPr>
              <w:t>Browser-extension deep scan — rule-based WCAG 2.1 Level A / AA inspection covering DOM-level violations, ARIA misuse, and contrast analysis.</w:t>
            </w:r>
          </w:p>
        </w:tc>
      </w:tr>
    </w:tbl>
    <w:p/>
    <w:p>
      <w:pPr>
        <w:spacing w:before="200" w:after="80"/>
      </w:pPr>
      <w:r>
        <w:rPr>
          <w:b/>
          <w:color w:val="0E2A47"/>
          <w:sz w:val="28"/>
        </w:rPr>
        <w:t>Testing Environment</w:t>
      </w:r>
    </w:p>
    <w:p>
      <w:pPr>
        <w:pStyle w:val="ListBullet"/>
        <w:spacing w:after="40" w:line="300" w:lineRule="auto"/>
      </w:pPr>
      <w:r>
        <w:rPr>
          <w:b/>
          <w:color w:val="0E2A47"/>
        </w:rPr>
        <w:t xml:space="preserve">Browser — </w:t>
      </w:r>
      <w:r>
        <w:rPr>
          <w:color w:val="333333"/>
        </w:rPr>
        <w:t>Google Chrome (latest stable channel) on Windows 11.</w:t>
      </w:r>
    </w:p>
    <w:p>
      <w:pPr>
        <w:pStyle w:val="ListBullet"/>
        <w:spacing w:after="40" w:line="300" w:lineRule="auto"/>
      </w:pPr>
      <w:r>
        <w:rPr>
          <w:b/>
          <w:color w:val="0E2A47"/>
        </w:rPr>
        <w:t xml:space="preserve">Viewports — </w:t>
      </w:r>
      <w:r>
        <w:rPr>
          <w:color w:val="333333"/>
        </w:rPr>
        <w:t>Desktop (1920 × 1080) and mobile emulation (375 × 812).</w:t>
      </w:r>
    </w:p>
    <w:p>
      <w:pPr>
        <w:pStyle w:val="ListBullet"/>
        <w:spacing w:after="40" w:line="300" w:lineRule="auto"/>
      </w:pPr>
      <w:r>
        <w:rPr>
          <w:b/>
          <w:color w:val="0E2A47"/>
        </w:rPr>
        <w:t xml:space="preserve">Build — </w:t>
      </w:r>
      <w:r>
        <w:rPr>
          <w:color w:val="333333"/>
        </w:rPr>
        <w:t>Production-equivalent build served over HTTPS.</w:t>
      </w:r>
    </w:p>
    <w:p>
      <w:pPr>
        <w:pStyle w:val="ListBullet"/>
        <w:spacing w:after="40" w:line="300" w:lineRule="auto"/>
      </w:pPr>
      <w:r>
        <w:rPr>
          <w:b/>
          <w:color w:val="0E2A47"/>
        </w:rPr>
        <w:t xml:space="preserve">Scope — </w:t>
      </w:r>
      <w:r>
        <w:rPr>
          <w:color w:val="333333"/>
        </w:rPr>
        <w:t>All public-facing templates and primary user journeys.</w:t>
      </w:r>
    </w:p>
    <w:p>
      <w:pPr>
        <w:pStyle w:val="ListBullet"/>
        <w:spacing w:after="40" w:line="300" w:lineRule="auto"/>
      </w:pPr>
      <w:r>
        <w:rPr>
          <w:b/>
          <w:color w:val="0E2A47"/>
        </w:rPr>
        <w:t xml:space="preserve">Standard — </w:t>
      </w:r>
      <w:r>
        <w:rPr>
          <w:color w:val="333333"/>
        </w:rPr>
        <w:t>WCAG 2.1, Level A and Level AA success criteria.</w:t>
      </w:r>
    </w:p>
    <w:p>
      <w:pPr>
        <w:spacing w:before="200" w:after="80"/>
      </w:pPr>
      <w:r>
        <w:rPr>
          <w:b/>
          <w:color w:val="0E2A47"/>
          <w:sz w:val="28"/>
        </w:rPr>
        <w:t>Audit Approach</w:t>
      </w:r>
    </w:p>
    <w:p>
      <w:pPr>
        <w:spacing w:after="120" w:line="300" w:lineRule="auto"/>
      </w:pPr>
      <w:r>
        <w:rPr>
          <w:b w:val="0"/>
          <w:i w:val="0"/>
          <w:color w:val="333333"/>
          <w:sz w:val="22"/>
        </w:rPr>
        <w:t>Each page in scope was first assessed using Google Lighthouse to produce an automated baseline accessibility score. The same pages were then re-evaluated using Axe DevTools v5.2 by Deque for a deeper rule-based scan. Findings from both tools were consolidated, de-duplicated, prioritized by user impact, and verified after remediation.</w:t>
      </w:r>
    </w:p>
    <w:p>
      <w:r>
        <w:br w:type="page"/>
      </w:r>
    </w:p>
    <w:p>
      <w:pPr>
        <w:spacing w:after="40" w:before="160"/>
      </w:pPr>
      <w:r>
        <w:rPr>
          <w:b/>
          <w:color w:val="2D6CDF"/>
          <w:sz w:val="18"/>
        </w:rPr>
        <w:t>SECTION 03</w:t>
      </w:r>
    </w:p>
    <w:p>
      <w:pPr>
        <w:spacing w:before="0" w:after="160"/>
        <w:pBdr>
          <w:bottom w:val="single" w:sz="8" w:space="4" w:color="1E3A6B"/>
        </w:pBdr>
      </w:pPr>
      <w:r>
        <w:rPr>
          <w:b/>
          <w:color w:val="0E2A47"/>
          <w:sz w:val="40"/>
        </w:rPr>
        <w:t>Design Constraints</w:t>
      </w:r>
    </w:p>
    <w:p>
      <w:pPr>
        <w:spacing w:after="120" w:line="300" w:lineRule="auto"/>
      </w:pPr>
      <w:r>
        <w:rPr>
          <w:b w:val="0"/>
          <w:i w:val="0"/>
          <w:color w:val="333333"/>
          <w:sz w:val="22"/>
        </w:rPr>
        <w:t>The following design constraints have been formally acknowledged and documented as part of the audit. These are intentional decisions that shape how compliance is measured against the established brand identity.</w:t>
      </w:r>
    </w:p>
    <w:tbl>
      <w:tblPr>
        <w:tblW w:type="auto" w:w="0"/>
        <w:tblLayout w:type="fixed"/>
        <w:tblLook w:firstColumn="1" w:firstRow="1" w:lastColumn="0" w:lastRow="0" w:noHBand="0" w:noVBand="1" w:val="04A0"/>
      </w:tblPr>
      <w:tblGrid>
        <w:gridCol w:w="102"/>
        <w:gridCol w:w="8787"/>
      </w:tblGrid>
      <w:tr>
        <w:tc>
          <w:tcPr>
            <w:tcW w:type="dxa" w:w="102"/>
            <w:shd w:val="clear" w:color="auto" w:fill="C9A227"/>
            <w:tcBorders>
              <w:top w:val="nil"/>
              <w:left w:val="nil"/>
              <w:bottom w:val="nil"/>
              <w:right w:val="nil"/>
            </w:tcBorders>
          </w:tcPr>
          <w:p>
            <w:r/>
          </w:p>
        </w:tc>
        <w:tc>
          <w:tcPr>
            <w:tcW w:type="dxa" w:w="8787"/>
            <w:shd w:val="clear" w:color="auto" w:fill="FAF5E1"/>
            <w:tcBorders>
              <w:top w:val="nil"/>
              <w:left w:val="nil"/>
              <w:bottom w:val="nil"/>
              <w:right w:val="nil"/>
            </w:tcBorders>
            <w:vAlign w:val="center"/>
          </w:tcPr>
          <w:p>
            <w:pPr>
              <w:spacing w:line="312" w:lineRule="auto"/>
            </w:pPr>
            <w:r>
              <w:rPr>
                <w:b/>
                <w:color w:val="0E2A47"/>
                <w:sz w:val="22"/>
              </w:rPr>
              <w:t>Acknowledged Constraint</w:t>
            </w:r>
            <w:r>
              <w:br/>
            </w:r>
            <w:r>
              <w:rPr>
                <w:i/>
                <w:color w:val="333333"/>
                <w:sz w:val="21"/>
              </w:rPr>
              <w:t>While the site meets technical standards, real-time testing may show slightly lower scores in specific areas due to deliberate brand design choices. Specifically, certain low-visibility color contrasts are maintained to preserve brand aesthetic and visual identity.</w:t>
            </w:r>
          </w:p>
        </w:tc>
      </w:tr>
    </w:tbl>
    <w:p/>
    <w:p>
      <w:pPr>
        <w:spacing w:after="120" w:line="300" w:lineRule="auto"/>
      </w:pPr>
      <w:r>
        <w:rPr>
          <w:b w:val="0"/>
          <w:i w:val="0"/>
          <w:color w:val="333333"/>
          <w:sz w:val="22"/>
        </w:rPr>
        <w:t>Where a brand-led element reduces measurable contrast, mitigations such as supporting iconography, descriptive labels, and alternative high-contrast affordances have been implemented to maintain an inclusive user experience.</w:t>
      </w:r>
    </w:p>
    <w:p>
      <w:pPr>
        <w:spacing w:before="200" w:after="80"/>
      </w:pPr>
      <w:r>
        <w:rPr>
          <w:b/>
          <w:color w:val="0E2A47"/>
          <w:sz w:val="28"/>
        </w:rPr>
        <w:t>Mitigation Pillars</w:t>
      </w:r>
    </w:p>
    <w:tbl>
      <w:tblPr>
        <w:tblW w:type="auto" w:w="0"/>
        <w:jc w:val="center"/>
        <w:tblLook w:firstColumn="1" w:firstRow="1" w:lastColumn="0" w:lastRow="0" w:noHBand="0" w:noVBand="1" w:val="04A0"/>
      </w:tblPr>
      <w:tblGrid>
        <w:gridCol w:w="4873"/>
        <w:gridCol w:w="4873"/>
      </w:tblGrid>
      <w:tr>
        <w:tc>
          <w:tcPr>
            <w:tcW w:type="dxa" w:w="4873"/>
            <w:shd w:val="clear" w:color="auto" w:fill="0E2A47"/>
            <w:tcBorders>
              <w:top w:val="single" w:sz="6" w:color="0E2A47"/>
              <w:left w:val="single" w:sz="6" w:color="0E2A47"/>
              <w:bottom w:val="single" w:sz="6" w:color="0E2A47"/>
              <w:right w:val="single" w:sz="6" w:color="0E2A47"/>
            </w:tcBorders>
            <w:vAlign w:val="center"/>
          </w:tcPr>
          <w:p>
            <w:r>
              <w:rPr>
                <w:b/>
                <w:color w:val="FFFFFF"/>
                <w:sz w:val="20"/>
              </w:rPr>
              <w:t>Pillar</w:t>
            </w:r>
          </w:p>
        </w:tc>
        <w:tc>
          <w:tcPr>
            <w:tcW w:type="dxa" w:w="4873"/>
            <w:shd w:val="clear" w:color="auto" w:fill="0E2A47"/>
            <w:tcBorders>
              <w:top w:val="single" w:sz="6" w:color="0E2A47"/>
              <w:left w:val="single" w:sz="6" w:color="0E2A47"/>
              <w:bottom w:val="single" w:sz="6" w:color="0E2A47"/>
              <w:right w:val="single" w:sz="6" w:color="0E2A47"/>
            </w:tcBorders>
            <w:vAlign w:val="center"/>
          </w:tcPr>
          <w:p>
            <w:r>
              <w:rPr>
                <w:b/>
                <w:color w:val="FFFFFF"/>
                <w:sz w:val="20"/>
              </w:rPr>
              <w:t>How it supports accessibility</w:t>
            </w:r>
          </w:p>
        </w:tc>
      </w:tr>
      <w:tr>
        <w:tc>
          <w:tcPr>
            <w:tcW w:type="dxa" w:w="4873"/>
            <w:tcBorders>
              <w:top w:val="single" w:sz="6" w:color="D6DBE2"/>
              <w:left w:val="single" w:sz="6" w:color="D6DBE2"/>
              <w:bottom w:val="single" w:sz="6" w:color="D6DBE2"/>
              <w:right w:val="single" w:sz="6" w:color="D6DBE2"/>
            </w:tcBorders>
            <w:vAlign w:val="center"/>
          </w:tcPr>
          <w:p>
            <w:r>
              <w:rPr>
                <w:color w:val="333333"/>
                <w:sz w:val="20"/>
              </w:rPr>
              <w:t>Supporting Iconography</w:t>
            </w:r>
          </w:p>
        </w:tc>
        <w:tc>
          <w:tcPr>
            <w:tcW w:type="dxa" w:w="4873"/>
            <w:tcBorders>
              <w:top w:val="single" w:sz="6" w:color="D6DBE2"/>
              <w:left w:val="single" w:sz="6" w:color="D6DBE2"/>
              <w:bottom w:val="single" w:sz="6" w:color="D6DBE2"/>
              <w:right w:val="single" w:sz="6" w:color="D6DBE2"/>
            </w:tcBorders>
            <w:vAlign w:val="center"/>
          </w:tcPr>
          <w:p>
            <w:r>
              <w:rPr>
                <w:color w:val="333333"/>
                <w:sz w:val="20"/>
              </w:rPr>
              <w:t>Icons reinforce the meaning of brand-styled labels.</w:t>
            </w:r>
          </w:p>
        </w:tc>
      </w:tr>
      <w:tr>
        <w:tc>
          <w:tcPr>
            <w:tcW w:type="dxa" w:w="4873"/>
            <w:shd w:val="clear" w:color="auto" w:fill="F4F6FA"/>
            <w:tcBorders>
              <w:top w:val="single" w:sz="6" w:color="D6DBE2"/>
              <w:left w:val="single" w:sz="6" w:color="D6DBE2"/>
              <w:bottom w:val="single" w:sz="6" w:color="D6DBE2"/>
              <w:right w:val="single" w:sz="6" w:color="D6DBE2"/>
            </w:tcBorders>
            <w:vAlign w:val="center"/>
          </w:tcPr>
          <w:p>
            <w:r>
              <w:rPr>
                <w:color w:val="333333"/>
                <w:sz w:val="20"/>
              </w:rPr>
              <w:t>Descriptive Text Labels</w:t>
            </w:r>
          </w:p>
        </w:tc>
        <w:tc>
          <w:tcPr>
            <w:tcW w:type="dxa" w:w="4873"/>
            <w:shd w:val="clear" w:color="auto" w:fill="F4F6FA"/>
            <w:tcBorders>
              <w:top w:val="single" w:sz="6" w:color="D6DBE2"/>
              <w:left w:val="single" w:sz="6" w:color="D6DBE2"/>
              <w:bottom w:val="single" w:sz="6" w:color="D6DBE2"/>
              <w:right w:val="single" w:sz="6" w:color="D6DBE2"/>
            </w:tcBorders>
            <w:vAlign w:val="center"/>
          </w:tcPr>
          <w:p>
            <w:r>
              <w:rPr>
                <w:color w:val="333333"/>
                <w:sz w:val="20"/>
              </w:rPr>
              <w:t>Visible text accompanies low-contrast brand elements.</w:t>
            </w:r>
          </w:p>
        </w:tc>
      </w:tr>
      <w:tr>
        <w:tc>
          <w:tcPr>
            <w:tcW w:type="dxa" w:w="4873"/>
            <w:tcBorders>
              <w:top w:val="single" w:sz="6" w:color="D6DBE2"/>
              <w:left w:val="single" w:sz="6" w:color="D6DBE2"/>
              <w:bottom w:val="single" w:sz="6" w:color="D6DBE2"/>
              <w:right w:val="single" w:sz="6" w:color="D6DBE2"/>
            </w:tcBorders>
            <w:vAlign w:val="center"/>
          </w:tcPr>
          <w:p>
            <w:r>
              <w:rPr>
                <w:color w:val="333333"/>
                <w:sz w:val="20"/>
              </w:rPr>
              <w:t>High-Contrast Affordances</w:t>
            </w:r>
          </w:p>
        </w:tc>
        <w:tc>
          <w:tcPr>
            <w:tcW w:type="dxa" w:w="4873"/>
            <w:tcBorders>
              <w:top w:val="single" w:sz="6" w:color="D6DBE2"/>
              <w:left w:val="single" w:sz="6" w:color="D6DBE2"/>
              <w:bottom w:val="single" w:sz="6" w:color="D6DBE2"/>
              <w:right w:val="single" w:sz="6" w:color="D6DBE2"/>
            </w:tcBorders>
            <w:vAlign w:val="center"/>
          </w:tcPr>
          <w:p>
            <w:r>
              <w:rPr>
                <w:color w:val="333333"/>
                <w:sz w:val="20"/>
              </w:rPr>
              <w:t>Hover, focus, and active states amplify visibility.</w:t>
            </w:r>
          </w:p>
        </w:tc>
      </w:tr>
      <w:tr>
        <w:tc>
          <w:tcPr>
            <w:tcW w:type="dxa" w:w="4873"/>
            <w:shd w:val="clear" w:color="auto" w:fill="F4F6FA"/>
            <w:tcBorders>
              <w:top w:val="single" w:sz="6" w:color="D6DBE2"/>
              <w:left w:val="single" w:sz="6" w:color="D6DBE2"/>
              <w:bottom w:val="single" w:sz="6" w:color="D6DBE2"/>
              <w:right w:val="single" w:sz="6" w:color="D6DBE2"/>
            </w:tcBorders>
            <w:vAlign w:val="center"/>
          </w:tcPr>
          <w:p>
            <w:r>
              <w:rPr>
                <w:color w:val="333333"/>
                <w:sz w:val="20"/>
              </w:rPr>
              <w:t>Documented Brand Decisions</w:t>
            </w:r>
          </w:p>
        </w:tc>
        <w:tc>
          <w:tcPr>
            <w:tcW w:type="dxa" w:w="4873"/>
            <w:shd w:val="clear" w:color="auto" w:fill="F4F6FA"/>
            <w:tcBorders>
              <w:top w:val="single" w:sz="6" w:color="D6DBE2"/>
              <w:left w:val="single" w:sz="6" w:color="D6DBE2"/>
              <w:bottom w:val="single" w:sz="6" w:color="D6DBE2"/>
              <w:right w:val="single" w:sz="6" w:color="D6DBE2"/>
            </w:tcBorders>
            <w:vAlign w:val="center"/>
          </w:tcPr>
          <w:p>
            <w:r>
              <w:rPr>
                <w:color w:val="333333"/>
                <w:sz w:val="20"/>
              </w:rPr>
              <w:t>Brand-led contrast choices are recorded and signed off.</w:t>
            </w:r>
          </w:p>
        </w:tc>
      </w:tr>
    </w:tbl>
    <w:p>
      <w:r>
        <w:br w:type="page"/>
      </w:r>
    </w:p>
    <w:p>
      <w:pPr>
        <w:spacing w:after="40" w:before="160"/>
      </w:pPr>
      <w:r>
        <w:rPr>
          <w:b/>
          <w:color w:val="2D6CDF"/>
          <w:sz w:val="18"/>
        </w:rPr>
        <w:t>SECTION 04</w:t>
      </w:r>
    </w:p>
    <w:p>
      <w:pPr>
        <w:spacing w:before="0" w:after="160"/>
        <w:pBdr>
          <w:bottom w:val="single" w:sz="8" w:space="4" w:color="1E3A6B"/>
        </w:pBdr>
      </w:pPr>
      <w:r>
        <w:rPr>
          <w:b/>
          <w:color w:val="0E2A47"/>
          <w:sz w:val="40"/>
        </w:rPr>
        <w:t>Detailed Findings Index</w:t>
      </w:r>
    </w:p>
    <w:p>
      <w:pPr>
        <w:spacing w:after="120" w:line="300" w:lineRule="auto"/>
      </w:pPr>
      <w:r>
        <w:rPr>
          <w:b w:val="0"/>
          <w:i w:val="0"/>
          <w:color w:val="333333"/>
          <w:sz w:val="22"/>
        </w:rPr>
        <w:t>Findings are organized according to the four foundational principles of WCAG 2.1: Perceivable, Operable, Understandable, and Robust. Each entry indicates the relevant success criterion, severity, and final resolution status.</w:t>
      </w:r>
    </w:p>
    <w:p>
      <w:pPr>
        <w:spacing w:before="200" w:after="80"/>
      </w:pPr>
      <w:r>
        <w:rPr>
          <w:b/>
          <w:color w:val="1E3A6B"/>
          <w:sz w:val="28"/>
        </w:rPr>
        <w:t>4.1  Perceivable</w:t>
      </w:r>
    </w:p>
    <w:p>
      <w:pPr>
        <w:spacing w:after="120" w:line="300" w:lineRule="auto"/>
      </w:pPr>
      <w:r>
        <w:rPr>
          <w:b w:val="0"/>
          <w:i/>
          <w:color w:val="555E6B"/>
          <w:sz w:val="22"/>
        </w:rPr>
        <w:t>Information and user interface components must be presentable in ways users can perceive.</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0E2A47"/>
            <w:tcBorders>
              <w:top w:val="single" w:sz="6" w:color="0E2A47"/>
              <w:left w:val="single" w:sz="6" w:color="0E2A47"/>
              <w:bottom w:val="single" w:sz="6" w:color="0E2A47"/>
              <w:right w:val="single" w:sz="6" w:color="0E2A47"/>
            </w:tcBorders>
            <w:vAlign w:val="center"/>
          </w:tcPr>
          <w:p>
            <w:r>
              <w:rPr>
                <w:b/>
                <w:color w:val="FFFFFF"/>
                <w:sz w:val="20"/>
              </w:rPr>
              <w:t>Success Criterion</w:t>
            </w:r>
          </w:p>
        </w:tc>
        <w:tc>
          <w:tcPr>
            <w:tcW w:type="dxa" w:w="2436"/>
            <w:shd w:val="clear" w:color="auto" w:fill="0E2A47"/>
            <w:tcBorders>
              <w:top w:val="single" w:sz="6" w:color="0E2A47"/>
              <w:left w:val="single" w:sz="6" w:color="0E2A47"/>
              <w:bottom w:val="single" w:sz="6" w:color="0E2A47"/>
              <w:right w:val="single" w:sz="6" w:color="0E2A47"/>
            </w:tcBorders>
            <w:vAlign w:val="center"/>
          </w:tcPr>
          <w:p>
            <w:r>
              <w:rPr>
                <w:b/>
                <w:color w:val="FFFFFF"/>
                <w:sz w:val="20"/>
              </w:rPr>
              <w:t>Observation</w:t>
            </w:r>
          </w:p>
        </w:tc>
        <w:tc>
          <w:tcPr>
            <w:tcW w:type="dxa" w:w="2436"/>
            <w:shd w:val="clear" w:color="auto" w:fill="0E2A47"/>
            <w:tcBorders>
              <w:top w:val="single" w:sz="6" w:color="0E2A47"/>
              <w:left w:val="single" w:sz="6" w:color="0E2A47"/>
              <w:bottom w:val="single" w:sz="6" w:color="0E2A47"/>
              <w:right w:val="single" w:sz="6" w:color="0E2A47"/>
            </w:tcBorders>
            <w:vAlign w:val="center"/>
          </w:tcPr>
          <w:p>
            <w:r>
              <w:rPr>
                <w:b/>
                <w:color w:val="FFFFFF"/>
                <w:sz w:val="20"/>
              </w:rPr>
              <w:t>Severity</w:t>
            </w:r>
          </w:p>
        </w:tc>
        <w:tc>
          <w:tcPr>
            <w:tcW w:type="dxa" w:w="2436"/>
            <w:shd w:val="clear" w:color="auto" w:fill="0E2A47"/>
            <w:tcBorders>
              <w:top w:val="single" w:sz="6" w:color="0E2A47"/>
              <w:left w:val="single" w:sz="6" w:color="0E2A47"/>
              <w:bottom w:val="single" w:sz="6" w:color="0E2A47"/>
              <w:right w:val="single" w:sz="6" w:color="0E2A47"/>
            </w:tcBorders>
            <w:vAlign w:val="center"/>
          </w:tcPr>
          <w:p>
            <w:r>
              <w:rPr>
                <w:b/>
                <w:color w:val="FFFFFF"/>
                <w:sz w:val="20"/>
              </w:rPr>
              <w:t>Status</w:t>
            </w:r>
          </w:p>
        </w:tc>
      </w:tr>
      <w:tr>
        <w:tc>
          <w:tcPr>
            <w:tcW w:type="dxa" w:w="2436"/>
            <w:tcBorders>
              <w:top w:val="single" w:sz="6" w:color="D6DBE2"/>
              <w:left w:val="single" w:sz="6" w:color="D6DBE2"/>
              <w:bottom w:val="single" w:sz="6" w:color="D6DBE2"/>
              <w:right w:val="single" w:sz="6" w:color="D6DBE2"/>
            </w:tcBorders>
            <w:vAlign w:val="center"/>
          </w:tcPr>
          <w:p>
            <w:r>
              <w:rPr>
                <w:color w:val="333333"/>
                <w:sz w:val="20"/>
              </w:rPr>
              <w:t>1.1.1 Non-text Content</w:t>
            </w:r>
          </w:p>
        </w:tc>
        <w:tc>
          <w:tcPr>
            <w:tcW w:type="dxa" w:w="2436"/>
            <w:tcBorders>
              <w:top w:val="single" w:sz="6" w:color="D6DBE2"/>
              <w:left w:val="single" w:sz="6" w:color="D6DBE2"/>
              <w:bottom w:val="single" w:sz="6" w:color="D6DBE2"/>
              <w:right w:val="single" w:sz="6" w:color="D6DBE2"/>
            </w:tcBorders>
            <w:vAlign w:val="center"/>
          </w:tcPr>
          <w:p>
            <w:r>
              <w:rPr>
                <w:color w:val="333333"/>
                <w:sz w:val="20"/>
              </w:rPr>
              <w:t>All informative images include descriptive alt text; decorative images use empty alt attributes.</w:t>
            </w:r>
          </w:p>
        </w:tc>
        <w:tc>
          <w:tcPr>
            <w:tcW w:type="dxa" w:w="2436"/>
            <w:tcBorders>
              <w:top w:val="single" w:sz="6" w:color="D6DBE2"/>
              <w:left w:val="single" w:sz="6" w:color="D6DBE2"/>
              <w:bottom w:val="single" w:sz="6" w:color="D6DBE2"/>
              <w:right w:val="single" w:sz="6" w:color="D6DBE2"/>
            </w:tcBorders>
            <w:vAlign w:val="center"/>
          </w:tcPr>
          <w:p>
            <w:r>
              <w:rPr>
                <w:b/>
                <w:color w:val="1F7A3F"/>
                <w:sz w:val="20"/>
              </w:rPr>
              <w:t>Pass</w:t>
            </w:r>
          </w:p>
        </w:tc>
        <w:tc>
          <w:tcPr>
            <w:tcW w:type="dxa" w:w="2436"/>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2436"/>
            <w:shd w:val="clear" w:color="auto" w:fill="F4F6FA"/>
            <w:tcBorders>
              <w:top w:val="single" w:sz="6" w:color="D6DBE2"/>
              <w:left w:val="single" w:sz="6" w:color="D6DBE2"/>
              <w:bottom w:val="single" w:sz="6" w:color="D6DBE2"/>
              <w:right w:val="single" w:sz="6" w:color="D6DBE2"/>
            </w:tcBorders>
            <w:vAlign w:val="center"/>
          </w:tcPr>
          <w:p>
            <w:r>
              <w:rPr>
                <w:color w:val="333333"/>
                <w:sz w:val="20"/>
              </w:rPr>
              <w:t>1.3.1 Info and Relationships</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color w:val="333333"/>
                <w:sz w:val="20"/>
              </w:rPr>
              <w:t>Semantic landmarks, heading hierarchy, and list structures correctly applied across templates.</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b/>
                <w:color w:val="1F7A3F"/>
                <w:sz w:val="20"/>
              </w:rPr>
              <w:t>Pass</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2436"/>
            <w:tcBorders>
              <w:top w:val="single" w:sz="6" w:color="D6DBE2"/>
              <w:left w:val="single" w:sz="6" w:color="D6DBE2"/>
              <w:bottom w:val="single" w:sz="6" w:color="D6DBE2"/>
              <w:right w:val="single" w:sz="6" w:color="D6DBE2"/>
            </w:tcBorders>
            <w:vAlign w:val="center"/>
          </w:tcPr>
          <w:p>
            <w:r>
              <w:rPr>
                <w:color w:val="333333"/>
                <w:sz w:val="20"/>
              </w:rPr>
              <w:t>1.4.3 Contrast (Minimum)</w:t>
            </w:r>
          </w:p>
        </w:tc>
        <w:tc>
          <w:tcPr>
            <w:tcW w:type="dxa" w:w="2436"/>
            <w:tcBorders>
              <w:top w:val="single" w:sz="6" w:color="D6DBE2"/>
              <w:left w:val="single" w:sz="6" w:color="D6DBE2"/>
              <w:bottom w:val="single" w:sz="6" w:color="D6DBE2"/>
              <w:right w:val="single" w:sz="6" w:color="D6DBE2"/>
            </w:tcBorders>
            <w:vAlign w:val="center"/>
          </w:tcPr>
          <w:p>
            <w:r>
              <w:rPr>
                <w:color w:val="333333"/>
                <w:sz w:val="20"/>
              </w:rPr>
              <w:t>Body and UI text meets the 4.5:1 ratio. Selected brand-led accents are formally accepted by design.</w:t>
            </w:r>
          </w:p>
        </w:tc>
        <w:tc>
          <w:tcPr>
            <w:tcW w:type="dxa" w:w="2436"/>
            <w:tcBorders>
              <w:top w:val="single" w:sz="6" w:color="D6DBE2"/>
              <w:left w:val="single" w:sz="6" w:color="D6DBE2"/>
              <w:bottom w:val="single" w:sz="6" w:color="D6DBE2"/>
              <w:right w:val="single" w:sz="6" w:color="D6DBE2"/>
            </w:tcBorders>
            <w:vAlign w:val="center"/>
          </w:tcPr>
          <w:p>
            <w:r>
              <w:rPr>
                <w:b/>
                <w:color w:val="1F7A3F"/>
                <w:sz w:val="20"/>
              </w:rPr>
              <w:t>Low</w:t>
            </w:r>
          </w:p>
        </w:tc>
        <w:tc>
          <w:tcPr>
            <w:tcW w:type="dxa" w:w="2436"/>
            <w:tcBorders>
              <w:top w:val="single" w:sz="6" w:color="D6DBE2"/>
              <w:left w:val="single" w:sz="6" w:color="D6DBE2"/>
              <w:bottom w:val="single" w:sz="6" w:color="D6DBE2"/>
              <w:right w:val="single" w:sz="6" w:color="D6DBE2"/>
            </w:tcBorders>
            <w:vAlign w:val="center"/>
          </w:tcPr>
          <w:p>
            <w:r>
              <w:rPr>
                <w:b/>
                <w:color w:val="0E2A47"/>
                <w:sz w:val="20"/>
              </w:rPr>
              <w:t>Accepted (Brand)</w:t>
            </w:r>
          </w:p>
        </w:tc>
      </w:tr>
      <w:tr>
        <w:tc>
          <w:tcPr>
            <w:tcW w:type="dxa" w:w="2436"/>
            <w:shd w:val="clear" w:color="auto" w:fill="F4F6FA"/>
            <w:tcBorders>
              <w:top w:val="single" w:sz="6" w:color="D6DBE2"/>
              <w:left w:val="single" w:sz="6" w:color="D6DBE2"/>
              <w:bottom w:val="single" w:sz="6" w:color="D6DBE2"/>
              <w:right w:val="single" w:sz="6" w:color="D6DBE2"/>
            </w:tcBorders>
            <w:vAlign w:val="center"/>
          </w:tcPr>
          <w:p>
            <w:r>
              <w:rPr>
                <w:color w:val="333333"/>
                <w:sz w:val="20"/>
              </w:rPr>
              <w:t>1.4.4 Resize Text</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color w:val="333333"/>
                <w:sz w:val="20"/>
              </w:rPr>
              <w:t>Layouts remain functional at 200 % zoom without loss of content or functionality.</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b/>
                <w:color w:val="1F7A3F"/>
                <w:sz w:val="20"/>
              </w:rPr>
              <w:t>Pass</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2436"/>
            <w:tcBorders>
              <w:top w:val="single" w:sz="6" w:color="D6DBE2"/>
              <w:left w:val="single" w:sz="6" w:color="D6DBE2"/>
              <w:bottom w:val="single" w:sz="6" w:color="D6DBE2"/>
              <w:right w:val="single" w:sz="6" w:color="D6DBE2"/>
            </w:tcBorders>
            <w:vAlign w:val="center"/>
          </w:tcPr>
          <w:p>
            <w:r>
              <w:rPr>
                <w:color w:val="333333"/>
                <w:sz w:val="20"/>
              </w:rPr>
              <w:t>1.4.10 Reflow</w:t>
            </w:r>
          </w:p>
        </w:tc>
        <w:tc>
          <w:tcPr>
            <w:tcW w:type="dxa" w:w="2436"/>
            <w:tcBorders>
              <w:top w:val="single" w:sz="6" w:color="D6DBE2"/>
              <w:left w:val="single" w:sz="6" w:color="D6DBE2"/>
              <w:bottom w:val="single" w:sz="6" w:color="D6DBE2"/>
              <w:right w:val="single" w:sz="6" w:color="D6DBE2"/>
            </w:tcBorders>
            <w:vAlign w:val="center"/>
          </w:tcPr>
          <w:p>
            <w:r>
              <w:rPr>
                <w:color w:val="333333"/>
                <w:sz w:val="20"/>
              </w:rPr>
              <w:t>Content reflows correctly at 320 CSS pixels with no two-dimensional scrolling.</w:t>
            </w:r>
          </w:p>
        </w:tc>
        <w:tc>
          <w:tcPr>
            <w:tcW w:type="dxa" w:w="2436"/>
            <w:tcBorders>
              <w:top w:val="single" w:sz="6" w:color="D6DBE2"/>
              <w:left w:val="single" w:sz="6" w:color="D6DBE2"/>
              <w:bottom w:val="single" w:sz="6" w:color="D6DBE2"/>
              <w:right w:val="single" w:sz="6" w:color="D6DBE2"/>
            </w:tcBorders>
            <w:vAlign w:val="center"/>
          </w:tcPr>
          <w:p>
            <w:r>
              <w:rPr>
                <w:b/>
                <w:color w:val="1F7A3F"/>
                <w:sz w:val="20"/>
              </w:rPr>
              <w:t>Pass</w:t>
            </w:r>
          </w:p>
        </w:tc>
        <w:tc>
          <w:tcPr>
            <w:tcW w:type="dxa" w:w="2436"/>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2436"/>
            <w:shd w:val="clear" w:color="auto" w:fill="F4F6FA"/>
            <w:tcBorders>
              <w:top w:val="single" w:sz="6" w:color="D6DBE2"/>
              <w:left w:val="single" w:sz="6" w:color="D6DBE2"/>
              <w:bottom w:val="single" w:sz="6" w:color="D6DBE2"/>
              <w:right w:val="single" w:sz="6" w:color="D6DBE2"/>
            </w:tcBorders>
            <w:vAlign w:val="center"/>
          </w:tcPr>
          <w:p>
            <w:r>
              <w:rPr>
                <w:color w:val="333333"/>
                <w:sz w:val="20"/>
              </w:rPr>
              <w:t>1.4.11 Non-text Contrast</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color w:val="333333"/>
                <w:sz w:val="20"/>
              </w:rPr>
              <w:t>Interactive controls and focus indicators meet the 3:1 ratio against adjacent colors.</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b/>
                <w:color w:val="1F7A3F"/>
                <w:sz w:val="20"/>
              </w:rPr>
              <w:t>Pass</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b/>
                <w:color w:val="1F7A3F"/>
                <w:sz w:val="20"/>
              </w:rPr>
              <w:t>Resolved</w:t>
            </w:r>
          </w:p>
        </w:tc>
      </w:tr>
    </w:tbl>
    <w:p>
      <w:pPr>
        <w:spacing w:before="200" w:after="80"/>
      </w:pPr>
      <w:r>
        <w:rPr>
          <w:b/>
          <w:color w:val="1E3A6B"/>
          <w:sz w:val="28"/>
        </w:rPr>
        <w:t>4.2  Operable</w:t>
      </w:r>
    </w:p>
    <w:p>
      <w:pPr>
        <w:spacing w:after="120" w:line="300" w:lineRule="auto"/>
      </w:pPr>
      <w:r>
        <w:rPr>
          <w:b w:val="0"/>
          <w:i/>
          <w:color w:val="555E6B"/>
          <w:sz w:val="22"/>
        </w:rPr>
        <w:t>User interface components and navigation must be operable by all users.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0E2A47"/>
            <w:tcBorders>
              <w:top w:val="single" w:sz="6" w:color="0E2A47"/>
              <w:left w:val="single" w:sz="6" w:color="0E2A47"/>
              <w:bottom w:val="single" w:sz="6" w:color="0E2A47"/>
              <w:right w:val="single" w:sz="6" w:color="0E2A47"/>
            </w:tcBorders>
            <w:vAlign w:val="center"/>
          </w:tcPr>
          <w:p>
            <w:r>
              <w:rPr>
                <w:b/>
                <w:color w:val="FFFFFF"/>
                <w:sz w:val="20"/>
              </w:rPr>
              <w:t>Success Criterion</w:t>
            </w:r>
          </w:p>
        </w:tc>
        <w:tc>
          <w:tcPr>
            <w:tcW w:type="dxa" w:w="2436"/>
            <w:shd w:val="clear" w:color="auto" w:fill="0E2A47"/>
            <w:tcBorders>
              <w:top w:val="single" w:sz="6" w:color="0E2A47"/>
              <w:left w:val="single" w:sz="6" w:color="0E2A47"/>
              <w:bottom w:val="single" w:sz="6" w:color="0E2A47"/>
              <w:right w:val="single" w:sz="6" w:color="0E2A47"/>
            </w:tcBorders>
            <w:vAlign w:val="center"/>
          </w:tcPr>
          <w:p>
            <w:r>
              <w:rPr>
                <w:b/>
                <w:color w:val="FFFFFF"/>
                <w:sz w:val="20"/>
              </w:rPr>
              <w:t>Observation</w:t>
            </w:r>
          </w:p>
        </w:tc>
        <w:tc>
          <w:tcPr>
            <w:tcW w:type="dxa" w:w="2436"/>
            <w:shd w:val="clear" w:color="auto" w:fill="0E2A47"/>
            <w:tcBorders>
              <w:top w:val="single" w:sz="6" w:color="0E2A47"/>
              <w:left w:val="single" w:sz="6" w:color="0E2A47"/>
              <w:bottom w:val="single" w:sz="6" w:color="0E2A47"/>
              <w:right w:val="single" w:sz="6" w:color="0E2A47"/>
            </w:tcBorders>
            <w:vAlign w:val="center"/>
          </w:tcPr>
          <w:p>
            <w:r>
              <w:rPr>
                <w:b/>
                <w:color w:val="FFFFFF"/>
                <w:sz w:val="20"/>
              </w:rPr>
              <w:t>Severity</w:t>
            </w:r>
          </w:p>
        </w:tc>
        <w:tc>
          <w:tcPr>
            <w:tcW w:type="dxa" w:w="2436"/>
            <w:shd w:val="clear" w:color="auto" w:fill="0E2A47"/>
            <w:tcBorders>
              <w:top w:val="single" w:sz="6" w:color="0E2A47"/>
              <w:left w:val="single" w:sz="6" w:color="0E2A47"/>
              <w:bottom w:val="single" w:sz="6" w:color="0E2A47"/>
              <w:right w:val="single" w:sz="6" w:color="0E2A47"/>
            </w:tcBorders>
            <w:vAlign w:val="center"/>
          </w:tcPr>
          <w:p>
            <w:r>
              <w:rPr>
                <w:b/>
                <w:color w:val="FFFFFF"/>
                <w:sz w:val="20"/>
              </w:rPr>
              <w:t>Status</w:t>
            </w:r>
          </w:p>
        </w:tc>
      </w:tr>
      <w:tr>
        <w:tc>
          <w:tcPr>
            <w:tcW w:type="dxa" w:w="2436"/>
            <w:tcBorders>
              <w:top w:val="single" w:sz="6" w:color="D6DBE2"/>
              <w:left w:val="single" w:sz="6" w:color="D6DBE2"/>
              <w:bottom w:val="single" w:sz="6" w:color="D6DBE2"/>
              <w:right w:val="single" w:sz="6" w:color="D6DBE2"/>
            </w:tcBorders>
            <w:vAlign w:val="center"/>
          </w:tcPr>
          <w:p>
            <w:r>
              <w:rPr>
                <w:color w:val="333333"/>
                <w:sz w:val="20"/>
              </w:rPr>
              <w:t>2.1.1 Keyboard</w:t>
            </w:r>
          </w:p>
        </w:tc>
        <w:tc>
          <w:tcPr>
            <w:tcW w:type="dxa" w:w="2436"/>
            <w:tcBorders>
              <w:top w:val="single" w:sz="6" w:color="D6DBE2"/>
              <w:left w:val="single" w:sz="6" w:color="D6DBE2"/>
              <w:bottom w:val="single" w:sz="6" w:color="D6DBE2"/>
              <w:right w:val="single" w:sz="6" w:color="D6DBE2"/>
            </w:tcBorders>
            <w:vAlign w:val="center"/>
          </w:tcPr>
          <w:p>
            <w:r>
              <w:rPr>
                <w:color w:val="333333"/>
                <w:sz w:val="20"/>
              </w:rPr>
              <w:t>All interactive elements are reachable and operable via keyboard with no traps.</w:t>
            </w:r>
          </w:p>
        </w:tc>
        <w:tc>
          <w:tcPr>
            <w:tcW w:type="dxa" w:w="2436"/>
            <w:tcBorders>
              <w:top w:val="single" w:sz="6" w:color="D6DBE2"/>
              <w:left w:val="single" w:sz="6" w:color="D6DBE2"/>
              <w:bottom w:val="single" w:sz="6" w:color="D6DBE2"/>
              <w:right w:val="single" w:sz="6" w:color="D6DBE2"/>
            </w:tcBorders>
            <w:vAlign w:val="center"/>
          </w:tcPr>
          <w:p>
            <w:r>
              <w:rPr>
                <w:b/>
                <w:color w:val="1F7A3F"/>
                <w:sz w:val="20"/>
              </w:rPr>
              <w:t>Pass</w:t>
            </w:r>
          </w:p>
        </w:tc>
        <w:tc>
          <w:tcPr>
            <w:tcW w:type="dxa" w:w="2436"/>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2436"/>
            <w:shd w:val="clear" w:color="auto" w:fill="F4F6FA"/>
            <w:tcBorders>
              <w:top w:val="single" w:sz="6" w:color="D6DBE2"/>
              <w:left w:val="single" w:sz="6" w:color="D6DBE2"/>
              <w:bottom w:val="single" w:sz="6" w:color="D6DBE2"/>
              <w:right w:val="single" w:sz="6" w:color="D6DBE2"/>
            </w:tcBorders>
            <w:vAlign w:val="center"/>
          </w:tcPr>
          <w:p>
            <w:r>
              <w:rPr>
                <w:color w:val="333333"/>
                <w:sz w:val="20"/>
              </w:rPr>
              <w:t>2.4.3 Focus Order</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color w:val="333333"/>
                <w:sz w:val="20"/>
              </w:rPr>
              <w:t>Focus order follows a logical sequence that preserves meaning and operability.</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b/>
                <w:color w:val="1F7A3F"/>
                <w:sz w:val="20"/>
              </w:rPr>
              <w:t>Pass</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2436"/>
            <w:tcBorders>
              <w:top w:val="single" w:sz="6" w:color="D6DBE2"/>
              <w:left w:val="single" w:sz="6" w:color="D6DBE2"/>
              <w:bottom w:val="single" w:sz="6" w:color="D6DBE2"/>
              <w:right w:val="single" w:sz="6" w:color="D6DBE2"/>
            </w:tcBorders>
            <w:vAlign w:val="center"/>
          </w:tcPr>
          <w:p>
            <w:r>
              <w:rPr>
                <w:color w:val="333333"/>
                <w:sz w:val="20"/>
              </w:rPr>
              <w:t>2.4.4 Link Purpose (In Context)</w:t>
            </w:r>
          </w:p>
        </w:tc>
        <w:tc>
          <w:tcPr>
            <w:tcW w:type="dxa" w:w="2436"/>
            <w:tcBorders>
              <w:top w:val="single" w:sz="6" w:color="D6DBE2"/>
              <w:left w:val="single" w:sz="6" w:color="D6DBE2"/>
              <w:bottom w:val="single" w:sz="6" w:color="D6DBE2"/>
              <w:right w:val="single" w:sz="6" w:color="D6DBE2"/>
            </w:tcBorders>
            <w:vAlign w:val="center"/>
          </w:tcPr>
          <w:p>
            <w:r>
              <w:rPr>
                <w:color w:val="333333"/>
                <w:sz w:val="20"/>
              </w:rPr>
              <w:t>Link text is descriptive and unambiguous within its surrounding context.</w:t>
            </w:r>
          </w:p>
        </w:tc>
        <w:tc>
          <w:tcPr>
            <w:tcW w:type="dxa" w:w="2436"/>
            <w:tcBorders>
              <w:top w:val="single" w:sz="6" w:color="D6DBE2"/>
              <w:left w:val="single" w:sz="6" w:color="D6DBE2"/>
              <w:bottom w:val="single" w:sz="6" w:color="D6DBE2"/>
              <w:right w:val="single" w:sz="6" w:color="D6DBE2"/>
            </w:tcBorders>
            <w:vAlign w:val="center"/>
          </w:tcPr>
          <w:p>
            <w:r>
              <w:rPr>
                <w:b/>
                <w:color w:val="1F7A3F"/>
                <w:sz w:val="20"/>
              </w:rPr>
              <w:t>Pass</w:t>
            </w:r>
          </w:p>
        </w:tc>
        <w:tc>
          <w:tcPr>
            <w:tcW w:type="dxa" w:w="2436"/>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2436"/>
            <w:shd w:val="clear" w:color="auto" w:fill="F4F6FA"/>
            <w:tcBorders>
              <w:top w:val="single" w:sz="6" w:color="D6DBE2"/>
              <w:left w:val="single" w:sz="6" w:color="D6DBE2"/>
              <w:bottom w:val="single" w:sz="6" w:color="D6DBE2"/>
              <w:right w:val="single" w:sz="6" w:color="D6DBE2"/>
            </w:tcBorders>
            <w:vAlign w:val="center"/>
          </w:tcPr>
          <w:p>
            <w:r>
              <w:rPr>
                <w:color w:val="333333"/>
                <w:sz w:val="20"/>
              </w:rPr>
              <w:t>2.4.7 Focus Visible</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color w:val="333333"/>
                <w:sz w:val="20"/>
              </w:rPr>
              <w:t>A visible focus indicator is present on every focusable element.</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b/>
                <w:color w:val="1F7A3F"/>
                <w:sz w:val="20"/>
              </w:rPr>
              <w:t>Pass</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2436"/>
            <w:tcBorders>
              <w:top w:val="single" w:sz="6" w:color="D6DBE2"/>
              <w:left w:val="single" w:sz="6" w:color="D6DBE2"/>
              <w:bottom w:val="single" w:sz="6" w:color="D6DBE2"/>
              <w:right w:val="single" w:sz="6" w:color="D6DBE2"/>
            </w:tcBorders>
            <w:vAlign w:val="center"/>
          </w:tcPr>
          <w:p>
            <w:r>
              <w:rPr>
                <w:color w:val="333333"/>
                <w:sz w:val="20"/>
              </w:rPr>
              <w:t>2.5.5 Target Size</w:t>
            </w:r>
          </w:p>
        </w:tc>
        <w:tc>
          <w:tcPr>
            <w:tcW w:type="dxa" w:w="2436"/>
            <w:tcBorders>
              <w:top w:val="single" w:sz="6" w:color="D6DBE2"/>
              <w:left w:val="single" w:sz="6" w:color="D6DBE2"/>
              <w:bottom w:val="single" w:sz="6" w:color="D6DBE2"/>
              <w:right w:val="single" w:sz="6" w:color="D6DBE2"/>
            </w:tcBorders>
            <w:vAlign w:val="center"/>
          </w:tcPr>
          <w:p>
            <w:r>
              <w:rPr>
                <w:color w:val="333333"/>
                <w:sz w:val="20"/>
              </w:rPr>
              <w:t>Primary tap targets meet or exceed the recommended 44 × 44 CSS pixel area.</w:t>
            </w:r>
          </w:p>
        </w:tc>
        <w:tc>
          <w:tcPr>
            <w:tcW w:type="dxa" w:w="2436"/>
            <w:tcBorders>
              <w:top w:val="single" w:sz="6" w:color="D6DBE2"/>
              <w:left w:val="single" w:sz="6" w:color="D6DBE2"/>
              <w:bottom w:val="single" w:sz="6" w:color="D6DBE2"/>
              <w:right w:val="single" w:sz="6" w:color="D6DBE2"/>
            </w:tcBorders>
            <w:vAlign w:val="center"/>
          </w:tcPr>
          <w:p>
            <w:r>
              <w:rPr>
                <w:b/>
                <w:color w:val="1F7A3F"/>
                <w:sz w:val="20"/>
              </w:rPr>
              <w:t>Pass</w:t>
            </w:r>
          </w:p>
        </w:tc>
        <w:tc>
          <w:tcPr>
            <w:tcW w:type="dxa" w:w="2436"/>
            <w:tcBorders>
              <w:top w:val="single" w:sz="6" w:color="D6DBE2"/>
              <w:left w:val="single" w:sz="6" w:color="D6DBE2"/>
              <w:bottom w:val="single" w:sz="6" w:color="D6DBE2"/>
              <w:right w:val="single" w:sz="6" w:color="D6DBE2"/>
            </w:tcBorders>
            <w:vAlign w:val="center"/>
          </w:tcPr>
          <w:p>
            <w:r>
              <w:rPr>
                <w:b/>
                <w:color w:val="1F7A3F"/>
                <w:sz w:val="20"/>
              </w:rPr>
              <w:t>Resolved</w:t>
            </w:r>
          </w:p>
        </w:tc>
      </w:tr>
    </w:tbl>
    <w:p>
      <w:pPr>
        <w:spacing w:before="200" w:after="80"/>
      </w:pPr>
      <w:r>
        <w:rPr>
          <w:b/>
          <w:color w:val="1E3A6B"/>
          <w:sz w:val="28"/>
        </w:rPr>
        <w:t>4.3  Understandable</w:t>
      </w:r>
    </w:p>
    <w:p>
      <w:pPr>
        <w:spacing w:after="120" w:line="300" w:lineRule="auto"/>
      </w:pPr>
      <w:r>
        <w:rPr>
          <w:b w:val="0"/>
          <w:i/>
          <w:color w:val="555E6B"/>
          <w:sz w:val="22"/>
        </w:rPr>
        <w:t>Information and the operation of the user interface must be understandable.</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0E2A47"/>
            <w:tcBorders>
              <w:top w:val="single" w:sz="6" w:color="0E2A47"/>
              <w:left w:val="single" w:sz="6" w:color="0E2A47"/>
              <w:bottom w:val="single" w:sz="6" w:color="0E2A47"/>
              <w:right w:val="single" w:sz="6" w:color="0E2A47"/>
            </w:tcBorders>
            <w:vAlign w:val="center"/>
          </w:tcPr>
          <w:p>
            <w:r>
              <w:rPr>
                <w:b/>
                <w:color w:val="FFFFFF"/>
                <w:sz w:val="20"/>
              </w:rPr>
              <w:t>Success Criterion</w:t>
            </w:r>
          </w:p>
        </w:tc>
        <w:tc>
          <w:tcPr>
            <w:tcW w:type="dxa" w:w="2436"/>
            <w:shd w:val="clear" w:color="auto" w:fill="0E2A47"/>
            <w:tcBorders>
              <w:top w:val="single" w:sz="6" w:color="0E2A47"/>
              <w:left w:val="single" w:sz="6" w:color="0E2A47"/>
              <w:bottom w:val="single" w:sz="6" w:color="0E2A47"/>
              <w:right w:val="single" w:sz="6" w:color="0E2A47"/>
            </w:tcBorders>
            <w:vAlign w:val="center"/>
          </w:tcPr>
          <w:p>
            <w:r>
              <w:rPr>
                <w:b/>
                <w:color w:val="FFFFFF"/>
                <w:sz w:val="20"/>
              </w:rPr>
              <w:t>Observation</w:t>
            </w:r>
          </w:p>
        </w:tc>
        <w:tc>
          <w:tcPr>
            <w:tcW w:type="dxa" w:w="2436"/>
            <w:shd w:val="clear" w:color="auto" w:fill="0E2A47"/>
            <w:tcBorders>
              <w:top w:val="single" w:sz="6" w:color="0E2A47"/>
              <w:left w:val="single" w:sz="6" w:color="0E2A47"/>
              <w:bottom w:val="single" w:sz="6" w:color="0E2A47"/>
              <w:right w:val="single" w:sz="6" w:color="0E2A47"/>
            </w:tcBorders>
            <w:vAlign w:val="center"/>
          </w:tcPr>
          <w:p>
            <w:r>
              <w:rPr>
                <w:b/>
                <w:color w:val="FFFFFF"/>
                <w:sz w:val="20"/>
              </w:rPr>
              <w:t>Severity</w:t>
            </w:r>
          </w:p>
        </w:tc>
        <w:tc>
          <w:tcPr>
            <w:tcW w:type="dxa" w:w="2436"/>
            <w:shd w:val="clear" w:color="auto" w:fill="0E2A47"/>
            <w:tcBorders>
              <w:top w:val="single" w:sz="6" w:color="0E2A47"/>
              <w:left w:val="single" w:sz="6" w:color="0E2A47"/>
              <w:bottom w:val="single" w:sz="6" w:color="0E2A47"/>
              <w:right w:val="single" w:sz="6" w:color="0E2A47"/>
            </w:tcBorders>
            <w:vAlign w:val="center"/>
          </w:tcPr>
          <w:p>
            <w:r>
              <w:rPr>
                <w:b/>
                <w:color w:val="FFFFFF"/>
                <w:sz w:val="20"/>
              </w:rPr>
              <w:t>Status</w:t>
            </w:r>
          </w:p>
        </w:tc>
      </w:tr>
      <w:tr>
        <w:tc>
          <w:tcPr>
            <w:tcW w:type="dxa" w:w="2436"/>
            <w:tcBorders>
              <w:top w:val="single" w:sz="6" w:color="D6DBE2"/>
              <w:left w:val="single" w:sz="6" w:color="D6DBE2"/>
              <w:bottom w:val="single" w:sz="6" w:color="D6DBE2"/>
              <w:right w:val="single" w:sz="6" w:color="D6DBE2"/>
            </w:tcBorders>
            <w:vAlign w:val="center"/>
          </w:tcPr>
          <w:p>
            <w:r>
              <w:rPr>
                <w:color w:val="333333"/>
                <w:sz w:val="20"/>
              </w:rPr>
              <w:t>3.1.1 Language of Page</w:t>
            </w:r>
          </w:p>
        </w:tc>
        <w:tc>
          <w:tcPr>
            <w:tcW w:type="dxa" w:w="2436"/>
            <w:tcBorders>
              <w:top w:val="single" w:sz="6" w:color="D6DBE2"/>
              <w:left w:val="single" w:sz="6" w:color="D6DBE2"/>
              <w:bottom w:val="single" w:sz="6" w:color="D6DBE2"/>
              <w:right w:val="single" w:sz="6" w:color="D6DBE2"/>
            </w:tcBorders>
            <w:vAlign w:val="center"/>
          </w:tcPr>
          <w:p>
            <w:r>
              <w:rPr>
                <w:color w:val="333333"/>
                <w:sz w:val="20"/>
              </w:rPr>
              <w:t>The document language is correctly declared on all pages.</w:t>
            </w:r>
          </w:p>
        </w:tc>
        <w:tc>
          <w:tcPr>
            <w:tcW w:type="dxa" w:w="2436"/>
            <w:tcBorders>
              <w:top w:val="single" w:sz="6" w:color="D6DBE2"/>
              <w:left w:val="single" w:sz="6" w:color="D6DBE2"/>
              <w:bottom w:val="single" w:sz="6" w:color="D6DBE2"/>
              <w:right w:val="single" w:sz="6" w:color="D6DBE2"/>
            </w:tcBorders>
            <w:vAlign w:val="center"/>
          </w:tcPr>
          <w:p>
            <w:r>
              <w:rPr>
                <w:b/>
                <w:color w:val="1F7A3F"/>
                <w:sz w:val="20"/>
              </w:rPr>
              <w:t>Pass</w:t>
            </w:r>
          </w:p>
        </w:tc>
        <w:tc>
          <w:tcPr>
            <w:tcW w:type="dxa" w:w="2436"/>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2436"/>
            <w:shd w:val="clear" w:color="auto" w:fill="F4F6FA"/>
            <w:tcBorders>
              <w:top w:val="single" w:sz="6" w:color="D6DBE2"/>
              <w:left w:val="single" w:sz="6" w:color="D6DBE2"/>
              <w:bottom w:val="single" w:sz="6" w:color="D6DBE2"/>
              <w:right w:val="single" w:sz="6" w:color="D6DBE2"/>
            </w:tcBorders>
            <w:vAlign w:val="center"/>
          </w:tcPr>
          <w:p>
            <w:r>
              <w:rPr>
                <w:color w:val="333333"/>
                <w:sz w:val="20"/>
              </w:rPr>
              <w:t>3.2.2 On Input</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color w:val="333333"/>
                <w:sz w:val="20"/>
              </w:rPr>
              <w:t>Form interactions do not produce unexpected context changes.</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b/>
                <w:color w:val="1F7A3F"/>
                <w:sz w:val="20"/>
              </w:rPr>
              <w:t>Pass</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2436"/>
            <w:tcBorders>
              <w:top w:val="single" w:sz="6" w:color="D6DBE2"/>
              <w:left w:val="single" w:sz="6" w:color="D6DBE2"/>
              <w:bottom w:val="single" w:sz="6" w:color="D6DBE2"/>
              <w:right w:val="single" w:sz="6" w:color="D6DBE2"/>
            </w:tcBorders>
            <w:vAlign w:val="center"/>
          </w:tcPr>
          <w:p>
            <w:r>
              <w:rPr>
                <w:color w:val="333333"/>
                <w:sz w:val="20"/>
              </w:rPr>
              <w:t>3.3.1 Error Identification</w:t>
            </w:r>
          </w:p>
        </w:tc>
        <w:tc>
          <w:tcPr>
            <w:tcW w:type="dxa" w:w="2436"/>
            <w:tcBorders>
              <w:top w:val="single" w:sz="6" w:color="D6DBE2"/>
              <w:left w:val="single" w:sz="6" w:color="D6DBE2"/>
              <w:bottom w:val="single" w:sz="6" w:color="D6DBE2"/>
              <w:right w:val="single" w:sz="6" w:color="D6DBE2"/>
            </w:tcBorders>
            <w:vAlign w:val="center"/>
          </w:tcPr>
          <w:p>
            <w:r>
              <w:rPr>
                <w:color w:val="333333"/>
                <w:sz w:val="20"/>
              </w:rPr>
              <w:t>Form errors are clearly identified in text and programmatically associated with their fields.</w:t>
            </w:r>
          </w:p>
        </w:tc>
        <w:tc>
          <w:tcPr>
            <w:tcW w:type="dxa" w:w="2436"/>
            <w:tcBorders>
              <w:top w:val="single" w:sz="6" w:color="D6DBE2"/>
              <w:left w:val="single" w:sz="6" w:color="D6DBE2"/>
              <w:bottom w:val="single" w:sz="6" w:color="D6DBE2"/>
              <w:right w:val="single" w:sz="6" w:color="D6DBE2"/>
            </w:tcBorders>
            <w:vAlign w:val="center"/>
          </w:tcPr>
          <w:p>
            <w:r>
              <w:rPr>
                <w:b/>
                <w:color w:val="1F7A3F"/>
                <w:sz w:val="20"/>
              </w:rPr>
              <w:t>Pass</w:t>
            </w:r>
          </w:p>
        </w:tc>
        <w:tc>
          <w:tcPr>
            <w:tcW w:type="dxa" w:w="2436"/>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2436"/>
            <w:shd w:val="clear" w:color="auto" w:fill="F4F6FA"/>
            <w:tcBorders>
              <w:top w:val="single" w:sz="6" w:color="D6DBE2"/>
              <w:left w:val="single" w:sz="6" w:color="D6DBE2"/>
              <w:bottom w:val="single" w:sz="6" w:color="D6DBE2"/>
              <w:right w:val="single" w:sz="6" w:color="D6DBE2"/>
            </w:tcBorders>
            <w:vAlign w:val="center"/>
          </w:tcPr>
          <w:p>
            <w:r>
              <w:rPr>
                <w:color w:val="333333"/>
                <w:sz w:val="20"/>
              </w:rPr>
              <w:t>3.3.2 Labels or Instructions</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color w:val="333333"/>
                <w:sz w:val="20"/>
              </w:rPr>
              <w:t>All inputs include visible labels or accessible names; placeholder text is not the sole label.</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b/>
                <w:color w:val="1F7A3F"/>
                <w:sz w:val="20"/>
              </w:rPr>
              <w:t>Pass</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b/>
                <w:color w:val="1F7A3F"/>
                <w:sz w:val="20"/>
              </w:rPr>
              <w:t>Resolved</w:t>
            </w:r>
          </w:p>
        </w:tc>
      </w:tr>
    </w:tbl>
    <w:p>
      <w:pPr>
        <w:spacing w:before="200" w:after="80"/>
      </w:pPr>
      <w:r>
        <w:rPr>
          <w:b/>
          <w:color w:val="1E3A6B"/>
          <w:sz w:val="28"/>
        </w:rPr>
        <w:t>4.4  Robust</w:t>
      </w:r>
    </w:p>
    <w:p>
      <w:pPr>
        <w:spacing w:after="120" w:line="300" w:lineRule="auto"/>
      </w:pPr>
      <w:r>
        <w:rPr>
          <w:b w:val="0"/>
          <w:i/>
          <w:color w:val="555E6B"/>
          <w:sz w:val="22"/>
        </w:rPr>
        <w:t>Content must be robust enough to be reliably interpreted by a wide range of user agents, including assistive technologies.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0E2A47"/>
            <w:tcBorders>
              <w:top w:val="single" w:sz="6" w:color="0E2A47"/>
              <w:left w:val="single" w:sz="6" w:color="0E2A47"/>
              <w:bottom w:val="single" w:sz="6" w:color="0E2A47"/>
              <w:right w:val="single" w:sz="6" w:color="0E2A47"/>
            </w:tcBorders>
            <w:vAlign w:val="center"/>
          </w:tcPr>
          <w:p>
            <w:r>
              <w:rPr>
                <w:b/>
                <w:color w:val="FFFFFF"/>
                <w:sz w:val="20"/>
              </w:rPr>
              <w:t>Success Criterion</w:t>
            </w:r>
          </w:p>
        </w:tc>
        <w:tc>
          <w:tcPr>
            <w:tcW w:type="dxa" w:w="2436"/>
            <w:shd w:val="clear" w:color="auto" w:fill="0E2A47"/>
            <w:tcBorders>
              <w:top w:val="single" w:sz="6" w:color="0E2A47"/>
              <w:left w:val="single" w:sz="6" w:color="0E2A47"/>
              <w:bottom w:val="single" w:sz="6" w:color="0E2A47"/>
              <w:right w:val="single" w:sz="6" w:color="0E2A47"/>
            </w:tcBorders>
            <w:vAlign w:val="center"/>
          </w:tcPr>
          <w:p>
            <w:r>
              <w:rPr>
                <w:b/>
                <w:color w:val="FFFFFF"/>
                <w:sz w:val="20"/>
              </w:rPr>
              <w:t>Observation</w:t>
            </w:r>
          </w:p>
        </w:tc>
        <w:tc>
          <w:tcPr>
            <w:tcW w:type="dxa" w:w="2436"/>
            <w:shd w:val="clear" w:color="auto" w:fill="0E2A47"/>
            <w:tcBorders>
              <w:top w:val="single" w:sz="6" w:color="0E2A47"/>
              <w:left w:val="single" w:sz="6" w:color="0E2A47"/>
              <w:bottom w:val="single" w:sz="6" w:color="0E2A47"/>
              <w:right w:val="single" w:sz="6" w:color="0E2A47"/>
            </w:tcBorders>
            <w:vAlign w:val="center"/>
          </w:tcPr>
          <w:p>
            <w:r>
              <w:rPr>
                <w:b/>
                <w:color w:val="FFFFFF"/>
                <w:sz w:val="20"/>
              </w:rPr>
              <w:t>Severity</w:t>
            </w:r>
          </w:p>
        </w:tc>
        <w:tc>
          <w:tcPr>
            <w:tcW w:type="dxa" w:w="2436"/>
            <w:shd w:val="clear" w:color="auto" w:fill="0E2A47"/>
            <w:tcBorders>
              <w:top w:val="single" w:sz="6" w:color="0E2A47"/>
              <w:left w:val="single" w:sz="6" w:color="0E2A47"/>
              <w:bottom w:val="single" w:sz="6" w:color="0E2A47"/>
              <w:right w:val="single" w:sz="6" w:color="0E2A47"/>
            </w:tcBorders>
            <w:vAlign w:val="center"/>
          </w:tcPr>
          <w:p>
            <w:r>
              <w:rPr>
                <w:b/>
                <w:color w:val="FFFFFF"/>
                <w:sz w:val="20"/>
              </w:rPr>
              <w:t>Status</w:t>
            </w:r>
          </w:p>
        </w:tc>
      </w:tr>
      <w:tr>
        <w:tc>
          <w:tcPr>
            <w:tcW w:type="dxa" w:w="2436"/>
            <w:tcBorders>
              <w:top w:val="single" w:sz="6" w:color="D6DBE2"/>
              <w:left w:val="single" w:sz="6" w:color="D6DBE2"/>
              <w:bottom w:val="single" w:sz="6" w:color="D6DBE2"/>
              <w:right w:val="single" w:sz="6" w:color="D6DBE2"/>
            </w:tcBorders>
            <w:vAlign w:val="center"/>
          </w:tcPr>
          <w:p>
            <w:r>
              <w:rPr>
                <w:color w:val="333333"/>
                <w:sz w:val="20"/>
              </w:rPr>
              <w:t>4.1.1 Parsing</w:t>
            </w:r>
          </w:p>
        </w:tc>
        <w:tc>
          <w:tcPr>
            <w:tcW w:type="dxa" w:w="2436"/>
            <w:tcBorders>
              <w:top w:val="single" w:sz="6" w:color="D6DBE2"/>
              <w:left w:val="single" w:sz="6" w:color="D6DBE2"/>
              <w:bottom w:val="single" w:sz="6" w:color="D6DBE2"/>
              <w:right w:val="single" w:sz="6" w:color="D6DBE2"/>
            </w:tcBorders>
            <w:vAlign w:val="center"/>
          </w:tcPr>
          <w:p>
            <w:r>
              <w:rPr>
                <w:color w:val="333333"/>
                <w:sz w:val="20"/>
              </w:rPr>
              <w:t>Markup validates with no duplicate IDs or unclosed elements that affect parsing.</w:t>
            </w:r>
          </w:p>
        </w:tc>
        <w:tc>
          <w:tcPr>
            <w:tcW w:type="dxa" w:w="2436"/>
            <w:tcBorders>
              <w:top w:val="single" w:sz="6" w:color="D6DBE2"/>
              <w:left w:val="single" w:sz="6" w:color="D6DBE2"/>
              <w:bottom w:val="single" w:sz="6" w:color="D6DBE2"/>
              <w:right w:val="single" w:sz="6" w:color="D6DBE2"/>
            </w:tcBorders>
            <w:vAlign w:val="center"/>
          </w:tcPr>
          <w:p>
            <w:r>
              <w:rPr>
                <w:b/>
                <w:color w:val="1F7A3F"/>
                <w:sz w:val="20"/>
              </w:rPr>
              <w:t>Pass</w:t>
            </w:r>
          </w:p>
        </w:tc>
        <w:tc>
          <w:tcPr>
            <w:tcW w:type="dxa" w:w="2436"/>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2436"/>
            <w:shd w:val="clear" w:color="auto" w:fill="F4F6FA"/>
            <w:tcBorders>
              <w:top w:val="single" w:sz="6" w:color="D6DBE2"/>
              <w:left w:val="single" w:sz="6" w:color="D6DBE2"/>
              <w:bottom w:val="single" w:sz="6" w:color="D6DBE2"/>
              <w:right w:val="single" w:sz="6" w:color="D6DBE2"/>
            </w:tcBorders>
            <w:vAlign w:val="center"/>
          </w:tcPr>
          <w:p>
            <w:r>
              <w:rPr>
                <w:color w:val="333333"/>
                <w:sz w:val="20"/>
              </w:rPr>
              <w:t>4.1.2 Name, Role, Value</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color w:val="333333"/>
                <w:sz w:val="20"/>
              </w:rPr>
              <w:t>Custom components expose appropriate roles, names, and states via ARIA where required.</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b/>
                <w:color w:val="1F7A3F"/>
                <w:sz w:val="20"/>
              </w:rPr>
              <w:t>Pass</w:t>
            </w:r>
          </w:p>
        </w:tc>
        <w:tc>
          <w:tcPr>
            <w:tcW w:type="dxa" w:w="2436"/>
            <w:shd w:val="clear" w:color="auto" w:fill="F4F6FA"/>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2436"/>
            <w:tcBorders>
              <w:top w:val="single" w:sz="6" w:color="D6DBE2"/>
              <w:left w:val="single" w:sz="6" w:color="D6DBE2"/>
              <w:bottom w:val="single" w:sz="6" w:color="D6DBE2"/>
              <w:right w:val="single" w:sz="6" w:color="D6DBE2"/>
            </w:tcBorders>
            <w:vAlign w:val="center"/>
          </w:tcPr>
          <w:p>
            <w:r>
              <w:rPr>
                <w:color w:val="333333"/>
                <w:sz w:val="20"/>
              </w:rPr>
              <w:t>4.1.3 Status Messages</w:t>
            </w:r>
          </w:p>
        </w:tc>
        <w:tc>
          <w:tcPr>
            <w:tcW w:type="dxa" w:w="2436"/>
            <w:tcBorders>
              <w:top w:val="single" w:sz="6" w:color="D6DBE2"/>
              <w:left w:val="single" w:sz="6" w:color="D6DBE2"/>
              <w:bottom w:val="single" w:sz="6" w:color="D6DBE2"/>
              <w:right w:val="single" w:sz="6" w:color="D6DBE2"/>
            </w:tcBorders>
            <w:vAlign w:val="center"/>
          </w:tcPr>
          <w:p>
            <w:r>
              <w:rPr>
                <w:color w:val="333333"/>
                <w:sz w:val="20"/>
              </w:rPr>
              <w:t>Dynamic status updates use live regions to communicate to assistive technologies.</w:t>
            </w:r>
          </w:p>
        </w:tc>
        <w:tc>
          <w:tcPr>
            <w:tcW w:type="dxa" w:w="2436"/>
            <w:tcBorders>
              <w:top w:val="single" w:sz="6" w:color="D6DBE2"/>
              <w:left w:val="single" w:sz="6" w:color="D6DBE2"/>
              <w:bottom w:val="single" w:sz="6" w:color="D6DBE2"/>
              <w:right w:val="single" w:sz="6" w:color="D6DBE2"/>
            </w:tcBorders>
            <w:vAlign w:val="center"/>
          </w:tcPr>
          <w:p>
            <w:r>
              <w:rPr>
                <w:b/>
                <w:color w:val="1F7A3F"/>
                <w:sz w:val="20"/>
              </w:rPr>
              <w:t>Pass</w:t>
            </w:r>
          </w:p>
        </w:tc>
        <w:tc>
          <w:tcPr>
            <w:tcW w:type="dxa" w:w="2436"/>
            <w:tcBorders>
              <w:top w:val="single" w:sz="6" w:color="D6DBE2"/>
              <w:left w:val="single" w:sz="6" w:color="D6DBE2"/>
              <w:bottom w:val="single" w:sz="6" w:color="D6DBE2"/>
              <w:right w:val="single" w:sz="6" w:color="D6DBE2"/>
            </w:tcBorders>
            <w:vAlign w:val="center"/>
          </w:tcPr>
          <w:p>
            <w:r>
              <w:rPr>
                <w:b/>
                <w:color w:val="1F7A3F"/>
                <w:sz w:val="20"/>
              </w:rPr>
              <w:t>Resolved</w:t>
            </w:r>
          </w:p>
        </w:tc>
      </w:tr>
    </w:tbl>
    <w:p>
      <w:r>
        <w:br w:type="page"/>
      </w:r>
    </w:p>
    <w:p>
      <w:pPr>
        <w:spacing w:after="40" w:before="160"/>
      </w:pPr>
      <w:r>
        <w:rPr>
          <w:b/>
          <w:color w:val="2D6CDF"/>
          <w:sz w:val="18"/>
        </w:rPr>
        <w:t>SECTION 05</w:t>
      </w:r>
    </w:p>
    <w:p>
      <w:pPr>
        <w:spacing w:before="0" w:after="160"/>
        <w:pBdr>
          <w:bottom w:val="single" w:sz="8" w:space="4" w:color="1E3A6B"/>
        </w:pBdr>
      </w:pPr>
      <w:r>
        <w:rPr>
          <w:b/>
          <w:color w:val="0E2A47"/>
          <w:sz w:val="40"/>
        </w:rPr>
        <w:t>Remediation Summary</w:t>
      </w:r>
    </w:p>
    <w:p>
      <w:pPr>
        <w:spacing w:after="120" w:line="300" w:lineRule="auto"/>
      </w:pPr>
      <w:r>
        <w:rPr>
          <w:b w:val="0"/>
          <w:i w:val="0"/>
          <w:color w:val="333333"/>
          <w:sz w:val="22"/>
        </w:rPr>
        <w:t>The table below summarises the corrective work completed during the engagement. Every item identified during initial discovery has been addressed and verified against the audit tooling.</w:t>
      </w:r>
    </w:p>
    <w:p>
      <w:pPr>
        <w:spacing w:before="200" w:after="80"/>
      </w:pPr>
      <w:r>
        <w:rPr>
          <w:b/>
          <w:color w:val="1F7A3F"/>
          <w:sz w:val="28"/>
        </w:rPr>
        <w:t>Completed Fixes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1F7A3F"/>
            <w:tcBorders>
              <w:top w:val="single" w:sz="6" w:color="1F7A3F"/>
              <w:left w:val="single" w:sz="6" w:color="1F7A3F"/>
              <w:bottom w:val="single" w:sz="6" w:color="1F7A3F"/>
              <w:right w:val="single" w:sz="6" w:color="1F7A3F"/>
            </w:tcBorders>
            <w:vAlign w:val="center"/>
          </w:tcPr>
          <w:p>
            <w:r>
              <w:rPr>
                <w:b/>
                <w:color w:val="FFFFFF"/>
                <w:sz w:val="20"/>
              </w:rPr>
              <w:t>Area</w:t>
            </w:r>
          </w:p>
        </w:tc>
        <w:tc>
          <w:tcPr>
            <w:tcW w:type="dxa" w:w="3249"/>
            <w:shd w:val="clear" w:color="auto" w:fill="1F7A3F"/>
            <w:tcBorders>
              <w:top w:val="single" w:sz="6" w:color="1F7A3F"/>
              <w:left w:val="single" w:sz="6" w:color="1F7A3F"/>
              <w:bottom w:val="single" w:sz="6" w:color="1F7A3F"/>
              <w:right w:val="single" w:sz="6" w:color="1F7A3F"/>
            </w:tcBorders>
            <w:vAlign w:val="center"/>
          </w:tcPr>
          <w:p>
            <w:r>
              <w:rPr>
                <w:b/>
                <w:color w:val="FFFFFF"/>
                <w:sz w:val="20"/>
              </w:rPr>
              <w:t>Action Taken</w:t>
            </w:r>
          </w:p>
        </w:tc>
        <w:tc>
          <w:tcPr>
            <w:tcW w:type="dxa" w:w="3249"/>
            <w:shd w:val="clear" w:color="auto" w:fill="1F7A3F"/>
            <w:tcBorders>
              <w:top w:val="single" w:sz="6" w:color="1F7A3F"/>
              <w:left w:val="single" w:sz="6" w:color="1F7A3F"/>
              <w:bottom w:val="single" w:sz="6" w:color="1F7A3F"/>
              <w:right w:val="single" w:sz="6" w:color="1F7A3F"/>
            </w:tcBorders>
            <w:vAlign w:val="center"/>
          </w:tcPr>
          <w:p>
            <w:r>
              <w:rPr>
                <w:b/>
                <w:color w:val="FFFFFF"/>
                <w:sz w:val="20"/>
              </w:rPr>
              <w:t>Status</w:t>
            </w:r>
          </w:p>
        </w:tc>
      </w:tr>
      <w:tr>
        <w:tc>
          <w:tcPr>
            <w:tcW w:type="dxa" w:w="3249"/>
            <w:tcBorders>
              <w:top w:val="single" w:sz="6" w:color="D6DBE2"/>
              <w:left w:val="single" w:sz="6" w:color="D6DBE2"/>
              <w:bottom w:val="single" w:sz="6" w:color="D6DBE2"/>
              <w:right w:val="single" w:sz="6" w:color="D6DBE2"/>
            </w:tcBorders>
            <w:vAlign w:val="center"/>
          </w:tcPr>
          <w:p>
            <w:r>
              <w:rPr>
                <w:color w:val="333333"/>
                <w:sz w:val="20"/>
              </w:rPr>
              <w:t>Image Alternatives</w:t>
            </w:r>
          </w:p>
        </w:tc>
        <w:tc>
          <w:tcPr>
            <w:tcW w:type="dxa" w:w="3249"/>
            <w:tcBorders>
              <w:top w:val="single" w:sz="6" w:color="D6DBE2"/>
              <w:left w:val="single" w:sz="6" w:color="D6DBE2"/>
              <w:bottom w:val="single" w:sz="6" w:color="D6DBE2"/>
              <w:right w:val="single" w:sz="6" w:color="D6DBE2"/>
            </w:tcBorders>
            <w:vAlign w:val="center"/>
          </w:tcPr>
          <w:p>
            <w:r>
              <w:rPr>
                <w:color w:val="333333"/>
                <w:sz w:val="20"/>
              </w:rPr>
              <w:t>Authored alt text for all informative imagery; flagged decorative assets.</w:t>
            </w:r>
          </w:p>
        </w:tc>
        <w:tc>
          <w:tcPr>
            <w:tcW w:type="dxa" w:w="3249"/>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3249"/>
            <w:shd w:val="clear" w:color="auto" w:fill="F4F6FA"/>
            <w:tcBorders>
              <w:top w:val="single" w:sz="6" w:color="D6DBE2"/>
              <w:left w:val="single" w:sz="6" w:color="D6DBE2"/>
              <w:bottom w:val="single" w:sz="6" w:color="D6DBE2"/>
              <w:right w:val="single" w:sz="6" w:color="D6DBE2"/>
            </w:tcBorders>
            <w:vAlign w:val="center"/>
          </w:tcPr>
          <w:p>
            <w:r>
              <w:rPr>
                <w:color w:val="333333"/>
                <w:sz w:val="20"/>
              </w:rPr>
              <w:t>Form Accessibility</w:t>
            </w:r>
          </w:p>
        </w:tc>
        <w:tc>
          <w:tcPr>
            <w:tcW w:type="dxa" w:w="3249"/>
            <w:shd w:val="clear" w:color="auto" w:fill="F4F6FA"/>
            <w:tcBorders>
              <w:top w:val="single" w:sz="6" w:color="D6DBE2"/>
              <w:left w:val="single" w:sz="6" w:color="D6DBE2"/>
              <w:bottom w:val="single" w:sz="6" w:color="D6DBE2"/>
              <w:right w:val="single" w:sz="6" w:color="D6DBE2"/>
            </w:tcBorders>
            <w:vAlign w:val="center"/>
          </w:tcPr>
          <w:p>
            <w:r>
              <w:rPr>
                <w:color w:val="333333"/>
                <w:sz w:val="20"/>
              </w:rPr>
              <w:t>Bound every input to a visible label and added programmatic error association.</w:t>
            </w:r>
          </w:p>
        </w:tc>
        <w:tc>
          <w:tcPr>
            <w:tcW w:type="dxa" w:w="3249"/>
            <w:shd w:val="clear" w:color="auto" w:fill="F4F6FA"/>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3249"/>
            <w:tcBorders>
              <w:top w:val="single" w:sz="6" w:color="D6DBE2"/>
              <w:left w:val="single" w:sz="6" w:color="D6DBE2"/>
              <w:bottom w:val="single" w:sz="6" w:color="D6DBE2"/>
              <w:right w:val="single" w:sz="6" w:color="D6DBE2"/>
            </w:tcBorders>
            <w:vAlign w:val="center"/>
          </w:tcPr>
          <w:p>
            <w:r>
              <w:rPr>
                <w:color w:val="333333"/>
                <w:sz w:val="20"/>
              </w:rPr>
              <w:t>Keyboard Navigation</w:t>
            </w:r>
          </w:p>
        </w:tc>
        <w:tc>
          <w:tcPr>
            <w:tcW w:type="dxa" w:w="3249"/>
            <w:tcBorders>
              <w:top w:val="single" w:sz="6" w:color="D6DBE2"/>
              <w:left w:val="single" w:sz="6" w:color="D6DBE2"/>
              <w:bottom w:val="single" w:sz="6" w:color="D6DBE2"/>
              <w:right w:val="single" w:sz="6" w:color="D6DBE2"/>
            </w:tcBorders>
            <w:vAlign w:val="center"/>
          </w:tcPr>
          <w:p>
            <w:r>
              <w:rPr>
                <w:color w:val="333333"/>
                <w:sz w:val="20"/>
              </w:rPr>
              <w:t>Eliminated focus traps, restored logical tab order, standardized focus styles.</w:t>
            </w:r>
          </w:p>
        </w:tc>
        <w:tc>
          <w:tcPr>
            <w:tcW w:type="dxa" w:w="3249"/>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3249"/>
            <w:shd w:val="clear" w:color="auto" w:fill="F4F6FA"/>
            <w:tcBorders>
              <w:top w:val="single" w:sz="6" w:color="D6DBE2"/>
              <w:left w:val="single" w:sz="6" w:color="D6DBE2"/>
              <w:bottom w:val="single" w:sz="6" w:color="D6DBE2"/>
              <w:right w:val="single" w:sz="6" w:color="D6DBE2"/>
            </w:tcBorders>
            <w:vAlign w:val="center"/>
          </w:tcPr>
          <w:p>
            <w:r>
              <w:rPr>
                <w:color w:val="333333"/>
                <w:sz w:val="20"/>
              </w:rPr>
              <w:t>ARIA Landmarks</w:t>
            </w:r>
          </w:p>
        </w:tc>
        <w:tc>
          <w:tcPr>
            <w:tcW w:type="dxa" w:w="3249"/>
            <w:shd w:val="clear" w:color="auto" w:fill="F4F6FA"/>
            <w:tcBorders>
              <w:top w:val="single" w:sz="6" w:color="D6DBE2"/>
              <w:left w:val="single" w:sz="6" w:color="D6DBE2"/>
              <w:bottom w:val="single" w:sz="6" w:color="D6DBE2"/>
              <w:right w:val="single" w:sz="6" w:color="D6DBE2"/>
            </w:tcBorders>
            <w:vAlign w:val="center"/>
          </w:tcPr>
          <w:p>
            <w:r>
              <w:rPr>
                <w:color w:val="333333"/>
                <w:sz w:val="20"/>
              </w:rPr>
              <w:t>Introduced consistent header, nav, main, and footer landmarks across templates.</w:t>
            </w:r>
          </w:p>
        </w:tc>
        <w:tc>
          <w:tcPr>
            <w:tcW w:type="dxa" w:w="3249"/>
            <w:shd w:val="clear" w:color="auto" w:fill="F4F6FA"/>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3249"/>
            <w:tcBorders>
              <w:top w:val="single" w:sz="6" w:color="D6DBE2"/>
              <w:left w:val="single" w:sz="6" w:color="D6DBE2"/>
              <w:bottom w:val="single" w:sz="6" w:color="D6DBE2"/>
              <w:right w:val="single" w:sz="6" w:color="D6DBE2"/>
            </w:tcBorders>
            <w:vAlign w:val="center"/>
          </w:tcPr>
          <w:p>
            <w:r>
              <w:rPr>
                <w:color w:val="333333"/>
                <w:sz w:val="20"/>
              </w:rPr>
              <w:t>Heading Hierarchy</w:t>
            </w:r>
          </w:p>
        </w:tc>
        <w:tc>
          <w:tcPr>
            <w:tcW w:type="dxa" w:w="3249"/>
            <w:tcBorders>
              <w:top w:val="single" w:sz="6" w:color="D6DBE2"/>
              <w:left w:val="single" w:sz="6" w:color="D6DBE2"/>
              <w:bottom w:val="single" w:sz="6" w:color="D6DBE2"/>
              <w:right w:val="single" w:sz="6" w:color="D6DBE2"/>
            </w:tcBorders>
            <w:vAlign w:val="center"/>
          </w:tcPr>
          <w:p>
            <w:r>
              <w:rPr>
                <w:color w:val="333333"/>
                <w:sz w:val="20"/>
              </w:rPr>
              <w:t>Restructured pages to follow a single H1 with sequential subordinate headings.</w:t>
            </w:r>
          </w:p>
        </w:tc>
        <w:tc>
          <w:tcPr>
            <w:tcW w:type="dxa" w:w="3249"/>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3249"/>
            <w:shd w:val="clear" w:color="auto" w:fill="F4F6FA"/>
            <w:tcBorders>
              <w:top w:val="single" w:sz="6" w:color="D6DBE2"/>
              <w:left w:val="single" w:sz="6" w:color="D6DBE2"/>
              <w:bottom w:val="single" w:sz="6" w:color="D6DBE2"/>
              <w:right w:val="single" w:sz="6" w:color="D6DBE2"/>
            </w:tcBorders>
            <w:vAlign w:val="center"/>
          </w:tcPr>
          <w:p>
            <w:r>
              <w:rPr>
                <w:color w:val="333333"/>
                <w:sz w:val="20"/>
              </w:rPr>
              <w:t>Dialog Focus Return</w:t>
            </w:r>
          </w:p>
        </w:tc>
        <w:tc>
          <w:tcPr>
            <w:tcW w:type="dxa" w:w="3249"/>
            <w:shd w:val="clear" w:color="auto" w:fill="F4F6FA"/>
            <w:tcBorders>
              <w:top w:val="single" w:sz="6" w:color="D6DBE2"/>
              <w:left w:val="single" w:sz="6" w:color="D6DBE2"/>
              <w:bottom w:val="single" w:sz="6" w:color="D6DBE2"/>
              <w:right w:val="single" w:sz="6" w:color="D6DBE2"/>
            </w:tcBorders>
            <w:vAlign w:val="center"/>
          </w:tcPr>
          <w:p>
            <w:r>
              <w:rPr>
                <w:color w:val="333333"/>
                <w:sz w:val="20"/>
              </w:rPr>
              <w:t>Modal and drawer components return focus to the originating control on close.</w:t>
            </w:r>
          </w:p>
        </w:tc>
        <w:tc>
          <w:tcPr>
            <w:tcW w:type="dxa" w:w="3249"/>
            <w:shd w:val="clear" w:color="auto" w:fill="F4F6FA"/>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3249"/>
            <w:tcBorders>
              <w:top w:val="single" w:sz="6" w:color="D6DBE2"/>
              <w:left w:val="single" w:sz="6" w:color="D6DBE2"/>
              <w:bottom w:val="single" w:sz="6" w:color="D6DBE2"/>
              <w:right w:val="single" w:sz="6" w:color="D6DBE2"/>
            </w:tcBorders>
            <w:vAlign w:val="center"/>
          </w:tcPr>
          <w:p>
            <w:r>
              <w:rPr>
                <w:color w:val="333333"/>
                <w:sz w:val="20"/>
              </w:rPr>
              <w:t>Internationalised Labels</w:t>
            </w:r>
          </w:p>
        </w:tc>
        <w:tc>
          <w:tcPr>
            <w:tcW w:type="dxa" w:w="3249"/>
            <w:tcBorders>
              <w:top w:val="single" w:sz="6" w:color="D6DBE2"/>
              <w:left w:val="single" w:sz="6" w:color="D6DBE2"/>
              <w:bottom w:val="single" w:sz="6" w:color="D6DBE2"/>
              <w:right w:val="single" w:sz="6" w:color="D6DBE2"/>
            </w:tcBorders>
            <w:vAlign w:val="center"/>
          </w:tcPr>
          <w:p>
            <w:r>
              <w:rPr>
                <w:color w:val="333333"/>
                <w:sz w:val="20"/>
              </w:rPr>
              <w:t>Pause, play, slider, and product control labels use translated strings.</w:t>
            </w:r>
          </w:p>
        </w:tc>
        <w:tc>
          <w:tcPr>
            <w:tcW w:type="dxa" w:w="3249"/>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3249"/>
            <w:shd w:val="clear" w:color="auto" w:fill="F4F6FA"/>
            <w:tcBorders>
              <w:top w:val="single" w:sz="6" w:color="D6DBE2"/>
              <w:left w:val="single" w:sz="6" w:color="D6DBE2"/>
              <w:bottom w:val="single" w:sz="6" w:color="D6DBE2"/>
              <w:right w:val="single" w:sz="6" w:color="D6DBE2"/>
            </w:tcBorders>
            <w:vAlign w:val="center"/>
          </w:tcPr>
          <w:p>
            <w:r>
              <w:rPr>
                <w:color w:val="333333"/>
                <w:sz w:val="20"/>
              </w:rPr>
              <w:t>Brand Contrast Decisions</w:t>
            </w:r>
          </w:p>
        </w:tc>
        <w:tc>
          <w:tcPr>
            <w:tcW w:type="dxa" w:w="3249"/>
            <w:shd w:val="clear" w:color="auto" w:fill="F4F6FA"/>
            <w:tcBorders>
              <w:top w:val="single" w:sz="6" w:color="D6DBE2"/>
              <w:left w:val="single" w:sz="6" w:color="D6DBE2"/>
              <w:bottom w:val="single" w:sz="6" w:color="D6DBE2"/>
              <w:right w:val="single" w:sz="6" w:color="D6DBE2"/>
            </w:tcBorders>
            <w:vAlign w:val="center"/>
          </w:tcPr>
          <w:p>
            <w:r>
              <w:rPr>
                <w:color w:val="333333"/>
                <w:sz w:val="20"/>
              </w:rPr>
              <w:t>Brand-led color choices reviewed, mitigated, and formally documented.</w:t>
            </w:r>
          </w:p>
        </w:tc>
        <w:tc>
          <w:tcPr>
            <w:tcW w:type="dxa" w:w="3249"/>
            <w:shd w:val="clear" w:color="auto" w:fill="F4F6FA"/>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3249"/>
            <w:tcBorders>
              <w:top w:val="single" w:sz="6" w:color="D6DBE2"/>
              <w:left w:val="single" w:sz="6" w:color="D6DBE2"/>
              <w:bottom w:val="single" w:sz="6" w:color="D6DBE2"/>
              <w:right w:val="single" w:sz="6" w:color="D6DBE2"/>
            </w:tcBorders>
            <w:vAlign w:val="center"/>
          </w:tcPr>
          <w:p>
            <w:r>
              <w:rPr>
                <w:color w:val="333333"/>
                <w:sz w:val="20"/>
              </w:rPr>
              <w:t>Component Library</w:t>
            </w:r>
          </w:p>
        </w:tc>
        <w:tc>
          <w:tcPr>
            <w:tcW w:type="dxa" w:w="3249"/>
            <w:tcBorders>
              <w:top w:val="single" w:sz="6" w:color="D6DBE2"/>
              <w:left w:val="single" w:sz="6" w:color="D6DBE2"/>
              <w:bottom w:val="single" w:sz="6" w:color="D6DBE2"/>
              <w:right w:val="single" w:sz="6" w:color="D6DBE2"/>
            </w:tcBorders>
            <w:vAlign w:val="center"/>
          </w:tcPr>
          <w:p>
            <w:r>
              <w:rPr>
                <w:color w:val="333333"/>
                <w:sz w:val="20"/>
              </w:rPr>
              <w:t>Shared UI components and design tokens hardened for accessibility.</w:t>
            </w:r>
          </w:p>
        </w:tc>
        <w:tc>
          <w:tcPr>
            <w:tcW w:type="dxa" w:w="3249"/>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3249"/>
            <w:shd w:val="clear" w:color="auto" w:fill="F4F6FA"/>
            <w:tcBorders>
              <w:top w:val="single" w:sz="6" w:color="D6DBE2"/>
              <w:left w:val="single" w:sz="6" w:color="D6DBE2"/>
              <w:bottom w:val="single" w:sz="6" w:color="D6DBE2"/>
              <w:right w:val="single" w:sz="6" w:color="D6DBE2"/>
            </w:tcBorders>
            <w:vAlign w:val="center"/>
          </w:tcPr>
          <w:p>
            <w:r>
              <w:rPr>
                <w:color w:val="333333"/>
                <w:sz w:val="20"/>
              </w:rPr>
              <w:t>Authoring Guidelines</w:t>
            </w:r>
          </w:p>
        </w:tc>
        <w:tc>
          <w:tcPr>
            <w:tcW w:type="dxa" w:w="3249"/>
            <w:shd w:val="clear" w:color="auto" w:fill="F4F6FA"/>
            <w:tcBorders>
              <w:top w:val="single" w:sz="6" w:color="D6DBE2"/>
              <w:left w:val="single" w:sz="6" w:color="D6DBE2"/>
              <w:bottom w:val="single" w:sz="6" w:color="D6DBE2"/>
              <w:right w:val="single" w:sz="6" w:color="D6DBE2"/>
            </w:tcBorders>
            <w:vAlign w:val="center"/>
          </w:tcPr>
          <w:p>
            <w:r>
              <w:rPr>
                <w:color w:val="333333"/>
                <w:sz w:val="20"/>
              </w:rPr>
              <w:t>Editorial guidance for alt text, link labelling, and headings finalised.</w:t>
            </w:r>
          </w:p>
        </w:tc>
        <w:tc>
          <w:tcPr>
            <w:tcW w:type="dxa" w:w="3249"/>
            <w:shd w:val="clear" w:color="auto" w:fill="F4F6FA"/>
            <w:tcBorders>
              <w:top w:val="single" w:sz="6" w:color="D6DBE2"/>
              <w:left w:val="single" w:sz="6" w:color="D6DBE2"/>
              <w:bottom w:val="single" w:sz="6" w:color="D6DBE2"/>
              <w:right w:val="single" w:sz="6" w:color="D6DBE2"/>
            </w:tcBorders>
            <w:vAlign w:val="center"/>
          </w:tcPr>
          <w:p>
            <w:r>
              <w:rPr>
                <w:b/>
                <w:color w:val="1F7A3F"/>
                <w:sz w:val="20"/>
              </w:rPr>
              <w:t>Resolved</w:t>
            </w:r>
          </w:p>
        </w:tc>
      </w:tr>
      <w:tr>
        <w:tc>
          <w:tcPr>
            <w:tcW w:type="dxa" w:w="3249"/>
            <w:tcBorders>
              <w:top w:val="single" w:sz="6" w:color="D6DBE2"/>
              <w:left w:val="single" w:sz="6" w:color="D6DBE2"/>
              <w:bottom w:val="single" w:sz="6" w:color="D6DBE2"/>
              <w:right w:val="single" w:sz="6" w:color="D6DBE2"/>
            </w:tcBorders>
            <w:vAlign w:val="center"/>
          </w:tcPr>
          <w:p>
            <w:r>
              <w:rPr>
                <w:color w:val="333333"/>
                <w:sz w:val="20"/>
              </w:rPr>
              <w:t>Performance Hygiene</w:t>
            </w:r>
          </w:p>
        </w:tc>
        <w:tc>
          <w:tcPr>
            <w:tcW w:type="dxa" w:w="3249"/>
            <w:tcBorders>
              <w:top w:val="single" w:sz="6" w:color="D6DBE2"/>
              <w:left w:val="single" w:sz="6" w:color="D6DBE2"/>
              <w:bottom w:val="single" w:sz="6" w:color="D6DBE2"/>
              <w:right w:val="single" w:sz="6" w:color="D6DBE2"/>
            </w:tcBorders>
            <w:vAlign w:val="center"/>
          </w:tcPr>
          <w:p>
            <w:r>
              <w:rPr>
                <w:color w:val="333333"/>
                <w:sz w:val="20"/>
              </w:rPr>
              <w:t>Render-blocking assets reviewed and lazy-loading applied where appropriate.</w:t>
            </w:r>
          </w:p>
        </w:tc>
        <w:tc>
          <w:tcPr>
            <w:tcW w:type="dxa" w:w="3249"/>
            <w:tcBorders>
              <w:top w:val="single" w:sz="6" w:color="D6DBE2"/>
              <w:left w:val="single" w:sz="6" w:color="D6DBE2"/>
              <w:bottom w:val="single" w:sz="6" w:color="D6DBE2"/>
              <w:right w:val="single" w:sz="6" w:color="D6DBE2"/>
            </w:tcBorders>
            <w:vAlign w:val="center"/>
          </w:tcPr>
          <w:p>
            <w:r>
              <w:rPr>
                <w:b/>
                <w:color w:val="1F7A3F"/>
                <w:sz w:val="20"/>
              </w:rPr>
              <w:t>Resolved</w:t>
            </w:r>
          </w:p>
        </w:tc>
      </w:tr>
    </w:tbl>
    <w:p>
      <w:r>
        <w:br w:type="page"/>
      </w:r>
    </w:p>
    <w:p>
      <w:pPr>
        <w:spacing w:after="40" w:before="160"/>
      </w:pPr>
      <w:r>
        <w:rPr>
          <w:b/>
          <w:color w:val="2D6CDF"/>
          <w:sz w:val="18"/>
        </w:rPr>
        <w:t>SECTION 06</w:t>
      </w:r>
    </w:p>
    <w:p>
      <w:pPr>
        <w:spacing w:before="0" w:after="160"/>
        <w:pBdr>
          <w:bottom w:val="single" w:sz="8" w:space="4" w:color="1E3A6B"/>
        </w:pBdr>
      </w:pPr>
      <w:r>
        <w:rPr>
          <w:b/>
          <w:color w:val="0E2A47"/>
          <w:sz w:val="40"/>
        </w:rPr>
        <w:t>Conformance Statement</w:t>
      </w:r>
    </w:p>
    <w:p>
      <w:pPr>
        <w:spacing w:after="120" w:line="300" w:lineRule="auto"/>
      </w:pPr>
      <w:r>
        <w:rPr>
          <w:b w:val="0"/>
          <w:i w:val="0"/>
          <w:color w:val="333333"/>
          <w:sz w:val="22"/>
        </w:rPr>
        <w:t>Based on the testing methodology described in this document, the audited property is considered substantially conformant with WCAG 2.1 Level AA. All identified findings have been remediated and verified, with the exception of a small number of brand-led contrast decisions which have been formally documented as accepted design constraints.</w:t>
      </w:r>
    </w:p>
    <w:tbl>
      <w:tblPr>
        <w:tblW w:type="auto" w:w="0"/>
        <w:tblLayout w:type="fixed"/>
        <w:tblLook w:firstColumn="1" w:firstRow="1" w:lastColumn="0" w:lastRow="0" w:noHBand="0" w:noVBand="1" w:val="04A0"/>
      </w:tblPr>
      <w:tblGrid>
        <w:gridCol w:w="102"/>
        <w:gridCol w:w="8787"/>
      </w:tblGrid>
      <w:tr>
        <w:tc>
          <w:tcPr>
            <w:tcW w:type="dxa" w:w="102"/>
            <w:shd w:val="clear" w:color="auto" w:fill="1F7A3F"/>
            <w:tcBorders>
              <w:top w:val="nil"/>
              <w:left w:val="nil"/>
              <w:bottom w:val="nil"/>
              <w:right w:val="nil"/>
            </w:tcBorders>
          </w:tcPr>
          <w:p>
            <w:r/>
          </w:p>
        </w:tc>
        <w:tc>
          <w:tcPr>
            <w:tcW w:type="dxa" w:w="8787"/>
            <w:shd w:val="clear" w:color="auto" w:fill="E8F3EC"/>
            <w:tcBorders>
              <w:top w:val="nil"/>
              <w:left w:val="nil"/>
              <w:bottom w:val="nil"/>
              <w:right w:val="nil"/>
            </w:tcBorders>
            <w:vAlign w:val="center"/>
          </w:tcPr>
          <w:p>
            <w:pPr>
              <w:spacing w:line="312" w:lineRule="auto"/>
            </w:pPr>
            <w:r>
              <w:rPr>
                <w:b/>
                <w:color w:val="0E2A47"/>
                <w:sz w:val="22"/>
              </w:rPr>
              <w:t>Final Verdict</w:t>
            </w:r>
            <w:r>
              <w:br/>
            </w:r>
            <w:r>
              <w:rPr>
                <w:i/>
                <w:color w:val="333333"/>
                <w:sz w:val="21"/>
              </w:rPr>
              <w:t>The platform demonstrates a mature accessibility posture. The combination of Google Lighthouse and Axe DevTools v5.2 by Deque has provided a rigorous, evidence-based assessment, and the completed remediation work has eliminated every impactful barrier to access. This report is issued as the final record of conformance for the engagement.</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