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32F6E" w14:textId="77777777" w:rsidR="00610AA3" w:rsidRDefault="00000000">
      <w:pPr>
        <w:pStyle w:val="Title"/>
      </w:pPr>
      <w:r>
        <w:t>Case Studies &amp; References</w:t>
      </w:r>
    </w:p>
    <w:p w14:paraId="0D5F45F6" w14:textId="77777777" w:rsidR="00610AA3" w:rsidRDefault="00000000">
      <w:r>
        <w:t>Version: v20251024</w:t>
      </w:r>
    </w:p>
    <w:p w14:paraId="1B0BAE49" w14:textId="77777777" w:rsidR="00610AA3" w:rsidRDefault="00000000">
      <w:r>
        <w:t>Owner: Ahsan Kamal</w:t>
      </w:r>
    </w:p>
    <w:p w14:paraId="2A29D7AD" w14:textId="77777777" w:rsidR="00610AA3" w:rsidRDefault="00000000">
      <w:r>
        <w:t>Reviewer(s): Tobias Bessone</w:t>
      </w:r>
    </w:p>
    <w:p w14:paraId="2243C152" w14:textId="77777777" w:rsidR="00610AA3" w:rsidRDefault="00000000">
      <w:r>
        <w:t>Next Review Date: April 23, 2026</w:t>
      </w:r>
    </w:p>
    <w:p w14:paraId="1C5C267B" w14:textId="77777777" w:rsidR="00610AA3" w:rsidRDefault="00000000">
      <w:pPr>
        <w:pStyle w:val="Heading1"/>
      </w:pPr>
      <w:r>
        <w:t>Confidentiality Notice</w:t>
      </w:r>
    </w:p>
    <w:p w14:paraId="163CFF4C" w14:textId="77777777" w:rsidR="00610AA3" w:rsidRDefault="00000000">
      <w:r>
        <w:t>This document contains confidential and proprietary information intended solely for use in tender submissions and related evaluations. The content remains the property of Wavetec and may not be reproduced, distributed, or disclosed without prior written authorization.</w:t>
      </w:r>
    </w:p>
    <w:p w14:paraId="3D1ACC71" w14:textId="77777777" w:rsidR="00610AA3" w:rsidRDefault="00000000">
      <w:pPr>
        <w:pStyle w:val="Heading1"/>
      </w:pPr>
      <w:r>
        <w:t>Purpose</w:t>
      </w:r>
    </w:p>
    <w:p w14:paraId="4821EFFB" w14:textId="77777777" w:rsidR="00610AA3" w:rsidRDefault="00000000">
      <w:r>
        <w:t>This document presents verified case studies and client references illustrating Wavetec’s proven track record in delivering customer-experience, queue-management, and self-service solutions across multiple industries and regions. Each project demonstrates measurable outcomes, scalability, and alignment with public-sector standards of reliability, data integrity, and customer satisfaction.</w:t>
      </w:r>
    </w:p>
    <w:p w14:paraId="59003D5C" w14:textId="77777777" w:rsidR="00610AA3" w:rsidRDefault="00000000">
      <w:pPr>
        <w:pStyle w:val="Heading1"/>
      </w:pPr>
      <w:r>
        <w:t>Section 1 – Selected Case Studies</w:t>
      </w:r>
    </w:p>
    <w:p w14:paraId="793ECFB4" w14:textId="77777777" w:rsidR="00610AA3" w:rsidRDefault="00000000">
      <w:pPr>
        <w:pStyle w:val="Heading2"/>
      </w:pPr>
      <w:r>
        <w:t>Consum – Retail (SPAIN)</w:t>
      </w:r>
    </w:p>
    <w:p w14:paraId="79B3320F" w14:textId="77777777" w:rsidR="00610AA3" w:rsidRDefault="00000000">
      <w:r>
        <w:t>Project Overview: Deployment of an enterprise queue-management and digital-signage solution across 500+ supermarkets to optimize in-store service.</w:t>
      </w:r>
    </w:p>
    <w:p w14:paraId="6A946B73" w14:textId="77777777" w:rsidR="00610AA3" w:rsidRDefault="00000000">
      <w:r>
        <w:t>Scope of Work: Centralized queueing, customer feedback, digital screens, and operational analytics.</w:t>
      </w:r>
    </w:p>
    <w:p w14:paraId="5AEAFA4F" w14:textId="77777777" w:rsidR="00610AA3" w:rsidRDefault="00000000">
      <w:r>
        <w:t>Solution Implemented: Queue Management System + Spectra Dashboard + Digital Signage Platform.</w:t>
      </w:r>
    </w:p>
    <w:p w14:paraId="0391993F" w14:textId="77777777" w:rsidR="00610AA3" w:rsidRDefault="00000000">
      <w:r>
        <w:t>Key Outcomes:</w:t>
      </w:r>
    </w:p>
    <w:p w14:paraId="03B0B29F" w14:textId="77777777" w:rsidR="00610AA3" w:rsidRDefault="00000000">
      <w:pPr>
        <w:pStyle w:val="ListBullet"/>
      </w:pPr>
      <w:r>
        <w:t>Wait-time reduction of over 50%.</w:t>
      </w:r>
    </w:p>
    <w:p w14:paraId="2CC14219" w14:textId="77777777" w:rsidR="00610AA3" w:rsidRDefault="00000000">
      <w:pPr>
        <w:pStyle w:val="ListBullet"/>
      </w:pPr>
      <w:r>
        <w:t>Improved branch-level reporting accuracy.</w:t>
      </w:r>
    </w:p>
    <w:p w14:paraId="0D1185BD" w14:textId="77777777" w:rsidR="00610AA3" w:rsidRDefault="00000000">
      <w:pPr>
        <w:pStyle w:val="ListBullet"/>
      </w:pPr>
      <w:r>
        <w:t>Annual operational savings exceeding €1 million.</w:t>
      </w:r>
    </w:p>
    <w:p w14:paraId="7444502A" w14:textId="77777777" w:rsidR="00610AA3" w:rsidRDefault="00000000">
      <w:pPr>
        <w:pStyle w:val="Heading2"/>
      </w:pPr>
      <w:r>
        <w:lastRenderedPageBreak/>
        <w:t>Chilexpress – Courier &amp; Logistics (CHILE)</w:t>
      </w:r>
    </w:p>
    <w:p w14:paraId="7BC45769" w14:textId="77777777" w:rsidR="00610AA3" w:rsidRDefault="00000000">
      <w:r>
        <w:t>Project Overview: Nationwide modernization of branch experience and self-service kiosks to manage high transaction volumes.</w:t>
      </w:r>
    </w:p>
    <w:p w14:paraId="365A5699" w14:textId="77777777" w:rsidR="00610AA3" w:rsidRDefault="00000000">
      <w:r>
        <w:t>Scope of Work: Integrated queue-management and kiosk solution rolled out in 35 pilot branches.</w:t>
      </w:r>
    </w:p>
    <w:p w14:paraId="42B9045F" w14:textId="77777777" w:rsidR="00610AA3" w:rsidRDefault="00000000">
      <w:r>
        <w:t>Solution Implemented: Self-Service Kiosks + Customer Flow Platform + Analytics.</w:t>
      </w:r>
    </w:p>
    <w:p w14:paraId="4EE993B7" w14:textId="77777777" w:rsidR="00610AA3" w:rsidRDefault="00000000">
      <w:r>
        <w:t>Key Outcomes:</w:t>
      </w:r>
    </w:p>
    <w:p w14:paraId="71D4C033" w14:textId="77777777" w:rsidR="00610AA3" w:rsidRDefault="00000000">
      <w:pPr>
        <w:pStyle w:val="ListBullet"/>
      </w:pPr>
      <w:r>
        <w:t>Service times reduced to 15–60 seconds per transaction.</w:t>
      </w:r>
    </w:p>
    <w:p w14:paraId="09DE53E0" w14:textId="77777777" w:rsidR="00610AA3" w:rsidRDefault="00000000">
      <w:pPr>
        <w:pStyle w:val="ListBullet"/>
      </w:pPr>
      <w:r>
        <w:t>Centralized visibility for operations teams.</w:t>
      </w:r>
    </w:p>
    <w:p w14:paraId="314468DB" w14:textId="77777777" w:rsidR="00610AA3" w:rsidRDefault="00000000">
      <w:pPr>
        <w:pStyle w:val="ListBullet"/>
      </w:pPr>
      <w:r>
        <w:t>Pilot success led to full rollout planning.</w:t>
      </w:r>
    </w:p>
    <w:p w14:paraId="2877610B" w14:textId="77777777" w:rsidR="00610AA3" w:rsidRDefault="00000000">
      <w:pPr>
        <w:pStyle w:val="Heading2"/>
      </w:pPr>
      <w:r>
        <w:t>Takaful Al Rajhi Group – Insurance &amp; Banking (SAUDI ARABIA)</w:t>
      </w:r>
    </w:p>
    <w:p w14:paraId="06D2A16A" w14:textId="77777777" w:rsidR="00610AA3" w:rsidRDefault="00000000">
      <w:r>
        <w:t>Project Overview: Deployment of customer-flow and self-service technology across insurance centers.</w:t>
      </w:r>
    </w:p>
    <w:p w14:paraId="59871EBF" w14:textId="77777777" w:rsidR="00610AA3" w:rsidRDefault="00000000">
      <w:r>
        <w:t>Scope of Work: Queue-management platform integrated with core CRM systems.</w:t>
      </w:r>
    </w:p>
    <w:p w14:paraId="2FB36AEA" w14:textId="77777777" w:rsidR="00610AA3" w:rsidRDefault="00000000">
      <w:r>
        <w:t>Solution Implemented: Spectra CX Suite + WhatsApp Virtual Queuing + Integrated Displays.</w:t>
      </w:r>
    </w:p>
    <w:p w14:paraId="11197192" w14:textId="77777777" w:rsidR="00610AA3" w:rsidRDefault="00000000">
      <w:r>
        <w:t>Key Outcomes:</w:t>
      </w:r>
    </w:p>
    <w:p w14:paraId="1826AA5C" w14:textId="77777777" w:rsidR="00610AA3" w:rsidRDefault="00000000">
      <w:pPr>
        <w:pStyle w:val="ListBullet"/>
      </w:pPr>
      <w:r>
        <w:t>70% average reduction in customer wait times.</w:t>
      </w:r>
    </w:p>
    <w:p w14:paraId="1E62475E" w14:textId="77777777" w:rsidR="00610AA3" w:rsidRDefault="00000000">
      <w:pPr>
        <w:pStyle w:val="ListBullet"/>
      </w:pPr>
      <w:r>
        <w:t>System deployed within two days across branches.</w:t>
      </w:r>
    </w:p>
    <w:p w14:paraId="3B58A09D" w14:textId="77777777" w:rsidR="00610AA3" w:rsidRDefault="00000000">
      <w:pPr>
        <w:pStyle w:val="ListBullet"/>
      </w:pPr>
      <w:r>
        <w:t>Improved service visibility and audit trail compliance.</w:t>
      </w:r>
    </w:p>
    <w:p w14:paraId="52167B1B" w14:textId="77777777" w:rsidR="00610AA3" w:rsidRDefault="00000000">
      <w:pPr>
        <w:pStyle w:val="Heading2"/>
      </w:pPr>
      <w:r>
        <w:t>Player 22 – Retail (ITALY)</w:t>
      </w:r>
    </w:p>
    <w:p w14:paraId="437D8D01" w14:textId="77777777" w:rsidR="00610AA3" w:rsidRDefault="00000000">
      <w:r>
        <w:t>Project Overview: Retail customer experience upgrade for sports store chain.</w:t>
      </w:r>
    </w:p>
    <w:p w14:paraId="4297432B" w14:textId="77777777" w:rsidR="00610AA3" w:rsidRDefault="00000000">
      <w:r>
        <w:t>Scope of Work: Implementation of virtual queueing solution integrated with store POS.</w:t>
      </w:r>
    </w:p>
    <w:p w14:paraId="3FF8A05D" w14:textId="77777777" w:rsidR="00610AA3" w:rsidRDefault="00000000">
      <w:r>
        <w:t>Solution Implemented: Virtual Ticketing System with Dynamic Display.</w:t>
      </w:r>
    </w:p>
    <w:p w14:paraId="402CDE29" w14:textId="77777777" w:rsidR="00610AA3" w:rsidRDefault="00000000">
      <w:r>
        <w:t>Key Outcomes:</w:t>
      </w:r>
    </w:p>
    <w:p w14:paraId="1453A496" w14:textId="77777777" w:rsidR="00610AA3" w:rsidRDefault="00000000">
      <w:pPr>
        <w:pStyle w:val="ListBullet"/>
      </w:pPr>
      <w:r>
        <w:t>Reduced checkout abandonment.</w:t>
      </w:r>
    </w:p>
    <w:p w14:paraId="67DDD23A" w14:textId="77777777" w:rsidR="00610AA3" w:rsidRDefault="00000000">
      <w:pPr>
        <w:pStyle w:val="ListBullet"/>
      </w:pPr>
      <w:r>
        <w:t>Enhanced service efficiency.</w:t>
      </w:r>
    </w:p>
    <w:p w14:paraId="43D6DCB4" w14:textId="77777777" w:rsidR="00610AA3" w:rsidRDefault="00000000">
      <w:pPr>
        <w:pStyle w:val="Heading2"/>
      </w:pPr>
      <w:r>
        <w:t>I&amp;M Bank – Banking (KENYA)</w:t>
      </w:r>
    </w:p>
    <w:p w14:paraId="24DDB2DE" w14:textId="77777777" w:rsidR="00610AA3" w:rsidRDefault="00000000">
      <w:r>
        <w:t>Project Overview: Standardization of branch experience across Kenya to unify service levels.</w:t>
      </w:r>
    </w:p>
    <w:p w14:paraId="6823C171" w14:textId="77777777" w:rsidR="00610AA3" w:rsidRDefault="00000000">
      <w:r>
        <w:t>Scope of Work: Deployment of queue management and digital signage solutions for 45+ branches.</w:t>
      </w:r>
    </w:p>
    <w:p w14:paraId="3EC1013D" w14:textId="77777777" w:rsidR="00610AA3" w:rsidRDefault="00000000">
      <w:r>
        <w:lastRenderedPageBreak/>
        <w:t>Solution Implemented: Queue Management System + Digital Displays + Spectra Analytics.</w:t>
      </w:r>
    </w:p>
    <w:p w14:paraId="0D595E4D" w14:textId="77777777" w:rsidR="00610AA3" w:rsidRDefault="00000000">
      <w:r>
        <w:t>Key Outcomes:</w:t>
      </w:r>
    </w:p>
    <w:p w14:paraId="38835AFB" w14:textId="77777777" w:rsidR="00610AA3" w:rsidRDefault="00000000">
      <w:pPr>
        <w:pStyle w:val="ListBullet"/>
      </w:pPr>
      <w:r>
        <w:t>Streamlined operations and enhanced brand consistency.</w:t>
      </w:r>
    </w:p>
    <w:p w14:paraId="22463311" w14:textId="77777777" w:rsidR="00610AA3" w:rsidRDefault="00000000">
      <w:pPr>
        <w:pStyle w:val="ListBullet"/>
      </w:pPr>
      <w:r>
        <w:t>Improved branch performance KPIs.</w:t>
      </w:r>
    </w:p>
    <w:p w14:paraId="7A21CB85" w14:textId="77777777" w:rsidR="00610AA3" w:rsidRDefault="00000000">
      <w:r>
        <w:br w:type="page"/>
      </w:r>
    </w:p>
    <w:p w14:paraId="7D899DEE" w14:textId="77777777" w:rsidR="00610AA3" w:rsidRDefault="00000000">
      <w:pPr>
        <w:pStyle w:val="Heading1"/>
      </w:pPr>
      <w:r>
        <w:lastRenderedPageBreak/>
        <w:t>Section 2 – Additional References and Highlights</w:t>
      </w:r>
    </w:p>
    <w:p w14:paraId="237CB3F7" w14:textId="77777777" w:rsidR="00610AA3" w:rsidRDefault="00000000">
      <w:pPr>
        <w:pStyle w:val="ListBullet"/>
      </w:pPr>
      <w:r>
        <w:t>New Lima Airport (Peru): Implementation of UNOQ passenger-flow solution handling over 23 million passengers annually.</w:t>
      </w:r>
    </w:p>
    <w:p w14:paraId="0210D1FE" w14:textId="77777777" w:rsidR="00610AA3" w:rsidRDefault="00000000">
      <w:pPr>
        <w:pStyle w:val="ListBullet"/>
      </w:pPr>
      <w:r>
        <w:t>Bank Al Habib (Pakistan): Deployment of 175 cash-deposit machines and central monitoring dashboards nationwide.</w:t>
      </w:r>
    </w:p>
    <w:p w14:paraId="5A54A6C8" w14:textId="77777777" w:rsidR="00610AA3" w:rsidRDefault="00000000">
      <w:pPr>
        <w:pStyle w:val="ListBullet"/>
      </w:pPr>
      <w:r>
        <w:t>Swiss Post (Switzerland): Installed queue-management and digital-signage systems across 139 branches for real-time analytics and footfall management.</w:t>
      </w:r>
    </w:p>
    <w:p w14:paraId="7C8F389F" w14:textId="77777777" w:rsidR="00610AA3" w:rsidRDefault="00000000">
      <w:pPr>
        <w:pStyle w:val="ListBullet"/>
      </w:pPr>
      <w:r>
        <w:t>University of Wolverhampton (UK): Delivered virtual queuing system for student services, improving appointment turnaround and accessibility.</w:t>
      </w:r>
    </w:p>
    <w:p w14:paraId="1D7C272C" w14:textId="77777777" w:rsidR="00610AA3" w:rsidRDefault="00000000">
      <w:pPr>
        <w:pStyle w:val="ListBullet"/>
      </w:pPr>
      <w:r>
        <w:t>Solar-Powered Water Project (Skardu, Pakistan): CSR initiative providing sustainable water supply for 230 families using solar monitoring technology.</w:t>
      </w:r>
    </w:p>
    <w:p w14:paraId="3EF77CC1" w14:textId="77777777" w:rsidR="00610AA3" w:rsidRDefault="00000000">
      <w:pPr>
        <w:pStyle w:val="ListBullet"/>
      </w:pPr>
      <w:r>
        <w:t>Additional Highlights: Platinum Sponsor – Annual Banking Summit 2025; G2 Platform Rating 4.8/5; NCR Atleos MEA Partner of the Year; Spectrum Health Systems Renewal 2025.</w:t>
      </w:r>
    </w:p>
    <w:p w14:paraId="3779D3AD" w14:textId="77777777" w:rsidR="00610AA3" w:rsidRDefault="00000000">
      <w:pPr>
        <w:pStyle w:val="Heading1"/>
      </w:pPr>
      <w:r>
        <w:t>Section 3 – Gaps and Assumptions</w:t>
      </w:r>
    </w:p>
    <w:p w14:paraId="57BA6C56" w14:textId="77777777" w:rsidR="00610AA3" w:rsidRDefault="00000000">
      <w:r>
        <w:t>While Wavetec’s portfolio demonstrates broad sectoral coverage and consistent delivery success, the following areas could enhance future tender submissions:</w:t>
      </w:r>
      <w:r>
        <w:br/>
      </w:r>
      <w:r>
        <w:br/>
        <w:t>- Formal client reference letters should be attached for key projects (Consum, Swiss Post, Takaful Al Rajhi).</w:t>
      </w:r>
      <w:r>
        <w:br/>
        <w:t>- Some case studies lack quantitative ROI data; future projects should document pre/post analytics.</w:t>
      </w:r>
      <w:r>
        <w:br/>
        <w:t>- Develop additional public-sector case studies (e.g., DMVs, municipal service centers).</w:t>
      </w:r>
      <w:r>
        <w:br/>
        <w:t>- Establish a centralized client-reference repository to maintain auditability and consistency.</w:t>
      </w:r>
      <w:r>
        <w:br/>
        <w:t>- Include independent performance certifications where available (SLA compliance, uptime records, third-party validation).</w:t>
      </w:r>
    </w:p>
    <w:p w14:paraId="25DB0CF0" w14:textId="77777777" w:rsidR="00610AA3" w:rsidRDefault="00000000">
      <w:pPr>
        <w:pStyle w:val="Heading1"/>
      </w:pPr>
      <w:r>
        <w:t>Section 4 – Conclusion</w:t>
      </w:r>
    </w:p>
    <w:p w14:paraId="5F8C2A07" w14:textId="77777777" w:rsidR="00610AA3" w:rsidRDefault="00000000">
      <w:r>
        <w:t>Wavetec’s track record across retail, banking, government, logistics, and education sectors demonstrates its ability to deliver scalable, secure, and measurable digital-transformation outcomes. Each deployment underscores a commitment to innovation, customer satisfaction, and operational excellence—key attributes valued in public-sector and enterprise tender evaluations.</w:t>
      </w:r>
    </w:p>
    <w:sectPr w:rsidR="00610A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7065442">
    <w:abstractNumId w:val="8"/>
  </w:num>
  <w:num w:numId="2" w16cid:durableId="624701515">
    <w:abstractNumId w:val="6"/>
  </w:num>
  <w:num w:numId="3" w16cid:durableId="1838382195">
    <w:abstractNumId w:val="5"/>
  </w:num>
  <w:num w:numId="4" w16cid:durableId="688144689">
    <w:abstractNumId w:val="4"/>
  </w:num>
  <w:num w:numId="5" w16cid:durableId="857964108">
    <w:abstractNumId w:val="7"/>
  </w:num>
  <w:num w:numId="6" w16cid:durableId="1552034619">
    <w:abstractNumId w:val="3"/>
  </w:num>
  <w:num w:numId="7" w16cid:durableId="2070300042">
    <w:abstractNumId w:val="2"/>
  </w:num>
  <w:num w:numId="8" w16cid:durableId="353266112">
    <w:abstractNumId w:val="1"/>
  </w:num>
  <w:num w:numId="9" w16cid:durableId="1664237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10AA3"/>
    <w:rsid w:val="008F422B"/>
    <w:rsid w:val="00AA1D8D"/>
    <w:rsid w:val="00AB715B"/>
    <w:rsid w:val="00B47730"/>
    <w:rsid w:val="00CB0664"/>
    <w:rsid w:val="00E671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213BA7"/>
  <w14:defaultImageDpi w14:val="300"/>
  <w15:docId w15:val="{630C1D3E-2CC2-4061-A24D-8945D6C30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757</Words>
  <Characters>4319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Ahsan Kamal</cp:lastModifiedBy>
  <cp:revision>2</cp:revision>
  <dcterms:created xsi:type="dcterms:W3CDTF">2025-10-24T10:48:00Z</dcterms:created>
  <dcterms:modified xsi:type="dcterms:W3CDTF">2025-10-24T10:48:00Z</dcterms:modified>
  <cp:category/>
</cp:coreProperties>
</file>