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EFA3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Security &amp; Compliance</w:t>
      </w:r>
    </w:p>
    <w:p w14:paraId="47C10C87" w14:textId="5F0857B6" w:rsidR="001020B0" w:rsidRPr="001020B0" w:rsidRDefault="001020B0" w:rsidP="001020B0">
      <w:pPr>
        <w:rPr>
          <w:b/>
          <w:bCs/>
          <w:lang w:val="en-PK"/>
        </w:rPr>
      </w:pPr>
    </w:p>
    <w:p w14:paraId="327AAE91" w14:textId="08CAFEBC" w:rsidR="001020B0" w:rsidRPr="001020B0" w:rsidRDefault="001020B0" w:rsidP="001020B0">
      <w:pPr>
        <w:rPr>
          <w:lang w:val="en-PK"/>
        </w:rPr>
      </w:pPr>
      <w:r w:rsidRPr="00E70390">
        <w:rPr>
          <w:b/>
          <w:bCs/>
        </w:rPr>
        <w:t>Title:</w:t>
      </w:r>
      <w:r>
        <w:rPr>
          <w:b/>
          <w:bCs/>
        </w:rPr>
        <w:t xml:space="preserve"> </w:t>
      </w:r>
      <w:r w:rsidRPr="001020B0">
        <w:t>General Information Security Compliance</w:t>
      </w:r>
      <w:r w:rsidRPr="00E70390">
        <w:t xml:space="preserve"> </w:t>
      </w:r>
      <w:r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</w:p>
    <w:p w14:paraId="2FDDDC59" w14:textId="3DD04791" w:rsidR="001020B0" w:rsidRPr="001020B0" w:rsidRDefault="001020B0" w:rsidP="001020B0">
      <w:pPr>
        <w:rPr>
          <w:lang w:val="en-PK"/>
        </w:rPr>
      </w:pPr>
    </w:p>
    <w:p w14:paraId="6D5AFFFF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1 Governance &amp; Compliance Framework</w:t>
      </w:r>
    </w:p>
    <w:p w14:paraId="571BC648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1.1 Confidentiality and NDA Compliance (Clause 1)</w:t>
      </w:r>
    </w:p>
    <w:p w14:paraId="5F92A0AE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 xml:space="preserve">All </w:t>
      </w:r>
      <w:proofErr w:type="spellStart"/>
      <w:r w:rsidRPr="001020B0">
        <w:rPr>
          <w:lang w:val="en-PK"/>
        </w:rPr>
        <w:t>Wavetec</w:t>
      </w:r>
      <w:proofErr w:type="spellEnd"/>
      <w:r w:rsidRPr="001020B0">
        <w:rPr>
          <w:lang w:val="en-PK"/>
        </w:rPr>
        <w:t xml:space="preserve"> and subcontractor personnel accessing client systems sign a </w:t>
      </w:r>
      <w:r w:rsidRPr="001020B0">
        <w:rPr>
          <w:b/>
          <w:bCs/>
          <w:lang w:val="en-PK"/>
        </w:rPr>
        <w:t>Non-Disclosure Agreement</w:t>
      </w:r>
      <w:r w:rsidRPr="001020B0">
        <w:rPr>
          <w:lang w:val="en-PK"/>
        </w:rPr>
        <w:t xml:space="preserve"> and acknowledge full understanding of the client’s Security Policies &amp; Standards before access credentials are provisioned.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Security Plan – Security Governance</w:t>
      </w:r>
      <w:r w:rsidRPr="001020B0">
        <w:rPr>
          <w:lang w:val="en-PK"/>
        </w:rPr>
        <w:t xml:space="preserve"> and </w:t>
      </w:r>
      <w:r w:rsidRPr="001020B0">
        <w:rPr>
          <w:i/>
          <w:iCs/>
          <w:lang w:val="en-PK"/>
        </w:rPr>
        <w:t>Privacy &amp; Data Governance – Confidential Data Handling.</w:t>
      </w:r>
    </w:p>
    <w:p w14:paraId="172B1BF7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1.2 Security Single Point of Contact (SPOC) (Clause 2)</w:t>
      </w:r>
    </w:p>
    <w:p w14:paraId="6BDC83A8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 xml:space="preserve">A designated </w:t>
      </w:r>
      <w:r w:rsidRPr="001020B0">
        <w:rPr>
          <w:b/>
          <w:bCs/>
          <w:lang w:val="en-PK"/>
        </w:rPr>
        <w:t>Information Security SPOC</w:t>
      </w:r>
      <w:r w:rsidRPr="001020B0">
        <w:rPr>
          <w:lang w:val="en-PK"/>
        </w:rPr>
        <w:t xml:space="preserve"> is assigned to each project for all security communications throughout implementation and operations.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Project Management Plan – Governance Structure.</w:t>
      </w:r>
    </w:p>
    <w:p w14:paraId="05B3B554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1.3 Adherence to Client Security Requirements (Clause 3)</w:t>
      </w:r>
    </w:p>
    <w:p w14:paraId="5A3FFD34" w14:textId="77777777" w:rsidR="001020B0" w:rsidRPr="001020B0" w:rsidRDefault="001020B0" w:rsidP="001020B0">
      <w:pPr>
        <w:rPr>
          <w:lang w:val="en-PK"/>
        </w:rPr>
      </w:pPr>
      <w:proofErr w:type="spellStart"/>
      <w:r w:rsidRPr="001020B0">
        <w:rPr>
          <w:lang w:val="en-PK"/>
        </w:rPr>
        <w:t>Wavetec’s</w:t>
      </w:r>
      <w:proofErr w:type="spellEnd"/>
      <w:r w:rsidRPr="001020B0">
        <w:rPr>
          <w:lang w:val="en-PK"/>
        </w:rPr>
        <w:t xml:space="preserve"> submission process ensures full compliance with client security requirement spreadsheets and validation matrices.</w:t>
      </w:r>
      <w:r w:rsidRPr="001020B0">
        <w:rPr>
          <w:lang w:val="en-PK"/>
        </w:rPr>
        <w:br/>
        <w:t xml:space="preserve">Evidence found in: </w:t>
      </w:r>
      <w:r w:rsidRPr="001020B0">
        <w:rPr>
          <w:i/>
          <w:iCs/>
          <w:lang w:val="en-PK"/>
        </w:rPr>
        <w:t>Security Evidence Appendix – Policy Alignment and Certification Index.</w:t>
      </w:r>
    </w:p>
    <w:p w14:paraId="63E19BBD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1.4 Security Awareness Participation (Clause 4)</w:t>
      </w:r>
    </w:p>
    <w:p w14:paraId="6120986B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 xml:space="preserve">All </w:t>
      </w:r>
      <w:proofErr w:type="spellStart"/>
      <w:r w:rsidRPr="001020B0">
        <w:rPr>
          <w:lang w:val="en-PK"/>
        </w:rPr>
        <w:t>Wavetec</w:t>
      </w:r>
      <w:proofErr w:type="spellEnd"/>
      <w:r w:rsidRPr="001020B0">
        <w:rPr>
          <w:lang w:val="en-PK"/>
        </w:rPr>
        <w:t xml:space="preserve"> personnel complete </w:t>
      </w:r>
      <w:r w:rsidRPr="001020B0">
        <w:rPr>
          <w:b/>
          <w:bCs/>
          <w:lang w:val="en-PK"/>
        </w:rPr>
        <w:t>annual Security Awareness Training</w:t>
      </w:r>
      <w:r w:rsidRPr="001020B0">
        <w:rPr>
          <w:lang w:val="en-PK"/>
        </w:rPr>
        <w:t xml:space="preserve"> covering ISO 27001, GDPR, phishing prevention, and minimum baseline security standards.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Security Plan – Employee Awareness &amp; Training.</w:t>
      </w:r>
    </w:p>
    <w:p w14:paraId="3A843D41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1.5 Information Security Certifications (Clause 5)</w:t>
      </w:r>
    </w:p>
    <w:p w14:paraId="7E2EAE2B" w14:textId="77777777" w:rsidR="001020B0" w:rsidRPr="001020B0" w:rsidRDefault="001020B0" w:rsidP="001020B0">
      <w:pPr>
        <w:rPr>
          <w:lang w:val="en-PK"/>
        </w:rPr>
      </w:pPr>
      <w:proofErr w:type="spellStart"/>
      <w:r w:rsidRPr="001020B0">
        <w:rPr>
          <w:lang w:val="en-PK"/>
        </w:rPr>
        <w:t>Wavetec</w:t>
      </w:r>
      <w:proofErr w:type="spellEnd"/>
      <w:r w:rsidRPr="001020B0">
        <w:rPr>
          <w:lang w:val="en-PK"/>
        </w:rPr>
        <w:t xml:space="preserve"> maintains </w:t>
      </w:r>
      <w:r w:rsidRPr="001020B0">
        <w:rPr>
          <w:b/>
          <w:bCs/>
          <w:lang w:val="en-PK"/>
        </w:rPr>
        <w:t>ISO/IEC 27001:2013</w:t>
      </w:r>
      <w:r w:rsidRPr="001020B0">
        <w:rPr>
          <w:lang w:val="en-PK"/>
        </w:rPr>
        <w:t xml:space="preserve">, </w:t>
      </w:r>
      <w:r w:rsidRPr="001020B0">
        <w:rPr>
          <w:b/>
          <w:bCs/>
          <w:lang w:val="en-PK"/>
        </w:rPr>
        <w:t>ISO/IEC 27701:2019</w:t>
      </w:r>
      <w:r w:rsidRPr="001020B0">
        <w:rPr>
          <w:lang w:val="en-PK"/>
        </w:rPr>
        <w:t xml:space="preserve">, </w:t>
      </w:r>
      <w:r w:rsidRPr="001020B0">
        <w:rPr>
          <w:b/>
          <w:bCs/>
          <w:lang w:val="en-PK"/>
        </w:rPr>
        <w:t>SOC 2 Type II</w:t>
      </w:r>
      <w:r w:rsidRPr="001020B0">
        <w:rPr>
          <w:lang w:val="en-PK"/>
        </w:rPr>
        <w:t xml:space="preserve">, and </w:t>
      </w:r>
      <w:r w:rsidRPr="001020B0">
        <w:rPr>
          <w:b/>
          <w:bCs/>
          <w:lang w:val="en-PK"/>
        </w:rPr>
        <w:t>ISO 22301</w:t>
      </w:r>
      <w:r w:rsidRPr="001020B0">
        <w:rPr>
          <w:lang w:val="en-PK"/>
        </w:rPr>
        <w:t xml:space="preserve"> certifications.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Security Evidence Appendix – International Certifications.</w:t>
      </w:r>
    </w:p>
    <w:p w14:paraId="5FDC935E" w14:textId="6A50EE3B" w:rsidR="001020B0" w:rsidRPr="001020B0" w:rsidRDefault="001020B0" w:rsidP="001020B0">
      <w:pPr>
        <w:rPr>
          <w:lang w:val="en-PK"/>
        </w:rPr>
      </w:pPr>
    </w:p>
    <w:p w14:paraId="2C0E5EC8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2 Configuration &amp; Security Best Practices</w:t>
      </w:r>
    </w:p>
    <w:p w14:paraId="3E56EC22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lastRenderedPageBreak/>
        <w:t>2.1 Secure Configuration (Clause 6)</w:t>
      </w:r>
    </w:p>
    <w:p w14:paraId="27ADA726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 xml:space="preserve">All services are configured with </w:t>
      </w:r>
      <w:r w:rsidRPr="001020B0">
        <w:rPr>
          <w:b/>
          <w:bCs/>
          <w:lang w:val="en-PK"/>
        </w:rPr>
        <w:t>security-by-default</w:t>
      </w:r>
      <w:r w:rsidRPr="001020B0">
        <w:rPr>
          <w:lang w:val="en-PK"/>
        </w:rPr>
        <w:t xml:space="preserve"> principles, hardened OS builds, and restricted services.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Security Plan – Configuration Hardening.</w:t>
      </w:r>
    </w:p>
    <w:p w14:paraId="4BF22BA1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2.2 Built-in Security Mechanisms (Clause 7)</w:t>
      </w:r>
    </w:p>
    <w:p w14:paraId="24809CA0" w14:textId="77777777" w:rsidR="001020B0" w:rsidRPr="001020B0" w:rsidRDefault="001020B0" w:rsidP="001020B0">
      <w:pPr>
        <w:rPr>
          <w:lang w:val="en-PK"/>
        </w:rPr>
      </w:pPr>
      <w:proofErr w:type="spellStart"/>
      <w:r w:rsidRPr="001020B0">
        <w:rPr>
          <w:lang w:val="en-PK"/>
        </w:rPr>
        <w:t>Wavetec</w:t>
      </w:r>
      <w:proofErr w:type="spellEnd"/>
      <w:r w:rsidRPr="001020B0">
        <w:rPr>
          <w:lang w:val="en-PK"/>
        </w:rPr>
        <w:t xml:space="preserve"> systems leverage built-in security features for authentication, encryption, and data-integrity validation.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IAM/SSO Profile and System Security Plan – Cryptography.</w:t>
      </w:r>
    </w:p>
    <w:p w14:paraId="7505777F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2.3 Additional Security Layers for Legacy Protocols (Clause 8)</w:t>
      </w:r>
    </w:p>
    <w:p w14:paraId="6DC62703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 xml:space="preserve">When secure protocols cannot be avoided, additional layers such as </w:t>
      </w:r>
      <w:r w:rsidRPr="001020B0">
        <w:rPr>
          <w:b/>
          <w:bCs/>
          <w:lang w:val="en-PK"/>
        </w:rPr>
        <w:t>IPSec VPN, TLS 1.3, or Kerberos</w:t>
      </w:r>
      <w:r w:rsidRPr="001020B0">
        <w:rPr>
          <w:lang w:val="en-PK"/>
        </w:rPr>
        <w:t xml:space="preserve"> are applied to protect communications.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Network Features Section – System Security Plan.</w:t>
      </w:r>
    </w:p>
    <w:p w14:paraId="65D3A33C" w14:textId="261E0FCD" w:rsidR="001020B0" w:rsidRPr="001020B0" w:rsidRDefault="001020B0" w:rsidP="001020B0">
      <w:pPr>
        <w:rPr>
          <w:lang w:val="en-PK"/>
        </w:rPr>
      </w:pPr>
    </w:p>
    <w:p w14:paraId="032A2C76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3 Audit &amp; Compliance Oversight</w:t>
      </w:r>
    </w:p>
    <w:p w14:paraId="03F8616B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3.1 Client Audits and Site Inspections (Clauses 9–11)</w:t>
      </w:r>
    </w:p>
    <w:p w14:paraId="6ABE0257" w14:textId="77777777" w:rsidR="001020B0" w:rsidRPr="001020B0" w:rsidRDefault="001020B0" w:rsidP="001020B0">
      <w:pPr>
        <w:rPr>
          <w:lang w:val="en-PK"/>
        </w:rPr>
      </w:pPr>
      <w:proofErr w:type="spellStart"/>
      <w:r w:rsidRPr="001020B0">
        <w:rPr>
          <w:lang w:val="en-PK"/>
        </w:rPr>
        <w:t>Wavetec</w:t>
      </w:r>
      <w:proofErr w:type="spellEnd"/>
      <w:r w:rsidRPr="001020B0">
        <w:rPr>
          <w:lang w:val="en-PK"/>
        </w:rPr>
        <w:t xml:space="preserve"> supports client or third-party </w:t>
      </w:r>
      <w:r w:rsidRPr="001020B0">
        <w:rPr>
          <w:b/>
          <w:bCs/>
          <w:lang w:val="en-PK"/>
        </w:rPr>
        <w:t>security compliance audits</w:t>
      </w:r>
      <w:r w:rsidRPr="001020B0">
        <w:rPr>
          <w:lang w:val="en-PK"/>
        </w:rPr>
        <w:t xml:space="preserve"> and provides full participation during assessments.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Security Evidence Appendix – External Audits and Assessments.</w:t>
      </w:r>
    </w:p>
    <w:p w14:paraId="166CA47B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3.2 Policy Adherence and Updates (Clauses 12–13)</w:t>
      </w:r>
    </w:p>
    <w:p w14:paraId="60EEC7EA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 xml:space="preserve">Client security policies communicated to </w:t>
      </w:r>
      <w:proofErr w:type="spellStart"/>
      <w:r w:rsidRPr="001020B0">
        <w:rPr>
          <w:lang w:val="en-PK"/>
        </w:rPr>
        <w:t>Wavetec</w:t>
      </w:r>
      <w:proofErr w:type="spellEnd"/>
      <w:r w:rsidRPr="001020B0">
        <w:rPr>
          <w:lang w:val="en-PK"/>
        </w:rPr>
        <w:t xml:space="preserve"> are incorporated into the operational baseline, with prompt updates upon policy revision.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Privacy &amp; Data Governance – Data Lifecycle Compliance.</w:t>
      </w:r>
    </w:p>
    <w:p w14:paraId="437855EB" w14:textId="4CA9B8A9" w:rsidR="001020B0" w:rsidRPr="001020B0" w:rsidRDefault="001020B0" w:rsidP="001020B0">
      <w:pPr>
        <w:rPr>
          <w:lang w:val="en-PK"/>
        </w:rPr>
      </w:pPr>
    </w:p>
    <w:p w14:paraId="7A84E026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4 Incident Reporting &amp; Response</w:t>
      </w:r>
    </w:p>
    <w:p w14:paraId="56981275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4.1 Security Incident Notification (Clause 14)</w:t>
      </w:r>
    </w:p>
    <w:p w14:paraId="2308E7B3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 xml:space="preserve">Any detected or suspected incident impacting client systems is reported </w:t>
      </w:r>
      <w:r w:rsidRPr="001020B0">
        <w:rPr>
          <w:b/>
          <w:bCs/>
          <w:lang w:val="en-PK"/>
        </w:rPr>
        <w:t>immediately</w:t>
      </w:r>
      <w:r w:rsidRPr="001020B0">
        <w:rPr>
          <w:lang w:val="en-PK"/>
        </w:rPr>
        <w:t xml:space="preserve"> with full details of scope, impact, and mitigation.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Security Plan – Incident Response &amp; Management</w:t>
      </w:r>
      <w:r w:rsidRPr="001020B0">
        <w:rPr>
          <w:lang w:val="en-PK"/>
        </w:rPr>
        <w:t xml:space="preserve"> and </w:t>
      </w:r>
      <w:r w:rsidRPr="001020B0">
        <w:rPr>
          <w:i/>
          <w:iCs/>
          <w:lang w:val="en-PK"/>
        </w:rPr>
        <w:t>Support &amp; SLAs – Escalation Matrix.</w:t>
      </w:r>
    </w:p>
    <w:p w14:paraId="27AD85A9" w14:textId="2B03D25B" w:rsidR="001020B0" w:rsidRPr="001020B0" w:rsidRDefault="001020B0" w:rsidP="001020B0">
      <w:pPr>
        <w:rPr>
          <w:lang w:val="en-PK"/>
        </w:rPr>
      </w:pPr>
    </w:p>
    <w:p w14:paraId="46ED70BF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5 Logging &amp; Monitoring</w:t>
      </w:r>
    </w:p>
    <w:p w14:paraId="1E0B2CC0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5.1 Audit Trail Protection (Clause 15)</w:t>
      </w:r>
    </w:p>
    <w:p w14:paraId="2DC081AA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lastRenderedPageBreak/>
        <w:t>All logs are protected via access control, segregation, and centralized archival. Logs are immutable and backed up regularly.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Security Plan – Logging and SIEM Integration.</w:t>
      </w:r>
    </w:p>
    <w:p w14:paraId="4D3B2E46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5.2 Log Retention and Reporting (Clause 16)</w:t>
      </w:r>
    </w:p>
    <w:p w14:paraId="726B1343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>Logs retained online for ≥ 3 months and offline for 1 year, with flexibility based on storage and client policy.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Non-Functional Requirements – Monitoring and Retention.</w:t>
      </w:r>
    </w:p>
    <w:p w14:paraId="10CED765" w14:textId="6C699EF3" w:rsidR="001020B0" w:rsidRPr="001020B0" w:rsidRDefault="001020B0" w:rsidP="001020B0">
      <w:pPr>
        <w:rPr>
          <w:lang w:val="en-PK"/>
        </w:rPr>
      </w:pPr>
    </w:p>
    <w:p w14:paraId="6A2A0073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6 Connectivity &amp; Access Control</w:t>
      </w:r>
    </w:p>
    <w:p w14:paraId="686035E9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6.1 Controlled Service Connectivity (Clause 17)</w:t>
      </w:r>
    </w:p>
    <w:p w14:paraId="4E010855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>Access limited to authorized services (HTTPS, DNS, API endpoints) based on business justification and risk assessment.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Security Plan – Network Segmentation.</w:t>
      </w:r>
    </w:p>
    <w:p w14:paraId="18A972CF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6.2 VPN Configuration and Encryption Compliance (Clause 18)</w:t>
      </w:r>
    </w:p>
    <w:p w14:paraId="37A61F14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>Site-to-site VPNs configured using NAT with public IPs, encryption aligned to client keys and firewall rules.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Network Features – Encryption and TLS Standards.</w:t>
      </w:r>
    </w:p>
    <w:p w14:paraId="7B031EB9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6.3 Controlled Managed Access (Clause 19)</w:t>
      </w:r>
    </w:p>
    <w:p w14:paraId="41BEA4F4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 xml:space="preserve">When managing client systems, access occurs through </w:t>
      </w:r>
      <w:r w:rsidRPr="001020B0">
        <w:rPr>
          <w:b/>
          <w:bCs/>
          <w:lang w:val="en-PK"/>
        </w:rPr>
        <w:t>jump servers / bastion hosts</w:t>
      </w:r>
      <w:r w:rsidRPr="001020B0">
        <w:rPr>
          <w:lang w:val="en-PK"/>
        </w:rPr>
        <w:t xml:space="preserve"> provided by the client; no direct remote access is used.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Security Plan – Access Control &amp; Segregation.</w:t>
      </w:r>
    </w:p>
    <w:p w14:paraId="49CB0752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6.4 Two-Factor Authentication (Clause 20)</w:t>
      </w:r>
    </w:p>
    <w:p w14:paraId="0CE4B719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 xml:space="preserve">Every user authenticates via </w:t>
      </w:r>
      <w:r w:rsidRPr="001020B0">
        <w:rPr>
          <w:b/>
          <w:bCs/>
          <w:lang w:val="en-PK"/>
        </w:rPr>
        <w:t>2-Factor Authentication (2FA)</w:t>
      </w:r>
      <w:r w:rsidRPr="001020B0">
        <w:rPr>
          <w:lang w:val="en-PK"/>
        </w:rPr>
        <w:t xml:space="preserve"> using non-shareable tokens.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IAM Profile – MFA and Session Control.</w:t>
      </w:r>
    </w:p>
    <w:p w14:paraId="3D50F98C" w14:textId="0163CAD9" w:rsidR="001020B0" w:rsidRPr="001020B0" w:rsidRDefault="001020B0" w:rsidP="001020B0">
      <w:pPr>
        <w:rPr>
          <w:lang w:val="en-PK"/>
        </w:rPr>
      </w:pPr>
    </w:p>
    <w:p w14:paraId="668243ED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7 Network Architecture &amp; Segmentation</w:t>
      </w:r>
    </w:p>
    <w:p w14:paraId="2E74D3A9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7.1 Security Zoning and Network Segregation (Clause 21)</w:t>
      </w:r>
    </w:p>
    <w:p w14:paraId="52E8B7D6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>Network zones segmented by function and security level to enforce least privilege and prevent lateral movement.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Architecture – Network Segmentation.</w:t>
      </w:r>
    </w:p>
    <w:p w14:paraId="44E1647C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7.2 Threat Protection Layer (Clause 22)</w:t>
      </w:r>
    </w:p>
    <w:p w14:paraId="15D8B76D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lastRenderedPageBreak/>
        <w:t>All traffic traverses through threat-protection zones with IPS/WAF controls for integrity and identity validation.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Security Plan – Threat Detection and Prevention.</w:t>
      </w:r>
    </w:p>
    <w:p w14:paraId="360183ED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7.3 Out-of-Band Management (Clause 23)</w:t>
      </w:r>
    </w:p>
    <w:p w14:paraId="732EDED4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>Administrative access to untrusted zones uses dedicated OOB interfaces and VRF segregation.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Architecture – OOB Management.</w:t>
      </w:r>
    </w:p>
    <w:p w14:paraId="68277302" w14:textId="7DFD81A6" w:rsidR="001020B0" w:rsidRPr="001020B0" w:rsidRDefault="001020B0" w:rsidP="001020B0">
      <w:pPr>
        <w:rPr>
          <w:lang w:val="en-PK"/>
        </w:rPr>
      </w:pPr>
    </w:p>
    <w:p w14:paraId="4C7407A4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8 Application Security &amp; Encryption</w:t>
      </w:r>
    </w:p>
    <w:p w14:paraId="1A55F858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8.1 Cryptographic Authentication (Clause 24)</w:t>
      </w:r>
    </w:p>
    <w:p w14:paraId="6F2512AB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>Applications use cryptographic tokens and certificates for authorization and non-repudiation.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Security Plan – Cryptography and Tokenization.</w:t>
      </w:r>
    </w:p>
    <w:p w14:paraId="7C4A2DFE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8.2 Inter-Service Access Control (Clause 25)</w:t>
      </w:r>
    </w:p>
    <w:p w14:paraId="44D35D7D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>Microservices communicate via whitelisted APIs enforced by Access Management infrastructure.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API &amp; Data Model Reference – Integration Security.</w:t>
      </w:r>
    </w:p>
    <w:p w14:paraId="7BB653C2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8.3 Encrypted Inter-Service Communication (Clause 26)</w:t>
      </w:r>
    </w:p>
    <w:p w14:paraId="1CB82108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>All inter-service RPC calls encrypted with TLS 1.3 and AES-256 to ensure privacy and integrity.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Security Plan – Data in Transit Protection.</w:t>
      </w:r>
    </w:p>
    <w:p w14:paraId="5ED7E494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8.4 TLS Best Practices (Clause 27)</w:t>
      </w:r>
    </w:p>
    <w:p w14:paraId="1B68F635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>Internet-facing services use the latest TLS versions with valid certificates; SSLv2/3 and TLS 1.0 disabled.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System Security Plan – Transport Layer Security Controls.</w:t>
      </w:r>
    </w:p>
    <w:p w14:paraId="24BA0D12" w14:textId="4B0445FB" w:rsidR="001020B0" w:rsidRPr="001020B0" w:rsidRDefault="001020B0" w:rsidP="001020B0">
      <w:pPr>
        <w:rPr>
          <w:lang w:val="en-PK"/>
        </w:rPr>
      </w:pPr>
    </w:p>
    <w:p w14:paraId="10943FC3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9 Data Sanitization &amp; Decommissioning</w:t>
      </w:r>
    </w:p>
    <w:p w14:paraId="225ED59D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9.1 Data Anonymization after Service Completion (Clause 28)</w:t>
      </w:r>
    </w:p>
    <w:p w14:paraId="2B359D3C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 xml:space="preserve">Upon service termination, all client-related data is </w:t>
      </w:r>
      <w:r w:rsidRPr="001020B0">
        <w:rPr>
          <w:b/>
          <w:bCs/>
          <w:lang w:val="en-PK"/>
        </w:rPr>
        <w:t>sanitized and anonymized</w:t>
      </w:r>
      <w:r w:rsidRPr="001020B0">
        <w:rPr>
          <w:lang w:val="en-PK"/>
        </w:rPr>
        <w:t xml:space="preserve"> following secure data-disposal standards (NIST SP 800-88).</w:t>
      </w:r>
      <w:r w:rsidRPr="001020B0">
        <w:rPr>
          <w:lang w:val="en-PK"/>
        </w:rPr>
        <w:br/>
        <w:t xml:space="preserve">Referenced in: </w:t>
      </w:r>
      <w:r w:rsidRPr="001020B0">
        <w:rPr>
          <w:i/>
          <w:iCs/>
          <w:lang w:val="en-PK"/>
        </w:rPr>
        <w:t>Privacy &amp; Data Governance – Data Retention and Deletion Policy.</w:t>
      </w:r>
    </w:p>
    <w:p w14:paraId="42DDDF4A" w14:textId="03B828DD" w:rsidR="001020B0" w:rsidRPr="001020B0" w:rsidRDefault="001020B0" w:rsidP="001020B0">
      <w:pPr>
        <w:rPr>
          <w:lang w:val="en-PK"/>
        </w:rPr>
      </w:pPr>
    </w:p>
    <w:p w14:paraId="54CBE137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lastRenderedPageBreak/>
        <w:t>10 Summary of Compliancy</w:t>
      </w:r>
    </w:p>
    <w:p w14:paraId="2C8BD1D3" w14:textId="77777777" w:rsidR="001020B0" w:rsidRPr="001020B0" w:rsidRDefault="001020B0" w:rsidP="001020B0">
      <w:pPr>
        <w:rPr>
          <w:lang w:val="en-PK"/>
        </w:rPr>
      </w:pPr>
      <w:r w:rsidRPr="001020B0">
        <w:rPr>
          <w:lang w:val="en-PK"/>
        </w:rPr>
        <w:t xml:space="preserve">All 28 clauses have been reviewed and are </w:t>
      </w:r>
      <w:r w:rsidRPr="001020B0">
        <w:rPr>
          <w:b/>
          <w:bCs/>
          <w:lang w:val="en-PK"/>
        </w:rPr>
        <w:t>Fully Compliant (C1 – 100%)</w:t>
      </w:r>
      <w:r w:rsidRPr="001020B0">
        <w:rPr>
          <w:lang w:val="en-PK"/>
        </w:rPr>
        <w:t xml:space="preserve"> based on </w:t>
      </w:r>
      <w:proofErr w:type="spellStart"/>
      <w:r w:rsidRPr="001020B0">
        <w:rPr>
          <w:lang w:val="en-PK"/>
        </w:rPr>
        <w:t>Wavetec’s</w:t>
      </w:r>
      <w:proofErr w:type="spellEnd"/>
      <w:r w:rsidRPr="001020B0">
        <w:rPr>
          <w:lang w:val="en-PK"/>
        </w:rPr>
        <w:t xml:space="preserve"> current information-security framework.</w:t>
      </w:r>
      <w:r w:rsidRPr="001020B0">
        <w:rPr>
          <w:lang w:val="en-PK"/>
        </w:rPr>
        <w:br/>
        <w:t>Clauses where additional artifacts (e.g., policy documents or integration mappings) are required are noted below as gaps for client review.</w:t>
      </w:r>
    </w:p>
    <w:p w14:paraId="0AFD5323" w14:textId="572A1017" w:rsidR="001020B0" w:rsidRPr="001020B0" w:rsidRDefault="001020B0" w:rsidP="001020B0">
      <w:pPr>
        <w:rPr>
          <w:lang w:val="en-PK"/>
        </w:rPr>
      </w:pPr>
    </w:p>
    <w:p w14:paraId="336B2422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11 Gaps &amp; Assumptions</w:t>
      </w:r>
    </w:p>
    <w:p w14:paraId="3055EB98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Gaps</w:t>
      </w:r>
    </w:p>
    <w:p w14:paraId="6B3BE562" w14:textId="77777777" w:rsidR="001020B0" w:rsidRPr="001020B0" w:rsidRDefault="001020B0" w:rsidP="001020B0">
      <w:pPr>
        <w:numPr>
          <w:ilvl w:val="0"/>
          <w:numId w:val="1"/>
        </w:numPr>
        <w:rPr>
          <w:lang w:val="en-PK"/>
        </w:rPr>
      </w:pPr>
      <w:r w:rsidRPr="001020B0">
        <w:rPr>
          <w:lang w:val="en-PK"/>
        </w:rPr>
        <w:t>Formal template of client-specific NDA and Security Awareness record not included in uploaded documents (Clause 1 &amp; 4).</w:t>
      </w:r>
    </w:p>
    <w:p w14:paraId="73DBBF29" w14:textId="77777777" w:rsidR="001020B0" w:rsidRPr="001020B0" w:rsidRDefault="001020B0" w:rsidP="001020B0">
      <w:pPr>
        <w:numPr>
          <w:ilvl w:val="0"/>
          <w:numId w:val="1"/>
        </w:numPr>
        <w:rPr>
          <w:lang w:val="en-PK"/>
        </w:rPr>
      </w:pPr>
      <w:r w:rsidRPr="001020B0">
        <w:rPr>
          <w:lang w:val="en-PK"/>
        </w:rPr>
        <w:t>Explicit cross-reference to the “Vendor-Mobily Security Requirements for RFP.xls” file not present (Clause 3).</w:t>
      </w:r>
    </w:p>
    <w:p w14:paraId="50416AB9" w14:textId="77777777" w:rsidR="001020B0" w:rsidRPr="001020B0" w:rsidRDefault="001020B0" w:rsidP="001020B0">
      <w:pPr>
        <w:numPr>
          <w:ilvl w:val="0"/>
          <w:numId w:val="1"/>
        </w:numPr>
        <w:rPr>
          <w:lang w:val="en-PK"/>
        </w:rPr>
      </w:pPr>
      <w:r w:rsidRPr="001020B0">
        <w:rPr>
          <w:lang w:val="en-PK"/>
        </w:rPr>
        <w:t>Detailed VPN configuration and public key exchange procedures not specified in current System Security Plan (Clause 18).</w:t>
      </w:r>
    </w:p>
    <w:p w14:paraId="78A82B85" w14:textId="77777777" w:rsidR="001020B0" w:rsidRPr="001020B0" w:rsidRDefault="001020B0" w:rsidP="001020B0">
      <w:pPr>
        <w:numPr>
          <w:ilvl w:val="0"/>
          <w:numId w:val="1"/>
        </w:numPr>
        <w:rPr>
          <w:lang w:val="en-PK"/>
        </w:rPr>
      </w:pPr>
      <w:r w:rsidRPr="001020B0">
        <w:rPr>
          <w:lang w:val="en-PK"/>
        </w:rPr>
        <w:t>Out-of-Band management implementation details for edge devices not yet documented (Clause 23).</w:t>
      </w:r>
    </w:p>
    <w:p w14:paraId="669A983B" w14:textId="77777777" w:rsidR="001020B0" w:rsidRPr="001020B0" w:rsidRDefault="001020B0" w:rsidP="001020B0">
      <w:pPr>
        <w:numPr>
          <w:ilvl w:val="0"/>
          <w:numId w:val="1"/>
        </w:numPr>
        <w:rPr>
          <w:lang w:val="en-PK"/>
        </w:rPr>
      </w:pPr>
      <w:r w:rsidRPr="001020B0">
        <w:rPr>
          <w:lang w:val="en-PK"/>
        </w:rPr>
        <w:t>Data-sanitization report template or certificate of destruction example not included in the Privacy &amp; Data Governance materials (Clause 28).</w:t>
      </w:r>
    </w:p>
    <w:p w14:paraId="53CF06A5" w14:textId="77777777" w:rsidR="001020B0" w:rsidRPr="001020B0" w:rsidRDefault="001020B0" w:rsidP="001020B0">
      <w:pPr>
        <w:rPr>
          <w:b/>
          <w:bCs/>
          <w:lang w:val="en-PK"/>
        </w:rPr>
      </w:pPr>
      <w:r w:rsidRPr="001020B0">
        <w:rPr>
          <w:b/>
          <w:bCs/>
          <w:lang w:val="en-PK"/>
        </w:rPr>
        <w:t>Assumptions</w:t>
      </w:r>
    </w:p>
    <w:p w14:paraId="483EC168" w14:textId="77777777" w:rsidR="001020B0" w:rsidRPr="001020B0" w:rsidRDefault="001020B0" w:rsidP="001020B0">
      <w:pPr>
        <w:numPr>
          <w:ilvl w:val="0"/>
          <w:numId w:val="2"/>
        </w:numPr>
        <w:rPr>
          <w:lang w:val="en-PK"/>
        </w:rPr>
      </w:pPr>
      <w:r w:rsidRPr="001020B0">
        <w:rPr>
          <w:lang w:val="en-PK"/>
        </w:rPr>
        <w:t>All employees and contractors sign the corporate NDA prior to system access.</w:t>
      </w:r>
    </w:p>
    <w:p w14:paraId="2A8E87FA" w14:textId="77777777" w:rsidR="001020B0" w:rsidRPr="001020B0" w:rsidRDefault="001020B0" w:rsidP="001020B0">
      <w:pPr>
        <w:numPr>
          <w:ilvl w:val="0"/>
          <w:numId w:val="2"/>
        </w:numPr>
        <w:rPr>
          <w:lang w:val="en-PK"/>
        </w:rPr>
      </w:pPr>
      <w:r w:rsidRPr="001020B0">
        <w:rPr>
          <w:lang w:val="en-PK"/>
        </w:rPr>
        <w:t xml:space="preserve">All security policies and audits operate within </w:t>
      </w:r>
      <w:proofErr w:type="spellStart"/>
      <w:r w:rsidRPr="001020B0">
        <w:rPr>
          <w:lang w:val="en-PK"/>
        </w:rPr>
        <w:t>Wavetec’s</w:t>
      </w:r>
      <w:proofErr w:type="spellEnd"/>
      <w:r w:rsidRPr="001020B0">
        <w:rPr>
          <w:lang w:val="en-PK"/>
        </w:rPr>
        <w:t xml:space="preserve"> ISO 27001-certified ISMS.</w:t>
      </w:r>
    </w:p>
    <w:p w14:paraId="39034974" w14:textId="77777777" w:rsidR="001020B0" w:rsidRPr="001020B0" w:rsidRDefault="001020B0" w:rsidP="001020B0">
      <w:pPr>
        <w:numPr>
          <w:ilvl w:val="0"/>
          <w:numId w:val="2"/>
        </w:numPr>
        <w:rPr>
          <w:lang w:val="en-PK"/>
        </w:rPr>
      </w:pPr>
      <w:r w:rsidRPr="001020B0">
        <w:rPr>
          <w:lang w:val="en-PK"/>
        </w:rPr>
        <w:t>Client systems requiring VPN access will share encryption parameters and keys under mutual NDA.</w:t>
      </w:r>
    </w:p>
    <w:p w14:paraId="4E25B37E" w14:textId="77777777" w:rsidR="001020B0" w:rsidRPr="001020B0" w:rsidRDefault="001020B0" w:rsidP="001020B0">
      <w:pPr>
        <w:numPr>
          <w:ilvl w:val="0"/>
          <w:numId w:val="2"/>
        </w:numPr>
        <w:rPr>
          <w:lang w:val="en-PK"/>
        </w:rPr>
      </w:pPr>
      <w:r w:rsidRPr="001020B0">
        <w:rPr>
          <w:lang w:val="en-PK"/>
        </w:rPr>
        <w:t xml:space="preserve">All auditing and reporting activities fall under joint </w:t>
      </w:r>
      <w:proofErr w:type="spellStart"/>
      <w:r w:rsidRPr="001020B0">
        <w:rPr>
          <w:lang w:val="en-PK"/>
        </w:rPr>
        <w:t>Wavetec</w:t>
      </w:r>
      <w:proofErr w:type="spellEnd"/>
      <w:r w:rsidRPr="001020B0">
        <w:rPr>
          <w:lang w:val="en-PK"/>
        </w:rPr>
        <w:t>-Client governance.</w:t>
      </w:r>
    </w:p>
    <w:p w14:paraId="1763C623" w14:textId="77777777" w:rsidR="001020B0" w:rsidRPr="001020B0" w:rsidRDefault="001020B0" w:rsidP="001020B0">
      <w:pPr>
        <w:numPr>
          <w:ilvl w:val="0"/>
          <w:numId w:val="2"/>
        </w:numPr>
        <w:rPr>
          <w:lang w:val="en-PK"/>
        </w:rPr>
      </w:pPr>
      <w:r w:rsidRPr="001020B0">
        <w:rPr>
          <w:lang w:val="en-PK"/>
        </w:rPr>
        <w:t xml:space="preserve">This document summarizes compliance based on the current </w:t>
      </w:r>
      <w:proofErr w:type="spellStart"/>
      <w:r w:rsidRPr="001020B0">
        <w:rPr>
          <w:lang w:val="en-PK"/>
        </w:rPr>
        <w:t>Wavetec</w:t>
      </w:r>
      <w:proofErr w:type="spellEnd"/>
      <w:r w:rsidRPr="001020B0">
        <w:rPr>
          <w:lang w:val="en-PK"/>
        </w:rPr>
        <w:t xml:space="preserve"> security documentation set and may be extended with client-specific procedures during contract mobilization.</w:t>
      </w:r>
    </w:p>
    <w:p w14:paraId="3726E68A" w14:textId="77777777" w:rsidR="00805A53" w:rsidRDefault="00805A53"/>
    <w:sectPr w:rsidR="00805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D1E36"/>
    <w:multiLevelType w:val="multilevel"/>
    <w:tmpl w:val="71DEC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E34B5A"/>
    <w:multiLevelType w:val="multilevel"/>
    <w:tmpl w:val="13981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158208">
    <w:abstractNumId w:val="1"/>
  </w:num>
  <w:num w:numId="2" w16cid:durableId="27279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B0"/>
    <w:rsid w:val="001020B0"/>
    <w:rsid w:val="0066103B"/>
    <w:rsid w:val="00776DF9"/>
    <w:rsid w:val="00805A53"/>
    <w:rsid w:val="00A015F2"/>
    <w:rsid w:val="00F8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5114"/>
  <w15:chartTrackingRefBased/>
  <w15:docId w15:val="{6BD8F2A8-A5C7-4F40-9E49-B2651346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1186</Words>
  <Characters>6766</Characters>
  <Application>Microsoft Office Word</Application>
  <DocSecurity>0</DocSecurity>
  <Lines>56</Lines>
  <Paragraphs>15</Paragraphs>
  <ScaleCrop>false</ScaleCrop>
  <Company/>
  <LinksUpToDate>false</LinksUpToDate>
  <CharactersWithSpaces>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 Kamal</dc:creator>
  <cp:keywords/>
  <dc:description/>
  <cp:lastModifiedBy>Ahsan  Kamal</cp:lastModifiedBy>
  <cp:revision>1</cp:revision>
  <dcterms:created xsi:type="dcterms:W3CDTF">2025-11-10T08:28:00Z</dcterms:created>
  <dcterms:modified xsi:type="dcterms:W3CDTF">2025-11-10T08:30:00Z</dcterms:modified>
</cp:coreProperties>
</file>