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99574D">
        <w:tblPrEx>
          <w:tblCellMar>
            <w:top w:w="0" w:type="dxa"/>
            <w:bottom w:w="0" w:type="dxa"/>
          </w:tblCellMar>
        </w:tblPrEx>
        <w:trPr>
          <w:trHeight w:hRule="exact" w:val="16838"/>
        </w:trPr>
        <w:tc>
          <w:tcPr>
            <w:tcW w:w="11906" w:type="dxa"/>
            <w:tcBorders>
              <w:top w:val="none" w:sz="0" w:space="0" w:color="FFFFFF"/>
              <w:left w:val="none" w:sz="0" w:space="0" w:color="FFFFFF"/>
              <w:bottom w:val="none" w:sz="0" w:space="0" w:color="FFFFFF"/>
              <w:right w:val="none" w:sz="0" w:space="0" w:color="FFFFFF"/>
            </w:tcBorders>
            <w:shd w:val="clear" w:color="auto" w:fill="FFFFFF"/>
          </w:tcPr>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886"/>
            </w:tblGrid>
            <w:tr w:rsidR="0099574D">
              <w:tblPrEx>
                <w:tblCellMar>
                  <w:top w:w="0" w:type="dxa"/>
                  <w:bottom w:w="0" w:type="dxa"/>
                </w:tblCellMar>
              </w:tblPrEx>
              <w:trPr>
                <w:trHeight w:hRule="exact" w:val="7500"/>
              </w:trPr>
              <w:tc>
                <w:tcPr>
                  <w:tcW w:w="11906" w:type="dxa"/>
                  <w:tcBorders>
                    <w:top w:val="none" w:sz="0" w:space="0" w:color="FFFFFF"/>
                    <w:left w:val="none" w:sz="0" w:space="0" w:color="FFFFFF"/>
                    <w:bottom w:val="none" w:sz="0" w:space="0" w:color="FFFFFF"/>
                    <w:right w:val="none" w:sz="0" w:space="0" w:color="FFFFFF"/>
                  </w:tcBorders>
                  <w:shd w:val="clear" w:color="auto" w:fill="1A2330"/>
                  <w:tcMar>
                    <w:left w:w="1200" w:type="dxa"/>
                    <w:right w:w="800" w:type="dxa"/>
                  </w:tcMar>
                </w:tcPr>
                <w:p w:rsidR="0099574D" w:rsidRDefault="0099574D">
                  <w:pPr>
                    <w:spacing w:before="4117"/>
                  </w:pPr>
                </w:p>
                <w:p w:rsidR="0099574D" w:rsidRDefault="00D6027F">
                  <w:pPr>
                    <w:spacing w:after="500"/>
                  </w:pPr>
                  <w:r>
                    <w:rPr>
                      <w:rFonts w:ascii="Arial" w:eastAsia="SimHei"/>
                      <w:color w:val="D4875A"/>
                      <w:spacing w:val="60"/>
                      <w:sz w:val="18"/>
                      <w:szCs w:val="18"/>
                    </w:rPr>
                    <w:t>P A Y S T R E A M   R E L I A B I L I T Y   L A B</w:t>
                  </w:r>
                </w:p>
                <w:p w:rsidR="0099574D" w:rsidRDefault="00D6027F">
                  <w:pPr>
                    <w:spacing w:after="200" w:line="920" w:lineRule="atLeast"/>
                  </w:pPr>
                  <w:r>
                    <w:rPr>
                      <w:rFonts w:ascii="Arial" w:eastAsia="SimHei"/>
                      <w:b/>
                      <w:bCs/>
                      <w:color w:val="FFFFFF"/>
                      <w:sz w:val="80"/>
                      <w:szCs w:val="80"/>
                    </w:rPr>
                    <w:t>Implementation Plan</w:t>
                  </w:r>
                </w:p>
                <w:p w:rsidR="0099574D" w:rsidRDefault="00D6027F">
                  <w:pPr>
                    <w:spacing w:after="100" w:line="276" w:lineRule="atLeast"/>
                  </w:pPr>
                  <w:r>
                    <w:rPr>
                      <w:rFonts w:ascii="Arial" w:eastAsia="Microsoft YaHei"/>
                      <w:color w:val="B0B8C0"/>
                    </w:rPr>
                    <w:t>Stage-Gated Delivery of a Production-Style Apache Kafka Streaming Platform</w:t>
                  </w:r>
                </w:p>
              </w:tc>
            </w:tr>
            <w:tr w:rsidR="0099574D">
              <w:tblPrEx>
                <w:tblCellMar>
                  <w:top w:w="0" w:type="dxa"/>
                  <w:bottom w:w="0" w:type="dxa"/>
                </w:tblCellMar>
              </w:tblPrEx>
              <w:trPr>
                <w:trHeight w:hRule="exact" w:val="60"/>
              </w:trPr>
              <w:tc>
                <w:tcPr>
                  <w:tcW w:w="11906" w:type="dxa"/>
                  <w:tcBorders>
                    <w:top w:val="none" w:sz="0" w:space="0" w:color="FFFFFF"/>
                    <w:left w:val="none" w:sz="0" w:space="0" w:color="FFFFFF"/>
                    <w:bottom w:val="none" w:sz="0" w:space="0" w:color="FFFFFF"/>
                    <w:right w:val="none" w:sz="0" w:space="0" w:color="FFFFFF"/>
                  </w:tcBorders>
                  <w:shd w:val="clear" w:color="auto" w:fill="D4875A"/>
                </w:tcPr>
                <w:p w:rsidR="0099574D" w:rsidRDefault="0099574D">
                  <w:pPr>
                    <w:spacing w:line="60" w:lineRule="exact"/>
                  </w:pPr>
                </w:p>
              </w:tc>
            </w:tr>
          </w:tbl>
          <w:p w:rsidR="0099574D" w:rsidRDefault="0099574D">
            <w:pPr>
              <w:spacing w:before="900"/>
            </w:pPr>
          </w:p>
          <w:p w:rsidR="0099574D" w:rsidRDefault="00D6027F">
            <w:pPr>
              <w:spacing w:after="140" w:line="322" w:lineRule="atLeast"/>
              <w:ind w:left="1200" w:right="800"/>
            </w:pPr>
            <w:r>
              <w:rPr>
                <w:rFonts w:ascii="Arial" w:eastAsia="Microsoft YaHei"/>
                <w:color w:val="3A4450"/>
                <w:sz w:val="28"/>
                <w:szCs w:val="28"/>
              </w:rPr>
              <w:t>Document No.   PSRL-PLAN-006</w:t>
            </w:r>
          </w:p>
          <w:p w:rsidR="0099574D" w:rsidRDefault="00D6027F">
            <w:pPr>
              <w:spacing w:after="140" w:line="322" w:lineRule="atLeast"/>
              <w:ind w:left="1200" w:right="800"/>
            </w:pPr>
            <w:r>
              <w:rPr>
                <w:rFonts w:ascii="Arial" w:eastAsia="Microsoft YaHei"/>
                <w:color w:val="3A4450"/>
                <w:sz w:val="28"/>
                <w:szCs w:val="28"/>
              </w:rPr>
              <w:t xml:space="preserve">Version   1.0 </w:t>
            </w:r>
            <w:r>
              <w:rPr>
                <w:rFonts w:ascii="Arial" w:eastAsia="Microsoft YaHei"/>
                <w:color w:val="3A4450"/>
                <w:sz w:val="28"/>
                <w:szCs w:val="28"/>
              </w:rPr>
              <w:t>—</w:t>
            </w:r>
            <w:r>
              <w:rPr>
                <w:rFonts w:ascii="Arial" w:eastAsia="Microsoft YaHei"/>
                <w:color w:val="3A4450"/>
                <w:sz w:val="28"/>
                <w:szCs w:val="28"/>
              </w:rPr>
              <w:t xml:space="preserve"> Issued for Execution</w:t>
            </w:r>
          </w:p>
          <w:p w:rsidR="0099574D" w:rsidRDefault="00D6027F">
            <w:pPr>
              <w:spacing w:after="140" w:line="322" w:lineRule="atLeast"/>
              <w:ind w:left="1200" w:right="800"/>
            </w:pPr>
            <w:r>
              <w:rPr>
                <w:rFonts w:ascii="Arial" w:eastAsia="Microsoft YaHei"/>
                <w:color w:val="3A4450"/>
                <w:sz w:val="28"/>
                <w:szCs w:val="28"/>
              </w:rPr>
              <w:t>Owner</w:t>
            </w:r>
            <w:r w:rsidR="001D095D">
              <w:rPr>
                <w:rFonts w:ascii="Arial" w:eastAsia="Microsoft YaHei"/>
                <w:color w:val="3A4450"/>
                <w:sz w:val="28"/>
                <w:szCs w:val="28"/>
              </w:rPr>
              <w:t>s</w:t>
            </w:r>
            <w:r>
              <w:rPr>
                <w:rFonts w:ascii="Arial" w:eastAsia="Microsoft YaHei"/>
                <w:color w:val="3A4450"/>
                <w:sz w:val="28"/>
                <w:szCs w:val="28"/>
              </w:rPr>
              <w:t xml:space="preserve">   </w:t>
            </w:r>
            <w:r w:rsidR="001D095D">
              <w:rPr>
                <w:rFonts w:ascii="Arial" w:eastAsia="Microsoft YaHei"/>
                <w:color w:val="3A4450"/>
                <w:sz w:val="28"/>
                <w:szCs w:val="28"/>
              </w:rPr>
              <w:br/>
            </w:r>
            <w:r>
              <w:rPr>
                <w:rFonts w:ascii="Arial" w:eastAsia="Microsoft YaHei"/>
                <w:color w:val="3A4450"/>
                <w:sz w:val="28"/>
                <w:szCs w:val="28"/>
              </w:rPr>
              <w:t xml:space="preserve">Muhammad Ahsan </w:t>
            </w:r>
            <w:r>
              <w:rPr>
                <w:rFonts w:ascii="Arial" w:eastAsia="Microsoft YaHei"/>
                <w:color w:val="3A4450"/>
                <w:sz w:val="28"/>
                <w:szCs w:val="28"/>
              </w:rPr>
              <w:t>·</w:t>
            </w:r>
            <w:r w:rsidR="001D095D">
              <w:rPr>
                <w:rFonts w:ascii="Arial" w:eastAsia="Microsoft YaHei"/>
                <w:color w:val="3A4450"/>
                <w:sz w:val="28"/>
                <w:szCs w:val="28"/>
              </w:rPr>
              <w:t xml:space="preserve"> Platform Engineer, </w:t>
            </w:r>
            <w:r w:rsidR="001D095D">
              <w:rPr>
                <w:rFonts w:ascii="Arial" w:eastAsia="Microsoft YaHei"/>
                <w:color w:val="3A4450"/>
                <w:sz w:val="28"/>
                <w:szCs w:val="28"/>
              </w:rPr>
              <w:br/>
              <w:t xml:space="preserve">Shahbaz Ali Rizvi </w:t>
            </w:r>
            <w:r w:rsidR="001D095D">
              <w:rPr>
                <w:rFonts w:ascii="Arial" w:eastAsia="Microsoft YaHei"/>
                <w:color w:val="3A4450"/>
                <w:sz w:val="28"/>
                <w:szCs w:val="28"/>
              </w:rPr>
              <w:t>–</w:t>
            </w:r>
            <w:r w:rsidR="001D095D">
              <w:rPr>
                <w:rFonts w:ascii="Arial" w:eastAsia="Microsoft YaHei"/>
                <w:color w:val="3A4450"/>
                <w:sz w:val="28"/>
                <w:szCs w:val="28"/>
              </w:rPr>
              <w:t xml:space="preserve"> Backend Engineer</w:t>
            </w:r>
            <w:r w:rsidR="001D095D">
              <w:rPr>
                <w:rFonts w:ascii="Arial" w:eastAsia="Microsoft YaHei"/>
                <w:color w:val="3A4450"/>
                <w:sz w:val="28"/>
                <w:szCs w:val="28"/>
              </w:rPr>
              <w:br/>
            </w:r>
            <w:bookmarkStart w:id="0" w:name="_GoBack"/>
            <w:bookmarkEnd w:id="0"/>
          </w:p>
          <w:p w:rsidR="0099574D" w:rsidRDefault="00D6027F">
            <w:pPr>
              <w:spacing w:after="140" w:line="322" w:lineRule="atLeast"/>
              <w:ind w:left="1200" w:right="800"/>
            </w:pPr>
            <w:r>
              <w:rPr>
                <w:rFonts w:ascii="Arial" w:eastAsia="Microsoft YaHei"/>
                <w:color w:val="3A4450"/>
                <w:sz w:val="28"/>
                <w:szCs w:val="28"/>
              </w:rPr>
              <w:t>Issue Date   6 October 2026</w:t>
            </w:r>
          </w:p>
          <w:p w:rsidR="0099574D" w:rsidRDefault="00D6027F">
            <w:pPr>
              <w:spacing w:after="140" w:line="322" w:lineRule="atLeast"/>
              <w:ind w:left="1200" w:right="800"/>
            </w:pPr>
            <w:r>
              <w:rPr>
                <w:rFonts w:ascii="Arial" w:eastAsia="Microsoft YaHei"/>
                <w:color w:val="3A4450"/>
                <w:sz w:val="28"/>
                <w:szCs w:val="28"/>
              </w:rPr>
              <w:t>Source Basis   Documents 01</w:t>
            </w:r>
            <w:r>
              <w:rPr>
                <w:rFonts w:ascii="Arial" w:eastAsia="Microsoft YaHei"/>
                <w:color w:val="3A4450"/>
                <w:sz w:val="28"/>
                <w:szCs w:val="28"/>
              </w:rPr>
              <w:t>–</w:t>
            </w:r>
            <w:r>
              <w:rPr>
                <w:rFonts w:ascii="Arial" w:eastAsia="Microsoft YaHei"/>
                <w:color w:val="3A4450"/>
                <w:sz w:val="28"/>
                <w:szCs w:val="28"/>
              </w:rPr>
              <w:t xml:space="preserve">05 </w:t>
            </w:r>
            <w:r>
              <w:rPr>
                <w:rFonts w:ascii="Arial" w:eastAsia="Microsoft YaHei"/>
                <w:color w:val="3A4450"/>
                <w:sz w:val="28"/>
                <w:szCs w:val="28"/>
              </w:rPr>
              <w:t>·</w:t>
            </w:r>
            <w:r>
              <w:rPr>
                <w:rFonts w:ascii="Arial" w:eastAsia="Microsoft YaHei"/>
                <w:color w:val="3A4450"/>
                <w:sz w:val="28"/>
                <w:szCs w:val="28"/>
              </w:rPr>
              <w:t xml:space="preserve"> PRD, Tech Stack, Backend Schema, Scaffolding, Lifecycle</w:t>
            </w:r>
          </w:p>
          <w:p w:rsidR="0099574D" w:rsidRDefault="0099574D">
            <w:pPr>
              <w:spacing w:before="2100"/>
            </w:pPr>
          </w:p>
          <w:p w:rsidR="0099574D" w:rsidRDefault="00D6027F">
            <w:pPr>
              <w:pBdr>
                <w:top w:val="single" w:sz="4" w:space="10" w:color="DDD0C8"/>
              </w:pBdr>
              <w:spacing w:before="200"/>
              <w:ind w:left="1200" w:right="800"/>
            </w:pPr>
            <w:proofErr w:type="spellStart"/>
            <w:r>
              <w:rPr>
                <w:rFonts w:ascii="Arial"/>
                <w:color w:val="8A919B"/>
                <w:sz w:val="20"/>
                <w:szCs w:val="20"/>
              </w:rPr>
              <w:t>PayStream</w:t>
            </w:r>
            <w:proofErr w:type="spellEnd"/>
            <w:r>
              <w:rPr>
                <w:rFonts w:ascii="Arial"/>
                <w:color w:val="8A919B"/>
                <w:sz w:val="20"/>
                <w:szCs w:val="20"/>
              </w:rPr>
              <w:t xml:space="preserve"> Reliability Lab </w:t>
            </w:r>
            <w:r>
              <w:rPr>
                <w:rFonts w:ascii="Arial"/>
                <w:color w:val="8A919B"/>
                <w:sz w:val="20"/>
                <w:szCs w:val="20"/>
              </w:rPr>
              <w:t>—</w:t>
            </w:r>
            <w:r>
              <w:rPr>
                <w:rFonts w:ascii="Arial"/>
                <w:color w:val="8A919B"/>
                <w:sz w:val="20"/>
                <w:szCs w:val="20"/>
              </w:rPr>
              <w:t xml:space="preserve"> Portfolio Engineering Project</w:t>
            </w:r>
            <w:r>
              <w:rPr>
                <w:sz w:val="20"/>
                <w:szCs w:val="20"/>
              </w:rPr>
              <w:t xml:space="preserve">                      </w:t>
            </w:r>
            <w:r>
              <w:rPr>
                <w:sz w:val="20"/>
                <w:szCs w:val="20"/>
              </w:rPr>
              <w:t xml:space="preserve">                            </w:t>
            </w:r>
            <w:r>
              <w:rPr>
                <w:rFonts w:ascii="Arial"/>
                <w:color w:val="8A919B"/>
                <w:sz w:val="20"/>
                <w:szCs w:val="20"/>
              </w:rPr>
              <w:t>October 2026</w:t>
            </w:r>
          </w:p>
        </w:tc>
      </w:tr>
    </w:tbl>
    <w:p w:rsidR="0099574D" w:rsidRDefault="0099574D">
      <w:pPr>
        <w:sectPr w:rsidR="0099574D">
          <w:pgSz w:w="11906" w:h="16838"/>
          <w:pgMar w:top="0" w:right="0" w:bottom="0" w:left="0" w:header="708" w:footer="708" w:gutter="0"/>
          <w:cols w:space="720"/>
          <w:docGrid w:linePitch="360"/>
        </w:sectPr>
      </w:pPr>
    </w:p>
    <w:p w:rsidR="0099574D" w:rsidRDefault="00D6027F">
      <w:pPr>
        <w:spacing w:before="480" w:after="360"/>
        <w:jc w:val="center"/>
      </w:pPr>
      <w:r>
        <w:rPr>
          <w:rFonts w:eastAsia="SimHei"/>
          <w:b/>
          <w:bCs/>
          <w:color w:val="1A2330"/>
          <w:sz w:val="32"/>
          <w:szCs w:val="32"/>
        </w:rPr>
        <w:lastRenderedPageBreak/>
        <w:t>Table of Contents</w:t>
      </w:r>
    </w:p>
    <w:sdt>
      <w:sdtPr>
        <w:alias w:val="Table of Contents"/>
        <w:id w:val="-413553488"/>
      </w:sdtPr>
      <w:sdtEndPr/>
      <w:sdtContent>
        <w:p w:rsidR="0099574D" w:rsidRDefault="00D6027F">
          <w:pPr>
            <w:rPr>
              <w:noProof/>
            </w:rPr>
          </w:pPr>
          <w:r>
            <w:fldChar w:fldCharType="begin"/>
          </w:r>
          <w:r>
            <w:instrText>TOC \h \o "1-2"</w:instrText>
          </w:r>
          <w:r>
            <w:fldChar w:fldCharType="separate"/>
          </w:r>
        </w:p>
        <w:p w:rsidR="0099574D" w:rsidRDefault="00D6027F">
          <w:pPr>
            <w:pStyle w:val="TOC1"/>
            <w:rPr>
              <w:noProof/>
            </w:rPr>
          </w:pPr>
          <w:hyperlink w:anchor="_Toc100000" w:history="1">
            <w:r>
              <w:rPr>
                <w:rStyle w:val="Hyperlink"/>
                <w:noProof/>
              </w:rPr>
              <w:t>1. Executive Summary</w:t>
            </w:r>
            <w:r>
              <w:rPr>
                <w:noProof/>
              </w:rPr>
              <w:tab/>
            </w:r>
            <w:r>
              <w:rPr>
                <w:noProof/>
              </w:rPr>
              <w:fldChar w:fldCharType="begin"/>
            </w:r>
            <w:r>
              <w:rPr>
                <w:noProof/>
              </w:rPr>
              <w:instrText xml:space="preserve"> PAGEREF _Toc100000 \h </w:instrText>
            </w:r>
            <w:r>
              <w:rPr>
                <w:noProof/>
              </w:rPr>
            </w:r>
            <w:r>
              <w:rPr>
                <w:noProof/>
              </w:rPr>
              <w:fldChar w:fldCharType="separate"/>
            </w:r>
            <w:r>
              <w:rPr>
                <w:noProof/>
              </w:rPr>
              <w:t>1</w:t>
            </w:r>
            <w:r>
              <w:rPr>
                <w:noProof/>
              </w:rPr>
              <w:fldChar w:fldCharType="end"/>
            </w:r>
          </w:hyperlink>
        </w:p>
        <w:p w:rsidR="0099574D" w:rsidRDefault="00D6027F">
          <w:pPr>
            <w:pStyle w:val="TOC1"/>
            <w:rPr>
              <w:noProof/>
            </w:rPr>
          </w:pPr>
          <w:hyperlink w:anchor="_Toc100001" w:history="1">
            <w:r>
              <w:rPr>
                <w:rStyle w:val="Hyperlink"/>
                <w:noProof/>
              </w:rPr>
              <w:t>2. Project Basis, Scope and Positioning</w:t>
            </w:r>
            <w:r>
              <w:rPr>
                <w:noProof/>
              </w:rPr>
              <w:tab/>
            </w:r>
            <w:r>
              <w:rPr>
                <w:noProof/>
              </w:rPr>
              <w:fldChar w:fldCharType="begin"/>
            </w:r>
            <w:r>
              <w:rPr>
                <w:noProof/>
              </w:rPr>
              <w:instrText xml:space="preserve"> PAGEREF _Toc100001 \h </w:instrText>
            </w:r>
            <w:r>
              <w:rPr>
                <w:noProof/>
              </w:rPr>
            </w:r>
            <w:r>
              <w:rPr>
                <w:noProof/>
              </w:rPr>
              <w:fldChar w:fldCharType="separate"/>
            </w:r>
            <w:r>
              <w:rPr>
                <w:noProof/>
              </w:rPr>
              <w:t>2</w:t>
            </w:r>
            <w:r>
              <w:rPr>
                <w:noProof/>
              </w:rPr>
              <w:fldChar w:fldCharType="end"/>
            </w:r>
          </w:hyperlink>
        </w:p>
        <w:p w:rsidR="0099574D" w:rsidRDefault="00D6027F">
          <w:pPr>
            <w:pStyle w:val="TOC2"/>
            <w:spacing w:before="120" w:after="60"/>
            <w:rPr>
              <w:noProof/>
            </w:rPr>
          </w:pPr>
          <w:hyperlink w:anchor="_Toc100002" w:history="1">
            <w:r>
              <w:rPr>
                <w:rStyle w:val="Hyperlink"/>
                <w:noProof/>
              </w:rPr>
              <w:t xml:space="preserve">2.1 </w:t>
            </w:r>
            <w:r>
              <w:rPr>
                <w:rStyle w:val="Hyperlink"/>
                <w:noProof/>
              </w:rPr>
              <w:t>Source Documents and Their Authority</w:t>
            </w:r>
            <w:r>
              <w:rPr>
                <w:noProof/>
              </w:rPr>
              <w:tab/>
            </w:r>
            <w:r>
              <w:rPr>
                <w:noProof/>
              </w:rPr>
              <w:fldChar w:fldCharType="begin"/>
            </w:r>
            <w:r>
              <w:rPr>
                <w:noProof/>
              </w:rPr>
              <w:instrText xml:space="preserve"> PAGEREF _Toc100002 \h </w:instrText>
            </w:r>
            <w:r>
              <w:rPr>
                <w:noProof/>
              </w:rPr>
            </w:r>
            <w:r>
              <w:rPr>
                <w:noProof/>
              </w:rPr>
              <w:fldChar w:fldCharType="separate"/>
            </w:r>
            <w:r>
              <w:rPr>
                <w:noProof/>
              </w:rPr>
              <w:t>2</w:t>
            </w:r>
            <w:r>
              <w:rPr>
                <w:noProof/>
              </w:rPr>
              <w:fldChar w:fldCharType="end"/>
            </w:r>
          </w:hyperlink>
        </w:p>
        <w:p w:rsidR="0099574D" w:rsidRDefault="00D6027F">
          <w:pPr>
            <w:pStyle w:val="TOC2"/>
            <w:spacing w:before="120" w:after="60"/>
            <w:rPr>
              <w:noProof/>
            </w:rPr>
          </w:pPr>
          <w:hyperlink w:anchor="_Toc100003" w:history="1">
            <w:r>
              <w:rPr>
                <w:rStyle w:val="Hyperlink"/>
                <w:noProof/>
              </w:rPr>
              <w:t>2.2 Problem Statement and Value Proposition</w:t>
            </w:r>
            <w:r>
              <w:rPr>
                <w:noProof/>
              </w:rPr>
              <w:tab/>
            </w:r>
            <w:r>
              <w:rPr>
                <w:noProof/>
              </w:rPr>
              <w:fldChar w:fldCharType="begin"/>
            </w:r>
            <w:r>
              <w:rPr>
                <w:noProof/>
              </w:rPr>
              <w:instrText xml:space="preserve"> PAGEREF _Toc100003 \h </w:instrText>
            </w:r>
            <w:r>
              <w:rPr>
                <w:noProof/>
              </w:rPr>
            </w:r>
            <w:r>
              <w:rPr>
                <w:noProof/>
              </w:rPr>
              <w:fldChar w:fldCharType="separate"/>
            </w:r>
            <w:r>
              <w:rPr>
                <w:noProof/>
              </w:rPr>
              <w:t>2</w:t>
            </w:r>
            <w:r>
              <w:rPr>
                <w:noProof/>
              </w:rPr>
              <w:fldChar w:fldCharType="end"/>
            </w:r>
          </w:hyperlink>
        </w:p>
        <w:p w:rsidR="0099574D" w:rsidRDefault="00D6027F">
          <w:pPr>
            <w:pStyle w:val="TOC2"/>
            <w:spacing w:before="120" w:after="60"/>
            <w:rPr>
              <w:noProof/>
            </w:rPr>
          </w:pPr>
          <w:hyperlink w:anchor="_Toc100004" w:history="1">
            <w:r>
              <w:rPr>
                <w:rStyle w:val="Hyperlink"/>
                <w:noProof/>
              </w:rPr>
              <w:t>2.3 Scope Boundaries (MoSCoW)</w:t>
            </w:r>
            <w:r>
              <w:rPr>
                <w:noProof/>
              </w:rPr>
              <w:tab/>
            </w:r>
            <w:r>
              <w:rPr>
                <w:noProof/>
              </w:rPr>
              <w:fldChar w:fldCharType="begin"/>
            </w:r>
            <w:r>
              <w:rPr>
                <w:noProof/>
              </w:rPr>
              <w:instrText xml:space="preserve"> PAGEREF _Toc100004 \h </w:instrText>
            </w:r>
            <w:r>
              <w:rPr>
                <w:noProof/>
              </w:rPr>
            </w:r>
            <w:r>
              <w:rPr>
                <w:noProof/>
              </w:rPr>
              <w:fldChar w:fldCharType="separate"/>
            </w:r>
            <w:r>
              <w:rPr>
                <w:noProof/>
              </w:rPr>
              <w:t>3</w:t>
            </w:r>
            <w:r>
              <w:rPr>
                <w:noProof/>
              </w:rPr>
              <w:fldChar w:fldCharType="end"/>
            </w:r>
          </w:hyperlink>
        </w:p>
        <w:p w:rsidR="0099574D" w:rsidRDefault="00D6027F">
          <w:pPr>
            <w:pStyle w:val="TOC2"/>
            <w:spacing w:before="120" w:after="60"/>
            <w:rPr>
              <w:noProof/>
            </w:rPr>
          </w:pPr>
          <w:hyperlink w:anchor="_Toc100005" w:history="1">
            <w:r>
              <w:rPr>
                <w:rStyle w:val="Hyperlink"/>
                <w:noProof/>
              </w:rPr>
              <w:t>2.4 Explicit N</w:t>
            </w:r>
            <w:r>
              <w:rPr>
                <w:rStyle w:val="Hyperlink"/>
                <w:noProof/>
              </w:rPr>
              <w:t>on-Goals</w:t>
            </w:r>
            <w:r>
              <w:rPr>
                <w:noProof/>
              </w:rPr>
              <w:tab/>
            </w:r>
            <w:r>
              <w:rPr>
                <w:noProof/>
              </w:rPr>
              <w:fldChar w:fldCharType="begin"/>
            </w:r>
            <w:r>
              <w:rPr>
                <w:noProof/>
              </w:rPr>
              <w:instrText xml:space="preserve"> PAGEREF _Toc100005 \h </w:instrText>
            </w:r>
            <w:r>
              <w:rPr>
                <w:noProof/>
              </w:rPr>
            </w:r>
            <w:r>
              <w:rPr>
                <w:noProof/>
              </w:rPr>
              <w:fldChar w:fldCharType="separate"/>
            </w:r>
            <w:r>
              <w:rPr>
                <w:noProof/>
              </w:rPr>
              <w:t>3</w:t>
            </w:r>
            <w:r>
              <w:rPr>
                <w:noProof/>
              </w:rPr>
              <w:fldChar w:fldCharType="end"/>
            </w:r>
          </w:hyperlink>
        </w:p>
        <w:p w:rsidR="0099574D" w:rsidRDefault="00D6027F">
          <w:pPr>
            <w:pStyle w:val="TOC1"/>
            <w:rPr>
              <w:noProof/>
            </w:rPr>
          </w:pPr>
          <w:hyperlink w:anchor="_Toc100006" w:history="1">
            <w:r>
              <w:rPr>
                <w:rStyle w:val="Hyperlink"/>
                <w:noProof/>
              </w:rPr>
              <w:t>3. Implementation Strategy</w:t>
            </w:r>
            <w:r>
              <w:rPr>
                <w:noProof/>
              </w:rPr>
              <w:tab/>
            </w:r>
            <w:r>
              <w:rPr>
                <w:noProof/>
              </w:rPr>
              <w:fldChar w:fldCharType="begin"/>
            </w:r>
            <w:r>
              <w:rPr>
                <w:noProof/>
              </w:rPr>
              <w:instrText xml:space="preserve"> PAGEREF _Toc100006 \h </w:instrText>
            </w:r>
            <w:r>
              <w:rPr>
                <w:noProof/>
              </w:rPr>
            </w:r>
            <w:r>
              <w:rPr>
                <w:noProof/>
              </w:rPr>
              <w:fldChar w:fldCharType="separate"/>
            </w:r>
            <w:r>
              <w:rPr>
                <w:noProof/>
              </w:rPr>
              <w:t>3</w:t>
            </w:r>
            <w:r>
              <w:rPr>
                <w:noProof/>
              </w:rPr>
              <w:fldChar w:fldCharType="end"/>
            </w:r>
          </w:hyperlink>
        </w:p>
        <w:p w:rsidR="0099574D" w:rsidRDefault="00D6027F">
          <w:pPr>
            <w:pStyle w:val="TOC2"/>
            <w:spacing w:before="120" w:after="60"/>
            <w:rPr>
              <w:noProof/>
            </w:rPr>
          </w:pPr>
          <w:hyperlink w:anchor="_Toc100007" w:history="1">
            <w:r>
              <w:rPr>
                <w:rStyle w:val="Hyperlink"/>
                <w:noProof/>
              </w:rPr>
              <w:t>3.1 Stage-Gated Delivery Model</w:t>
            </w:r>
            <w:r>
              <w:rPr>
                <w:noProof/>
              </w:rPr>
              <w:tab/>
            </w:r>
            <w:r>
              <w:rPr>
                <w:noProof/>
              </w:rPr>
              <w:fldChar w:fldCharType="begin"/>
            </w:r>
            <w:r>
              <w:rPr>
                <w:noProof/>
              </w:rPr>
              <w:instrText xml:space="preserve"> PAGEREF _Toc100007 \h </w:instrText>
            </w:r>
            <w:r>
              <w:rPr>
                <w:noProof/>
              </w:rPr>
            </w:r>
            <w:r>
              <w:rPr>
                <w:noProof/>
              </w:rPr>
              <w:fldChar w:fldCharType="separate"/>
            </w:r>
            <w:r>
              <w:rPr>
                <w:noProof/>
              </w:rPr>
              <w:t>3</w:t>
            </w:r>
            <w:r>
              <w:rPr>
                <w:noProof/>
              </w:rPr>
              <w:fldChar w:fldCharType="end"/>
            </w:r>
          </w:hyperlink>
        </w:p>
        <w:p w:rsidR="0099574D" w:rsidRDefault="00D6027F">
          <w:pPr>
            <w:pStyle w:val="TOC2"/>
            <w:spacing w:before="120" w:after="60"/>
            <w:rPr>
              <w:noProof/>
            </w:rPr>
          </w:pPr>
          <w:hyperlink w:anchor="_Toc100008" w:history="1">
            <w:r>
              <w:rPr>
                <w:rStyle w:val="Hyperlink"/>
                <w:noProof/>
              </w:rPr>
              <w:t>3.2 Build-Order Principles</w:t>
            </w:r>
            <w:r>
              <w:rPr>
                <w:noProof/>
              </w:rPr>
              <w:tab/>
            </w:r>
            <w:r>
              <w:rPr>
                <w:noProof/>
              </w:rPr>
              <w:fldChar w:fldCharType="begin"/>
            </w:r>
            <w:r>
              <w:rPr>
                <w:noProof/>
              </w:rPr>
              <w:instrText xml:space="preserve"> PAGEREF _Toc100008 \h </w:instrText>
            </w:r>
            <w:r>
              <w:rPr>
                <w:noProof/>
              </w:rPr>
            </w:r>
            <w:r>
              <w:rPr>
                <w:noProof/>
              </w:rPr>
              <w:fldChar w:fldCharType="separate"/>
            </w:r>
            <w:r>
              <w:rPr>
                <w:noProof/>
              </w:rPr>
              <w:t>4</w:t>
            </w:r>
            <w:r>
              <w:rPr>
                <w:noProof/>
              </w:rPr>
              <w:fldChar w:fldCharType="end"/>
            </w:r>
          </w:hyperlink>
        </w:p>
        <w:p w:rsidR="0099574D" w:rsidRDefault="00D6027F">
          <w:pPr>
            <w:pStyle w:val="TOC2"/>
            <w:spacing w:before="120" w:after="60"/>
            <w:rPr>
              <w:noProof/>
            </w:rPr>
          </w:pPr>
          <w:hyperlink w:anchor="_Toc100009" w:history="1">
            <w:r>
              <w:rPr>
                <w:rStyle w:val="Hyperlink"/>
                <w:noProof/>
              </w:rPr>
              <w:t>3.3 Environment and Licensing Strategy</w:t>
            </w:r>
            <w:r>
              <w:rPr>
                <w:noProof/>
              </w:rPr>
              <w:tab/>
            </w:r>
            <w:r>
              <w:rPr>
                <w:noProof/>
              </w:rPr>
              <w:fldChar w:fldCharType="begin"/>
            </w:r>
            <w:r>
              <w:rPr>
                <w:noProof/>
              </w:rPr>
              <w:instrText xml:space="preserve"> PAGEREF _Toc100009 \h </w:instrText>
            </w:r>
            <w:r>
              <w:rPr>
                <w:noProof/>
              </w:rPr>
            </w:r>
            <w:r>
              <w:rPr>
                <w:noProof/>
              </w:rPr>
              <w:fldChar w:fldCharType="separate"/>
            </w:r>
            <w:r>
              <w:rPr>
                <w:noProof/>
              </w:rPr>
              <w:t>5</w:t>
            </w:r>
            <w:r>
              <w:rPr>
                <w:noProof/>
              </w:rPr>
              <w:fldChar w:fldCharType="end"/>
            </w:r>
          </w:hyperlink>
        </w:p>
        <w:p w:rsidR="0099574D" w:rsidRDefault="00D6027F">
          <w:pPr>
            <w:pStyle w:val="TOC2"/>
            <w:spacing w:before="120" w:after="60"/>
            <w:rPr>
              <w:noProof/>
            </w:rPr>
          </w:pPr>
          <w:hyperlink w:anchor="_Toc100010" w:history="1">
            <w:r>
              <w:rPr>
                <w:rStyle w:val="Hyperlink"/>
                <w:noProof/>
              </w:rPr>
              <w:t>3.4 Baseline Technical Decisions</w:t>
            </w:r>
            <w:r>
              <w:rPr>
                <w:noProof/>
              </w:rPr>
              <w:tab/>
            </w:r>
            <w:r>
              <w:rPr>
                <w:noProof/>
              </w:rPr>
              <w:fldChar w:fldCharType="begin"/>
            </w:r>
            <w:r>
              <w:rPr>
                <w:noProof/>
              </w:rPr>
              <w:instrText xml:space="preserve"> PAGERE</w:instrText>
            </w:r>
            <w:r>
              <w:rPr>
                <w:noProof/>
              </w:rPr>
              <w:instrText xml:space="preserve">F _Toc100010 \h </w:instrText>
            </w:r>
            <w:r>
              <w:rPr>
                <w:noProof/>
              </w:rPr>
            </w:r>
            <w:r>
              <w:rPr>
                <w:noProof/>
              </w:rPr>
              <w:fldChar w:fldCharType="separate"/>
            </w:r>
            <w:r>
              <w:rPr>
                <w:noProof/>
              </w:rPr>
              <w:t>5</w:t>
            </w:r>
            <w:r>
              <w:rPr>
                <w:noProof/>
              </w:rPr>
              <w:fldChar w:fldCharType="end"/>
            </w:r>
          </w:hyperlink>
        </w:p>
        <w:p w:rsidR="0099574D" w:rsidRDefault="00D6027F">
          <w:pPr>
            <w:pStyle w:val="TOC1"/>
            <w:rPr>
              <w:noProof/>
            </w:rPr>
          </w:pPr>
          <w:hyperlink w:anchor="_Toc100011" w:history="1">
            <w:r>
              <w:rPr>
                <w:rStyle w:val="Hyperlink"/>
                <w:noProof/>
              </w:rPr>
              <w:t>4. Work Breakdown Structure</w:t>
            </w:r>
            <w:r>
              <w:rPr>
                <w:noProof/>
              </w:rPr>
              <w:tab/>
            </w:r>
            <w:r>
              <w:rPr>
                <w:noProof/>
              </w:rPr>
              <w:fldChar w:fldCharType="begin"/>
            </w:r>
            <w:r>
              <w:rPr>
                <w:noProof/>
              </w:rPr>
              <w:instrText xml:space="preserve"> PAGEREF _Toc100011 \h </w:instrText>
            </w:r>
            <w:r>
              <w:rPr>
                <w:noProof/>
              </w:rPr>
            </w:r>
            <w:r>
              <w:rPr>
                <w:noProof/>
              </w:rPr>
              <w:fldChar w:fldCharType="separate"/>
            </w:r>
            <w:r>
              <w:rPr>
                <w:noProof/>
              </w:rPr>
              <w:t>5</w:t>
            </w:r>
            <w:r>
              <w:rPr>
                <w:noProof/>
              </w:rPr>
              <w:fldChar w:fldCharType="end"/>
            </w:r>
          </w:hyperlink>
        </w:p>
        <w:p w:rsidR="0099574D" w:rsidRDefault="00D6027F">
          <w:pPr>
            <w:pStyle w:val="TOC2"/>
            <w:spacing w:before="120" w:after="60"/>
            <w:rPr>
              <w:noProof/>
            </w:rPr>
          </w:pPr>
          <w:hyperlink w:anchor="_Toc100012" w:history="1">
            <w:r>
              <w:rPr>
                <w:rStyle w:val="Hyperlink"/>
                <w:noProof/>
              </w:rPr>
              <w:t>4.1 Stage 0 — Prototyping (Days 1–3 of Week 1)</w:t>
            </w:r>
            <w:r>
              <w:rPr>
                <w:noProof/>
              </w:rPr>
              <w:tab/>
            </w:r>
            <w:r>
              <w:rPr>
                <w:noProof/>
              </w:rPr>
              <w:fldChar w:fldCharType="begin"/>
            </w:r>
            <w:r>
              <w:rPr>
                <w:noProof/>
              </w:rPr>
              <w:instrText xml:space="preserve"> PAGEREF _Toc100012 \h </w:instrText>
            </w:r>
            <w:r>
              <w:rPr>
                <w:noProof/>
              </w:rPr>
            </w:r>
            <w:r>
              <w:rPr>
                <w:noProof/>
              </w:rPr>
              <w:fldChar w:fldCharType="separate"/>
            </w:r>
            <w:r>
              <w:rPr>
                <w:noProof/>
              </w:rPr>
              <w:t>6</w:t>
            </w:r>
            <w:r>
              <w:rPr>
                <w:noProof/>
              </w:rPr>
              <w:fldChar w:fldCharType="end"/>
            </w:r>
          </w:hyperlink>
        </w:p>
        <w:p w:rsidR="0099574D" w:rsidRDefault="00D6027F">
          <w:pPr>
            <w:pStyle w:val="TOC2"/>
            <w:spacing w:before="120" w:after="60"/>
            <w:rPr>
              <w:noProof/>
            </w:rPr>
          </w:pPr>
          <w:hyperlink w:anchor="_Toc100013" w:history="1">
            <w:r>
              <w:rPr>
                <w:rStyle w:val="Hyperlink"/>
                <w:noProof/>
              </w:rPr>
              <w:t>4.2 Stage 1 — MVP (Weeks 1–2)</w:t>
            </w:r>
            <w:r>
              <w:rPr>
                <w:noProof/>
              </w:rPr>
              <w:tab/>
            </w:r>
            <w:r>
              <w:rPr>
                <w:noProof/>
              </w:rPr>
              <w:fldChar w:fldCharType="begin"/>
            </w:r>
            <w:r>
              <w:rPr>
                <w:noProof/>
              </w:rPr>
              <w:instrText xml:space="preserve"> PAGEREF _Toc100013 \h </w:instrText>
            </w:r>
            <w:r>
              <w:rPr>
                <w:noProof/>
              </w:rPr>
            </w:r>
            <w:r>
              <w:rPr>
                <w:noProof/>
              </w:rPr>
              <w:fldChar w:fldCharType="separate"/>
            </w:r>
            <w:r>
              <w:rPr>
                <w:noProof/>
              </w:rPr>
              <w:t>6</w:t>
            </w:r>
            <w:r>
              <w:rPr>
                <w:noProof/>
              </w:rPr>
              <w:fldChar w:fldCharType="end"/>
            </w:r>
          </w:hyperlink>
        </w:p>
        <w:p w:rsidR="0099574D" w:rsidRDefault="00D6027F">
          <w:pPr>
            <w:pStyle w:val="TOC2"/>
            <w:spacing w:before="120" w:after="60"/>
            <w:rPr>
              <w:noProof/>
            </w:rPr>
          </w:pPr>
          <w:hyperlink w:anchor="_Toc100014" w:history="1">
            <w:r>
              <w:rPr>
                <w:rStyle w:val="Hyperlink"/>
                <w:noProof/>
              </w:rPr>
              <w:t>4.3 Stage 2 — Final Working Product (Weeks 3–5)</w:t>
            </w:r>
            <w:r>
              <w:rPr>
                <w:noProof/>
              </w:rPr>
              <w:tab/>
            </w:r>
            <w:r>
              <w:rPr>
                <w:noProof/>
              </w:rPr>
              <w:fldChar w:fldCharType="begin"/>
            </w:r>
            <w:r>
              <w:rPr>
                <w:noProof/>
              </w:rPr>
              <w:instrText xml:space="preserve"> PAGEREF _Toc100014 \h </w:instrText>
            </w:r>
            <w:r>
              <w:rPr>
                <w:noProof/>
              </w:rPr>
            </w:r>
            <w:r>
              <w:rPr>
                <w:noProof/>
              </w:rPr>
              <w:fldChar w:fldCharType="separate"/>
            </w:r>
            <w:r>
              <w:rPr>
                <w:noProof/>
              </w:rPr>
              <w:t>6</w:t>
            </w:r>
            <w:r>
              <w:rPr>
                <w:noProof/>
              </w:rPr>
              <w:fldChar w:fldCharType="end"/>
            </w:r>
          </w:hyperlink>
        </w:p>
        <w:p w:rsidR="0099574D" w:rsidRDefault="00D6027F">
          <w:pPr>
            <w:pStyle w:val="TOC2"/>
            <w:spacing w:before="120" w:after="60"/>
            <w:rPr>
              <w:noProof/>
            </w:rPr>
          </w:pPr>
          <w:hyperlink w:anchor="_Toc100015" w:history="1">
            <w:r>
              <w:rPr>
                <w:rStyle w:val="Hyperlink"/>
                <w:noProof/>
              </w:rPr>
              <w:t>4.4 Stage 3 — Commercial-Ready Deployment (Weeks 6–9, Optional)</w:t>
            </w:r>
            <w:r>
              <w:rPr>
                <w:noProof/>
              </w:rPr>
              <w:tab/>
            </w:r>
            <w:r>
              <w:rPr>
                <w:noProof/>
              </w:rPr>
              <w:fldChar w:fldCharType="begin"/>
            </w:r>
            <w:r>
              <w:rPr>
                <w:noProof/>
              </w:rPr>
              <w:instrText xml:space="preserve"> PAGEREF _Toc100015 \h </w:instrText>
            </w:r>
            <w:r>
              <w:rPr>
                <w:noProof/>
              </w:rPr>
            </w:r>
            <w:r>
              <w:rPr>
                <w:noProof/>
              </w:rPr>
              <w:fldChar w:fldCharType="separate"/>
            </w:r>
            <w:r>
              <w:rPr>
                <w:noProof/>
              </w:rPr>
              <w:t>7</w:t>
            </w:r>
            <w:r>
              <w:rPr>
                <w:noProof/>
              </w:rPr>
              <w:fldChar w:fldCharType="end"/>
            </w:r>
          </w:hyperlink>
        </w:p>
        <w:p w:rsidR="0099574D" w:rsidRDefault="00D6027F">
          <w:pPr>
            <w:pStyle w:val="TOC1"/>
            <w:rPr>
              <w:noProof/>
            </w:rPr>
          </w:pPr>
          <w:hyperlink w:anchor="_Toc100016" w:history="1">
            <w:r>
              <w:rPr>
                <w:rStyle w:val="Hyperlink"/>
                <w:noProof/>
              </w:rPr>
              <w:t>5. Schedule and Milestones</w:t>
            </w:r>
            <w:r>
              <w:rPr>
                <w:noProof/>
              </w:rPr>
              <w:tab/>
            </w:r>
            <w:r>
              <w:rPr>
                <w:noProof/>
              </w:rPr>
              <w:fldChar w:fldCharType="begin"/>
            </w:r>
            <w:r>
              <w:rPr>
                <w:noProof/>
              </w:rPr>
              <w:instrText xml:space="preserve"> PAGEREF _Toc100016 \h </w:instrText>
            </w:r>
            <w:r>
              <w:rPr>
                <w:noProof/>
              </w:rPr>
            </w:r>
            <w:r>
              <w:rPr>
                <w:noProof/>
              </w:rPr>
              <w:fldChar w:fldCharType="separate"/>
            </w:r>
            <w:r>
              <w:rPr>
                <w:noProof/>
              </w:rPr>
              <w:t>7</w:t>
            </w:r>
            <w:r>
              <w:rPr>
                <w:noProof/>
              </w:rPr>
              <w:fldChar w:fldCharType="end"/>
            </w:r>
          </w:hyperlink>
        </w:p>
        <w:p w:rsidR="0099574D" w:rsidRDefault="00D6027F">
          <w:pPr>
            <w:pStyle w:val="TOC2"/>
            <w:spacing w:before="120" w:after="60"/>
            <w:rPr>
              <w:noProof/>
            </w:rPr>
          </w:pPr>
          <w:hyperlink w:anchor="_Toc100017" w:history="1">
            <w:r>
              <w:rPr>
                <w:rStyle w:val="Hyperlink"/>
                <w:noProof/>
              </w:rPr>
              <w:t>5.1 Delivery Timeline</w:t>
            </w:r>
            <w:r>
              <w:rPr>
                <w:noProof/>
              </w:rPr>
              <w:tab/>
            </w:r>
            <w:r>
              <w:rPr>
                <w:noProof/>
              </w:rPr>
              <w:fldChar w:fldCharType="begin"/>
            </w:r>
            <w:r>
              <w:rPr>
                <w:noProof/>
              </w:rPr>
              <w:instrText xml:space="preserve"> PAGEREF _Toc100017 \h </w:instrText>
            </w:r>
            <w:r>
              <w:rPr>
                <w:noProof/>
              </w:rPr>
            </w:r>
            <w:r>
              <w:rPr>
                <w:noProof/>
              </w:rPr>
              <w:fldChar w:fldCharType="separate"/>
            </w:r>
            <w:r>
              <w:rPr>
                <w:noProof/>
              </w:rPr>
              <w:t>7</w:t>
            </w:r>
            <w:r>
              <w:rPr>
                <w:noProof/>
              </w:rPr>
              <w:fldChar w:fldCharType="end"/>
            </w:r>
          </w:hyperlink>
        </w:p>
        <w:p w:rsidR="0099574D" w:rsidRDefault="00D6027F">
          <w:pPr>
            <w:pStyle w:val="TOC2"/>
            <w:spacing w:before="120" w:after="60"/>
            <w:rPr>
              <w:noProof/>
            </w:rPr>
          </w:pPr>
          <w:hyperlink w:anchor="_Toc100018" w:history="1">
            <w:r>
              <w:rPr>
                <w:rStyle w:val="Hyperlink"/>
                <w:noProof/>
              </w:rPr>
              <w:t>5.2 Milestone Register</w:t>
            </w:r>
            <w:r>
              <w:rPr>
                <w:noProof/>
              </w:rPr>
              <w:tab/>
            </w:r>
            <w:r>
              <w:rPr>
                <w:noProof/>
              </w:rPr>
              <w:fldChar w:fldCharType="begin"/>
            </w:r>
            <w:r>
              <w:rPr>
                <w:noProof/>
              </w:rPr>
              <w:instrText xml:space="preserve"> PAGEREF _Toc</w:instrText>
            </w:r>
            <w:r>
              <w:rPr>
                <w:noProof/>
              </w:rPr>
              <w:instrText xml:space="preserve">100018 \h </w:instrText>
            </w:r>
            <w:r>
              <w:rPr>
                <w:noProof/>
              </w:rPr>
            </w:r>
            <w:r>
              <w:rPr>
                <w:noProof/>
              </w:rPr>
              <w:fldChar w:fldCharType="separate"/>
            </w:r>
            <w:r>
              <w:rPr>
                <w:noProof/>
              </w:rPr>
              <w:t>8</w:t>
            </w:r>
            <w:r>
              <w:rPr>
                <w:noProof/>
              </w:rPr>
              <w:fldChar w:fldCharType="end"/>
            </w:r>
          </w:hyperlink>
        </w:p>
        <w:p w:rsidR="0099574D" w:rsidRDefault="00D6027F">
          <w:pPr>
            <w:pStyle w:val="TOC1"/>
            <w:rPr>
              <w:noProof/>
            </w:rPr>
          </w:pPr>
          <w:hyperlink w:anchor="_Toc100019" w:history="1">
            <w:r>
              <w:rPr>
                <w:rStyle w:val="Hyperlink"/>
                <w:noProof/>
              </w:rPr>
              <w:t>6. Requirements Traceability and Test Coverage</w:t>
            </w:r>
            <w:r>
              <w:rPr>
                <w:noProof/>
              </w:rPr>
              <w:tab/>
            </w:r>
            <w:r>
              <w:rPr>
                <w:noProof/>
              </w:rPr>
              <w:fldChar w:fldCharType="begin"/>
            </w:r>
            <w:r>
              <w:rPr>
                <w:noProof/>
              </w:rPr>
              <w:instrText xml:space="preserve"> PAGEREF _Toc100019 \h </w:instrText>
            </w:r>
            <w:r>
              <w:rPr>
                <w:noProof/>
              </w:rPr>
            </w:r>
            <w:r>
              <w:rPr>
                <w:noProof/>
              </w:rPr>
              <w:fldChar w:fldCharType="separate"/>
            </w:r>
            <w:r>
              <w:rPr>
                <w:noProof/>
              </w:rPr>
              <w:t>8</w:t>
            </w:r>
            <w:r>
              <w:rPr>
                <w:noProof/>
              </w:rPr>
              <w:fldChar w:fldCharType="end"/>
            </w:r>
          </w:hyperlink>
        </w:p>
        <w:p w:rsidR="0099574D" w:rsidRDefault="00D6027F">
          <w:pPr>
            <w:pStyle w:val="TOC2"/>
            <w:spacing w:before="120" w:after="60"/>
            <w:rPr>
              <w:noProof/>
            </w:rPr>
          </w:pPr>
          <w:hyperlink w:anchor="_Toc100020" w:history="1">
            <w:r>
              <w:rPr>
                <w:rStyle w:val="Hyperlink"/>
                <w:noProof/>
              </w:rPr>
              <w:t>6.1 Functional Requirements Coverage</w:t>
            </w:r>
            <w:r>
              <w:rPr>
                <w:noProof/>
              </w:rPr>
              <w:tab/>
            </w:r>
            <w:r>
              <w:rPr>
                <w:noProof/>
              </w:rPr>
              <w:fldChar w:fldCharType="begin"/>
            </w:r>
            <w:r>
              <w:rPr>
                <w:noProof/>
              </w:rPr>
              <w:instrText xml:space="preserve"> PAGEREF _Toc100020 \h </w:instrText>
            </w:r>
            <w:r>
              <w:rPr>
                <w:noProof/>
              </w:rPr>
            </w:r>
            <w:r>
              <w:rPr>
                <w:noProof/>
              </w:rPr>
              <w:fldChar w:fldCharType="separate"/>
            </w:r>
            <w:r>
              <w:rPr>
                <w:noProof/>
              </w:rPr>
              <w:t>8</w:t>
            </w:r>
            <w:r>
              <w:rPr>
                <w:noProof/>
              </w:rPr>
              <w:fldChar w:fldCharType="end"/>
            </w:r>
          </w:hyperlink>
        </w:p>
        <w:p w:rsidR="0099574D" w:rsidRDefault="00D6027F">
          <w:pPr>
            <w:pStyle w:val="TOC2"/>
            <w:spacing w:before="120" w:after="60"/>
            <w:rPr>
              <w:noProof/>
            </w:rPr>
          </w:pPr>
          <w:hyperlink w:anchor="_Toc100021" w:history="1">
            <w:r>
              <w:rPr>
                <w:rStyle w:val="Hyperlink"/>
                <w:noProof/>
              </w:rPr>
              <w:t>6.2 Non-Functional Requirements Validation</w:t>
            </w:r>
            <w:r>
              <w:rPr>
                <w:noProof/>
              </w:rPr>
              <w:tab/>
            </w:r>
            <w:r>
              <w:rPr>
                <w:noProof/>
              </w:rPr>
              <w:fldChar w:fldCharType="begin"/>
            </w:r>
            <w:r>
              <w:rPr>
                <w:noProof/>
              </w:rPr>
              <w:instrText xml:space="preserve"> PAGEREF _Toc100021 \h </w:instrText>
            </w:r>
            <w:r>
              <w:rPr>
                <w:noProof/>
              </w:rPr>
            </w:r>
            <w:r>
              <w:rPr>
                <w:noProof/>
              </w:rPr>
              <w:fldChar w:fldCharType="separate"/>
            </w:r>
            <w:r>
              <w:rPr>
                <w:noProof/>
              </w:rPr>
              <w:t>9</w:t>
            </w:r>
            <w:r>
              <w:rPr>
                <w:noProof/>
              </w:rPr>
              <w:fldChar w:fldCharType="end"/>
            </w:r>
          </w:hyperlink>
        </w:p>
        <w:p w:rsidR="0099574D" w:rsidRDefault="00D6027F">
          <w:pPr>
            <w:pStyle w:val="TOC2"/>
            <w:spacing w:before="120" w:after="60"/>
            <w:rPr>
              <w:noProof/>
            </w:rPr>
          </w:pPr>
          <w:hyperlink w:anchor="_Toc100022" w:history="1">
            <w:r>
              <w:rPr>
                <w:rStyle w:val="Hyperlink"/>
                <w:noProof/>
              </w:rPr>
              <w:t>6.</w:t>
            </w:r>
            <w:r>
              <w:rPr>
                <w:rStyle w:val="Hyperlink"/>
                <w:noProof/>
              </w:rPr>
              <w:t>3 Test Module Coverage Map</w:t>
            </w:r>
            <w:r>
              <w:rPr>
                <w:noProof/>
              </w:rPr>
              <w:tab/>
            </w:r>
            <w:r>
              <w:rPr>
                <w:noProof/>
              </w:rPr>
              <w:fldChar w:fldCharType="begin"/>
            </w:r>
            <w:r>
              <w:rPr>
                <w:noProof/>
              </w:rPr>
              <w:instrText xml:space="preserve"> PAGEREF _Toc100022 \h </w:instrText>
            </w:r>
            <w:r>
              <w:rPr>
                <w:noProof/>
              </w:rPr>
            </w:r>
            <w:r>
              <w:rPr>
                <w:noProof/>
              </w:rPr>
              <w:fldChar w:fldCharType="separate"/>
            </w:r>
            <w:r>
              <w:rPr>
                <w:noProof/>
              </w:rPr>
              <w:t>9</w:t>
            </w:r>
            <w:r>
              <w:rPr>
                <w:noProof/>
              </w:rPr>
              <w:fldChar w:fldCharType="end"/>
            </w:r>
          </w:hyperlink>
        </w:p>
        <w:p w:rsidR="0099574D" w:rsidRDefault="00D6027F">
          <w:pPr>
            <w:pStyle w:val="TOC1"/>
            <w:rPr>
              <w:noProof/>
            </w:rPr>
          </w:pPr>
          <w:hyperlink w:anchor="_Toc100023" w:history="1">
            <w:r>
              <w:rPr>
                <w:rStyle w:val="Hyperlink"/>
                <w:noProof/>
              </w:rPr>
              <w:t>7. Deliverables Register</w:t>
            </w:r>
            <w:r>
              <w:rPr>
                <w:noProof/>
              </w:rPr>
              <w:tab/>
            </w:r>
            <w:r>
              <w:rPr>
                <w:noProof/>
              </w:rPr>
              <w:fldChar w:fldCharType="begin"/>
            </w:r>
            <w:r>
              <w:rPr>
                <w:noProof/>
              </w:rPr>
              <w:instrText xml:space="preserve"> PAGEREF _Toc100023 \h </w:instrText>
            </w:r>
            <w:r>
              <w:rPr>
                <w:noProof/>
              </w:rPr>
            </w:r>
            <w:r>
              <w:rPr>
                <w:noProof/>
              </w:rPr>
              <w:fldChar w:fldCharType="separate"/>
            </w:r>
            <w:r>
              <w:rPr>
                <w:noProof/>
              </w:rPr>
              <w:t>9</w:t>
            </w:r>
            <w:r>
              <w:rPr>
                <w:noProof/>
              </w:rPr>
              <w:fldChar w:fldCharType="end"/>
            </w:r>
          </w:hyperlink>
        </w:p>
        <w:p w:rsidR="0099574D" w:rsidRDefault="00D6027F">
          <w:pPr>
            <w:pStyle w:val="TOC1"/>
            <w:rPr>
              <w:noProof/>
            </w:rPr>
          </w:pPr>
          <w:hyperlink w:anchor="_Toc100024" w:history="1">
            <w:r>
              <w:rPr>
                <w:rStyle w:val="Hyperlink"/>
                <w:noProof/>
              </w:rPr>
              <w:t>8. Quality Management</w:t>
            </w:r>
            <w:r>
              <w:rPr>
                <w:noProof/>
              </w:rPr>
              <w:tab/>
            </w:r>
            <w:r>
              <w:rPr>
                <w:noProof/>
              </w:rPr>
              <w:fldChar w:fldCharType="begin"/>
            </w:r>
            <w:r>
              <w:rPr>
                <w:noProof/>
              </w:rPr>
              <w:instrText xml:space="preserve"> PAGEREF _Toc100024 \h </w:instrText>
            </w:r>
            <w:r>
              <w:rPr>
                <w:noProof/>
              </w:rPr>
            </w:r>
            <w:r>
              <w:rPr>
                <w:noProof/>
              </w:rPr>
              <w:fldChar w:fldCharType="separate"/>
            </w:r>
            <w:r>
              <w:rPr>
                <w:noProof/>
              </w:rPr>
              <w:t>10</w:t>
            </w:r>
            <w:r>
              <w:rPr>
                <w:noProof/>
              </w:rPr>
              <w:fldChar w:fldCharType="end"/>
            </w:r>
          </w:hyperlink>
        </w:p>
        <w:p w:rsidR="0099574D" w:rsidRDefault="00D6027F">
          <w:pPr>
            <w:pStyle w:val="TOC2"/>
            <w:spacing w:before="120" w:after="60"/>
            <w:rPr>
              <w:noProof/>
            </w:rPr>
          </w:pPr>
          <w:hyperlink w:anchor="_Toc100025" w:history="1">
            <w:r>
              <w:rPr>
                <w:rStyle w:val="Hyperlink"/>
                <w:noProof/>
              </w:rPr>
              <w:t>8.1 Definition of Done</w:t>
            </w:r>
            <w:r>
              <w:rPr>
                <w:noProof/>
              </w:rPr>
              <w:tab/>
            </w:r>
            <w:r>
              <w:rPr>
                <w:noProof/>
              </w:rPr>
              <w:fldChar w:fldCharType="begin"/>
            </w:r>
            <w:r>
              <w:rPr>
                <w:noProof/>
              </w:rPr>
              <w:instrText xml:space="preserve"> PAGEREF _Toc100025 \h </w:instrText>
            </w:r>
            <w:r>
              <w:rPr>
                <w:noProof/>
              </w:rPr>
            </w:r>
            <w:r>
              <w:rPr>
                <w:noProof/>
              </w:rPr>
              <w:fldChar w:fldCharType="separate"/>
            </w:r>
            <w:r>
              <w:rPr>
                <w:noProof/>
              </w:rPr>
              <w:t>10</w:t>
            </w:r>
            <w:r>
              <w:rPr>
                <w:noProof/>
              </w:rPr>
              <w:fldChar w:fldCharType="end"/>
            </w:r>
          </w:hyperlink>
        </w:p>
        <w:p w:rsidR="0099574D" w:rsidRDefault="00D6027F">
          <w:pPr>
            <w:pStyle w:val="TOC2"/>
            <w:spacing w:before="120" w:after="60"/>
            <w:rPr>
              <w:noProof/>
            </w:rPr>
          </w:pPr>
          <w:hyperlink w:anchor="_Toc100026" w:history="1">
            <w:r>
              <w:rPr>
                <w:rStyle w:val="Hyperlink"/>
                <w:noProof/>
              </w:rPr>
              <w:t>8.2 Test Strategy and Targets</w:t>
            </w:r>
            <w:r>
              <w:rPr>
                <w:noProof/>
              </w:rPr>
              <w:tab/>
            </w:r>
            <w:r>
              <w:rPr>
                <w:noProof/>
              </w:rPr>
              <w:fldChar w:fldCharType="begin"/>
            </w:r>
            <w:r>
              <w:rPr>
                <w:noProof/>
              </w:rPr>
              <w:instrText xml:space="preserve"> PAGEREF _Toc100026 \h </w:instrText>
            </w:r>
            <w:r>
              <w:rPr>
                <w:noProof/>
              </w:rPr>
            </w:r>
            <w:r>
              <w:rPr>
                <w:noProof/>
              </w:rPr>
              <w:fldChar w:fldCharType="separate"/>
            </w:r>
            <w:r>
              <w:rPr>
                <w:noProof/>
              </w:rPr>
              <w:t>11</w:t>
            </w:r>
            <w:r>
              <w:rPr>
                <w:noProof/>
              </w:rPr>
              <w:fldChar w:fldCharType="end"/>
            </w:r>
          </w:hyperlink>
        </w:p>
        <w:p w:rsidR="0099574D" w:rsidRDefault="00D6027F">
          <w:pPr>
            <w:pStyle w:val="TOC2"/>
            <w:spacing w:before="120" w:after="60"/>
            <w:rPr>
              <w:noProof/>
            </w:rPr>
          </w:pPr>
          <w:hyperlink w:anchor="_Toc100027" w:history="1">
            <w:r>
              <w:rPr>
                <w:rStyle w:val="Hyperlink"/>
                <w:noProof/>
              </w:rPr>
              <w:t>8.3 Stage Gate Exit Criteria</w:t>
            </w:r>
            <w:r>
              <w:rPr>
                <w:noProof/>
              </w:rPr>
              <w:tab/>
            </w:r>
            <w:r>
              <w:rPr>
                <w:noProof/>
              </w:rPr>
              <w:fldChar w:fldCharType="begin"/>
            </w:r>
            <w:r>
              <w:rPr>
                <w:noProof/>
              </w:rPr>
              <w:instrText xml:space="preserve"> PAGEREF _Toc</w:instrText>
            </w:r>
            <w:r>
              <w:rPr>
                <w:noProof/>
              </w:rPr>
              <w:instrText xml:space="preserve">100027 \h </w:instrText>
            </w:r>
            <w:r>
              <w:rPr>
                <w:noProof/>
              </w:rPr>
            </w:r>
            <w:r>
              <w:rPr>
                <w:noProof/>
              </w:rPr>
              <w:fldChar w:fldCharType="separate"/>
            </w:r>
            <w:r>
              <w:rPr>
                <w:noProof/>
              </w:rPr>
              <w:t>12</w:t>
            </w:r>
            <w:r>
              <w:rPr>
                <w:noProof/>
              </w:rPr>
              <w:fldChar w:fldCharType="end"/>
            </w:r>
          </w:hyperlink>
        </w:p>
        <w:p w:rsidR="0099574D" w:rsidRDefault="00D6027F">
          <w:pPr>
            <w:pStyle w:val="TOC1"/>
            <w:rPr>
              <w:noProof/>
            </w:rPr>
          </w:pPr>
          <w:hyperlink w:anchor="_Toc100028" w:history="1">
            <w:r>
              <w:rPr>
                <w:rStyle w:val="Hyperlink"/>
                <w:noProof/>
              </w:rPr>
              <w:t>9. Risk Management</w:t>
            </w:r>
            <w:r>
              <w:rPr>
                <w:noProof/>
              </w:rPr>
              <w:tab/>
            </w:r>
            <w:r>
              <w:rPr>
                <w:noProof/>
              </w:rPr>
              <w:fldChar w:fldCharType="begin"/>
            </w:r>
            <w:r>
              <w:rPr>
                <w:noProof/>
              </w:rPr>
              <w:instrText xml:space="preserve"> PAGEREF _Toc100028 \h </w:instrText>
            </w:r>
            <w:r>
              <w:rPr>
                <w:noProof/>
              </w:rPr>
            </w:r>
            <w:r>
              <w:rPr>
                <w:noProof/>
              </w:rPr>
              <w:fldChar w:fldCharType="separate"/>
            </w:r>
            <w:r>
              <w:rPr>
                <w:noProof/>
              </w:rPr>
              <w:t>12</w:t>
            </w:r>
            <w:r>
              <w:rPr>
                <w:noProof/>
              </w:rPr>
              <w:fldChar w:fldCharType="end"/>
            </w:r>
          </w:hyperlink>
        </w:p>
        <w:p w:rsidR="0099574D" w:rsidRDefault="00D6027F">
          <w:pPr>
            <w:pStyle w:val="TOC1"/>
            <w:rPr>
              <w:noProof/>
            </w:rPr>
          </w:pPr>
          <w:hyperlink w:anchor="_Toc100029" w:history="1">
            <w:r>
              <w:rPr>
                <w:rStyle w:val="Hyperlink"/>
                <w:noProof/>
              </w:rPr>
              <w:t xml:space="preserve">10. </w:t>
            </w:r>
            <w:r>
              <w:rPr>
                <w:rStyle w:val="Hyperlink"/>
                <w:noProof/>
              </w:rPr>
              <w:t>Resources and Prerequisites</w:t>
            </w:r>
            <w:r>
              <w:rPr>
                <w:noProof/>
              </w:rPr>
              <w:tab/>
            </w:r>
            <w:r>
              <w:rPr>
                <w:noProof/>
              </w:rPr>
              <w:fldChar w:fldCharType="begin"/>
            </w:r>
            <w:r>
              <w:rPr>
                <w:noProof/>
              </w:rPr>
              <w:instrText xml:space="preserve"> PAGEREF _Toc100029 \h </w:instrText>
            </w:r>
            <w:r>
              <w:rPr>
                <w:noProof/>
              </w:rPr>
            </w:r>
            <w:r>
              <w:rPr>
                <w:noProof/>
              </w:rPr>
              <w:fldChar w:fldCharType="separate"/>
            </w:r>
            <w:r>
              <w:rPr>
                <w:noProof/>
              </w:rPr>
              <w:t>13</w:t>
            </w:r>
            <w:r>
              <w:rPr>
                <w:noProof/>
              </w:rPr>
              <w:fldChar w:fldCharType="end"/>
            </w:r>
          </w:hyperlink>
        </w:p>
        <w:p w:rsidR="0099574D" w:rsidRDefault="00D6027F">
          <w:pPr>
            <w:pStyle w:val="TOC2"/>
            <w:spacing w:before="120" w:after="60"/>
            <w:rPr>
              <w:noProof/>
            </w:rPr>
          </w:pPr>
          <w:hyperlink w:anchor="_Toc100030" w:history="1">
            <w:r>
              <w:rPr>
                <w:rStyle w:val="Hyperlink"/>
                <w:noProof/>
              </w:rPr>
              <w:t>10.1 Environment and Tooling</w:t>
            </w:r>
            <w:r>
              <w:rPr>
                <w:noProof/>
              </w:rPr>
              <w:tab/>
            </w:r>
            <w:r>
              <w:rPr>
                <w:noProof/>
              </w:rPr>
              <w:fldChar w:fldCharType="begin"/>
            </w:r>
            <w:r>
              <w:rPr>
                <w:noProof/>
              </w:rPr>
              <w:instrText xml:space="preserve"> PAGEREF _Toc100030 \h </w:instrText>
            </w:r>
            <w:r>
              <w:rPr>
                <w:noProof/>
              </w:rPr>
            </w:r>
            <w:r>
              <w:rPr>
                <w:noProof/>
              </w:rPr>
              <w:fldChar w:fldCharType="separate"/>
            </w:r>
            <w:r>
              <w:rPr>
                <w:noProof/>
              </w:rPr>
              <w:t>13</w:t>
            </w:r>
            <w:r>
              <w:rPr>
                <w:noProof/>
              </w:rPr>
              <w:fldChar w:fldCharType="end"/>
            </w:r>
          </w:hyperlink>
        </w:p>
        <w:p w:rsidR="0099574D" w:rsidRDefault="00D6027F">
          <w:pPr>
            <w:pStyle w:val="TOC2"/>
            <w:spacing w:before="120" w:after="60"/>
            <w:rPr>
              <w:noProof/>
            </w:rPr>
          </w:pPr>
          <w:hyperlink w:anchor="_Toc100031" w:history="1">
            <w:r>
              <w:rPr>
                <w:rStyle w:val="Hyperlink"/>
                <w:noProof/>
              </w:rPr>
              <w:t>10.2 Effort Model</w:t>
            </w:r>
            <w:r>
              <w:rPr>
                <w:noProof/>
              </w:rPr>
              <w:tab/>
            </w:r>
            <w:r>
              <w:rPr>
                <w:noProof/>
              </w:rPr>
              <w:fldChar w:fldCharType="begin"/>
            </w:r>
            <w:r>
              <w:rPr>
                <w:noProof/>
              </w:rPr>
              <w:instrText xml:space="preserve"> PAGEREF _Toc100031 \h </w:instrText>
            </w:r>
            <w:r>
              <w:rPr>
                <w:noProof/>
              </w:rPr>
            </w:r>
            <w:r>
              <w:rPr>
                <w:noProof/>
              </w:rPr>
              <w:fldChar w:fldCharType="separate"/>
            </w:r>
            <w:r>
              <w:rPr>
                <w:noProof/>
              </w:rPr>
              <w:t>13</w:t>
            </w:r>
            <w:r>
              <w:rPr>
                <w:noProof/>
              </w:rPr>
              <w:fldChar w:fldCharType="end"/>
            </w:r>
          </w:hyperlink>
        </w:p>
        <w:p w:rsidR="0099574D" w:rsidRDefault="00D6027F">
          <w:pPr>
            <w:pStyle w:val="TOC1"/>
            <w:rPr>
              <w:noProof/>
            </w:rPr>
          </w:pPr>
          <w:hyperlink w:anchor="_Toc100032" w:history="1">
            <w:r>
              <w:rPr>
                <w:rStyle w:val="Hyperlink"/>
                <w:noProof/>
              </w:rPr>
              <w:t>11. Governance, Adopted Decisions and Change Control</w:t>
            </w:r>
            <w:r>
              <w:rPr>
                <w:noProof/>
              </w:rPr>
              <w:tab/>
            </w:r>
            <w:r>
              <w:rPr>
                <w:noProof/>
              </w:rPr>
              <w:fldChar w:fldCharType="begin"/>
            </w:r>
            <w:r>
              <w:rPr>
                <w:noProof/>
              </w:rPr>
              <w:instrText xml:space="preserve"> PAGEREF _Toc100032 \h </w:instrText>
            </w:r>
            <w:r>
              <w:rPr>
                <w:noProof/>
              </w:rPr>
            </w:r>
            <w:r>
              <w:rPr>
                <w:noProof/>
              </w:rPr>
              <w:fldChar w:fldCharType="separate"/>
            </w:r>
            <w:r>
              <w:rPr>
                <w:noProof/>
              </w:rPr>
              <w:t>13</w:t>
            </w:r>
            <w:r>
              <w:rPr>
                <w:noProof/>
              </w:rPr>
              <w:fldChar w:fldCharType="end"/>
            </w:r>
          </w:hyperlink>
        </w:p>
        <w:p w:rsidR="0099574D" w:rsidRDefault="00D6027F">
          <w:pPr>
            <w:pStyle w:val="TOC2"/>
            <w:spacing w:before="120" w:after="60"/>
            <w:rPr>
              <w:noProof/>
            </w:rPr>
          </w:pPr>
          <w:hyperlink w:anchor="_Toc100033" w:history="1">
            <w:r>
              <w:rPr>
                <w:rStyle w:val="Hyperlink"/>
                <w:noProof/>
              </w:rPr>
              <w:t>11.1 Delivery Governance</w:t>
            </w:r>
            <w:r>
              <w:rPr>
                <w:noProof/>
              </w:rPr>
              <w:tab/>
            </w:r>
            <w:r>
              <w:rPr>
                <w:noProof/>
              </w:rPr>
              <w:fldChar w:fldCharType="begin"/>
            </w:r>
            <w:r>
              <w:rPr>
                <w:noProof/>
              </w:rPr>
              <w:instrText xml:space="preserve"> PAGEREF _Toc100033 \h </w:instrText>
            </w:r>
            <w:r>
              <w:rPr>
                <w:noProof/>
              </w:rPr>
            </w:r>
            <w:r>
              <w:rPr>
                <w:noProof/>
              </w:rPr>
              <w:fldChar w:fldCharType="separate"/>
            </w:r>
            <w:r>
              <w:rPr>
                <w:noProof/>
              </w:rPr>
              <w:t>14</w:t>
            </w:r>
            <w:r>
              <w:rPr>
                <w:noProof/>
              </w:rPr>
              <w:fldChar w:fldCharType="end"/>
            </w:r>
          </w:hyperlink>
        </w:p>
        <w:p w:rsidR="0099574D" w:rsidRDefault="00D6027F">
          <w:pPr>
            <w:pStyle w:val="TOC2"/>
            <w:spacing w:before="120" w:after="60"/>
            <w:rPr>
              <w:noProof/>
            </w:rPr>
          </w:pPr>
          <w:hyperlink w:anchor="_Toc100034" w:history="1">
            <w:r>
              <w:rPr>
                <w:rStyle w:val="Hyperlink"/>
                <w:noProof/>
              </w:rPr>
              <w:t>11.2 Adopted</w:t>
            </w:r>
            <w:r>
              <w:rPr>
                <w:rStyle w:val="Hyperlink"/>
                <w:noProof/>
              </w:rPr>
              <w:t xml:space="preserve"> Decisions on Open Questions</w:t>
            </w:r>
            <w:r>
              <w:rPr>
                <w:noProof/>
              </w:rPr>
              <w:tab/>
            </w:r>
            <w:r>
              <w:rPr>
                <w:noProof/>
              </w:rPr>
              <w:fldChar w:fldCharType="begin"/>
            </w:r>
            <w:r>
              <w:rPr>
                <w:noProof/>
              </w:rPr>
              <w:instrText xml:space="preserve"> PAGEREF _Toc100034 \h </w:instrText>
            </w:r>
            <w:r>
              <w:rPr>
                <w:noProof/>
              </w:rPr>
            </w:r>
            <w:r>
              <w:rPr>
                <w:noProof/>
              </w:rPr>
              <w:fldChar w:fldCharType="separate"/>
            </w:r>
            <w:r>
              <w:rPr>
                <w:noProof/>
              </w:rPr>
              <w:t>14</w:t>
            </w:r>
            <w:r>
              <w:rPr>
                <w:noProof/>
              </w:rPr>
              <w:fldChar w:fldCharType="end"/>
            </w:r>
          </w:hyperlink>
        </w:p>
        <w:p w:rsidR="0099574D" w:rsidRDefault="00D6027F">
          <w:pPr>
            <w:pStyle w:val="TOC2"/>
            <w:spacing w:before="120" w:after="60"/>
            <w:rPr>
              <w:noProof/>
            </w:rPr>
          </w:pPr>
          <w:hyperlink w:anchor="_Toc100035" w:history="1">
            <w:r>
              <w:rPr>
                <w:rStyle w:val="Hyperlink"/>
                <w:noProof/>
              </w:rPr>
              <w:t>11.3 Change Control</w:t>
            </w:r>
            <w:r>
              <w:rPr>
                <w:noProof/>
              </w:rPr>
              <w:tab/>
            </w:r>
            <w:r>
              <w:rPr>
                <w:noProof/>
              </w:rPr>
              <w:fldChar w:fldCharType="begin"/>
            </w:r>
            <w:r>
              <w:rPr>
                <w:noProof/>
              </w:rPr>
              <w:instrText xml:space="preserve"> PAGEREF _Toc100035 \h </w:instrText>
            </w:r>
            <w:r>
              <w:rPr>
                <w:noProof/>
              </w:rPr>
            </w:r>
            <w:r>
              <w:rPr>
                <w:noProof/>
              </w:rPr>
              <w:fldChar w:fldCharType="separate"/>
            </w:r>
            <w:r>
              <w:rPr>
                <w:noProof/>
              </w:rPr>
              <w:t>14</w:t>
            </w:r>
            <w:r>
              <w:rPr>
                <w:noProof/>
              </w:rPr>
              <w:fldChar w:fldCharType="end"/>
            </w:r>
          </w:hyperlink>
        </w:p>
        <w:p w:rsidR="0099574D" w:rsidRDefault="00D6027F">
          <w:pPr>
            <w:pStyle w:val="TOC1"/>
            <w:rPr>
              <w:noProof/>
            </w:rPr>
          </w:pPr>
          <w:hyperlink w:anchor="_Toc100036" w:history="1">
            <w:r>
              <w:rPr>
                <w:rStyle w:val="Hyperlink"/>
                <w:noProof/>
              </w:rPr>
              <w:t>12. Success Criteria and Concluding Statement</w:t>
            </w:r>
            <w:r>
              <w:rPr>
                <w:noProof/>
              </w:rPr>
              <w:tab/>
            </w:r>
            <w:r>
              <w:rPr>
                <w:noProof/>
              </w:rPr>
              <w:fldChar w:fldCharType="begin"/>
            </w:r>
            <w:r>
              <w:rPr>
                <w:noProof/>
              </w:rPr>
              <w:instrText xml:space="preserve"> PAGEREF _Toc100036 \h </w:instrText>
            </w:r>
            <w:r>
              <w:rPr>
                <w:noProof/>
              </w:rPr>
            </w:r>
            <w:r>
              <w:rPr>
                <w:noProof/>
              </w:rPr>
              <w:fldChar w:fldCharType="separate"/>
            </w:r>
            <w:r>
              <w:rPr>
                <w:noProof/>
              </w:rPr>
              <w:t>14</w:t>
            </w:r>
            <w:r>
              <w:rPr>
                <w:noProof/>
              </w:rPr>
              <w:fldChar w:fldCharType="end"/>
            </w:r>
          </w:hyperlink>
        </w:p>
        <w:p w:rsidR="0099574D" w:rsidRDefault="00D6027F">
          <w:r>
            <w:fldChar w:fldCharType="end"/>
          </w:r>
        </w:p>
      </w:sdtContent>
    </w:sdt>
    <w:p w:rsidR="0099574D" w:rsidRDefault="00D6027F">
      <w:pPr>
        <w:spacing w:before="200"/>
      </w:pPr>
      <w:r>
        <w:rPr>
          <w:i/>
          <w:iCs/>
          <w:color w:val="888888"/>
          <w:sz w:val="18"/>
          <w:szCs w:val="18"/>
        </w:rPr>
        <w:t>Note: This Table of Contents is generated via field codes. To ensure page number accuracy after editing, please right-click the TOC and select "Update Field."</w:t>
      </w:r>
    </w:p>
    <w:p w:rsidR="0099574D" w:rsidRDefault="0099574D">
      <w:pPr>
        <w:sectPr w:rsidR="0099574D">
          <w:footerReference w:type="default" r:id="rId7"/>
          <w:pgSz w:w="11906" w:h="16838"/>
          <w:pgMar w:top="1440" w:right="1417" w:bottom="1440" w:left="1701" w:header="708" w:footer="708" w:gutter="0"/>
          <w:pgNumType w:fmt="upperRoman" w:start="1"/>
          <w:cols w:space="720"/>
          <w:docGrid w:linePitch="360"/>
        </w:sectPr>
      </w:pPr>
    </w:p>
    <w:p w:rsidR="0099574D" w:rsidRDefault="00D6027F">
      <w:pPr>
        <w:pStyle w:val="Heading1"/>
      </w:pPr>
      <w:bookmarkStart w:id="1" w:name="_Toc100000"/>
      <w:r>
        <w:lastRenderedPageBreak/>
        <w:t>1. Executive Summary</w:t>
      </w:r>
      <w:bookmarkEnd w:id="1"/>
    </w:p>
    <w:p w:rsidR="0099574D" w:rsidRDefault="00D6027F">
      <w:pPr>
        <w:spacing w:after="140"/>
        <w:jc w:val="both"/>
      </w:pPr>
      <w:r>
        <w:t xml:space="preserve">This implementation plan converts the approved </w:t>
      </w:r>
      <w:proofErr w:type="spellStart"/>
      <w:r>
        <w:t>PayStream</w:t>
      </w:r>
      <w:proofErr w:type="spellEnd"/>
      <w:r>
        <w:t xml:space="preserve"> Reliability Lab design set — the Product Requirements Document, Tech Stack, Backend Schema, Directory Scaffolding and Pro</w:t>
      </w:r>
      <w:r>
        <w:t xml:space="preserve">duct Lifecycle (Documents 01 to 05) — into a single, executable delivery </w:t>
      </w:r>
      <w:proofErr w:type="spellStart"/>
      <w:r>
        <w:t>programme</w:t>
      </w:r>
      <w:proofErr w:type="spellEnd"/>
      <w:r>
        <w:t xml:space="preserve">. The product being delivered is a production-style event streaming platform: a three-broker Apache Kafka cluster in </w:t>
      </w:r>
      <w:proofErr w:type="spellStart"/>
      <w:r>
        <w:t>KRaft</w:t>
      </w:r>
      <w:proofErr w:type="spellEnd"/>
      <w:r>
        <w:t xml:space="preserve"> mode with Schema Registry and Kafka Connect, carryi</w:t>
      </w:r>
      <w:r>
        <w:t xml:space="preserve">ng a mock retail-banking event workload produced by three Java 21 / Spring Boot services (transaction producer, fraud detector, </w:t>
      </w:r>
      <w:proofErr w:type="spellStart"/>
      <w:r>
        <w:t>notifier</w:t>
      </w:r>
      <w:proofErr w:type="spellEnd"/>
      <w:r>
        <w:t xml:space="preserve">). The platform is secured with TLS and </w:t>
      </w:r>
      <w:proofErr w:type="spellStart"/>
      <w:r>
        <w:t>mTLS</w:t>
      </w:r>
      <w:proofErr w:type="spellEnd"/>
      <w:r>
        <w:t>, SASL/SCRAM authentication and default-deny ACLs, observed through Promethe</w:t>
      </w:r>
      <w:r>
        <w:t xml:space="preserve">us, </w:t>
      </w:r>
      <w:proofErr w:type="spellStart"/>
      <w:r>
        <w:t>Grafana</w:t>
      </w:r>
      <w:proofErr w:type="spellEnd"/>
      <w:r>
        <w:t xml:space="preserve">, </w:t>
      </w:r>
      <w:proofErr w:type="spellStart"/>
      <w:r>
        <w:t>Alertmanager</w:t>
      </w:r>
      <w:proofErr w:type="spellEnd"/>
      <w:r>
        <w:t xml:space="preserve"> and Loki, and proven through six documented failure drills, each with captured evidence, a root-cause analysis and an operations </w:t>
      </w:r>
      <w:proofErr w:type="spellStart"/>
      <w:r>
        <w:t>runbook</w:t>
      </w:r>
      <w:proofErr w:type="spellEnd"/>
      <w:r>
        <w:t>.</w:t>
      </w:r>
    </w:p>
    <w:p w:rsidR="0099574D" w:rsidRDefault="00D6027F">
      <w:pPr>
        <w:spacing w:after="140"/>
        <w:jc w:val="both"/>
      </w:pPr>
      <w:r>
        <w:t>Delivery follows the stage-gated lifecycle defined in Document 05: Stage 0 prototyping spike</w:t>
      </w:r>
      <w:r>
        <w:t>s (Week 1), Stage 1 minimum viable product (Weeks 1 to 2), Stage 2 final working product with the full test suite (Weeks 3 to 5) and the optional, time-boxed Stage 3 commercial-ready deployment (Weeks 6 to 9). No stage starts before the previous stage's ex</w:t>
      </w:r>
      <w:r>
        <w:t>it criteria are met, and Stage 3 may not begin until the Final gate has been passed. Execution commences on Monday, 12 October 2026. The Final gate is targeted for 15 November 2026 and the optional Commercial-Ready gate for 13 December 2026.</w:t>
      </w:r>
    </w:p>
    <w:p w:rsidR="0099574D" w:rsidRDefault="00D6027F">
      <w:pPr>
        <w:spacing w:after="140"/>
        <w:jc w:val="both"/>
      </w:pPr>
      <w:r>
        <w:t>The plan commi</w:t>
      </w:r>
      <w:r>
        <w:t xml:space="preserve">ts to five measurable success criteria taken directly from the PRD: six of six failure drills completed with evidence and </w:t>
      </w:r>
      <w:proofErr w:type="spellStart"/>
      <w:r>
        <w:t>runbooks</w:t>
      </w:r>
      <w:proofErr w:type="spellEnd"/>
      <w:r>
        <w:t>; zero lost or duplicated messages during the 30-minute single-broker-loss drill; a rolling upgrade completed with zero produc</w:t>
      </w:r>
      <w:r>
        <w:t xml:space="preserve">er errors; a test suite that is green in CI with coverage thresholds met; and a reviewer able to clone the repository, run make up and reproduce drill D1 from the documentation alone in under 30 minutes. Scope is controlled through the </w:t>
      </w:r>
      <w:proofErr w:type="spellStart"/>
      <w:r>
        <w:t>MoSCoW</w:t>
      </w:r>
      <w:proofErr w:type="spellEnd"/>
      <w:r>
        <w:t xml:space="preserve"> priorities of</w:t>
      </w:r>
      <w:r>
        <w:t xml:space="preserve"> the PRD, and ten delivery risks are actively managed through the register in Section 9.</w:t>
      </w:r>
    </w:p>
    <w:p w:rsidR="0099574D" w:rsidRDefault="00D6027F">
      <w:pPr>
        <w:pStyle w:val="Heading1"/>
      </w:pPr>
      <w:bookmarkStart w:id="2" w:name="_Toc100001"/>
      <w:r>
        <w:t>2. Project Basis, Scope and Positioning</w:t>
      </w:r>
      <w:bookmarkEnd w:id="2"/>
    </w:p>
    <w:p w:rsidR="0099574D" w:rsidRDefault="00D6027F">
      <w:pPr>
        <w:spacing w:after="140"/>
        <w:jc w:val="both"/>
      </w:pPr>
      <w:r>
        <w:t xml:space="preserve">This chapter fixes the authority chain for the </w:t>
      </w:r>
      <w:proofErr w:type="spellStart"/>
      <w:r>
        <w:t>programme</w:t>
      </w:r>
      <w:proofErr w:type="spellEnd"/>
      <w:r>
        <w:t>, restates the problem the product answers, and records the scope bound</w:t>
      </w:r>
      <w:r>
        <w:t>aries within which all work packages in Chapter 4 operate.</w:t>
      </w:r>
    </w:p>
    <w:p w:rsidR="0099574D" w:rsidRDefault="00D6027F">
      <w:pPr>
        <w:pStyle w:val="Heading2"/>
      </w:pPr>
      <w:bookmarkStart w:id="3" w:name="_Toc100002"/>
      <w:r>
        <w:t>2.1 Source Documents and Their Authority</w:t>
      </w:r>
      <w:bookmarkEnd w:id="3"/>
    </w:p>
    <w:p w:rsidR="0099574D" w:rsidRDefault="00D6027F">
      <w:pPr>
        <w:spacing w:after="140"/>
        <w:jc w:val="both"/>
      </w:pPr>
      <w:r>
        <w:t xml:space="preserve">Five documents, all held in the repository Documents folder, constitute the complete design baseline. This plan is issued as document 06 in the same series </w:t>
      </w:r>
      <w:r>
        <w:t xml:space="preserve">and is subordinate to them: </w:t>
      </w:r>
      <w:r>
        <w:lastRenderedPageBreak/>
        <w:t>where any conflict is found between this plan and the PRD, the PRD prevails and this plan must be corrected through the change-control route described in Section 11.3.</w:t>
      </w:r>
    </w:p>
    <w:p w:rsidR="0099574D" w:rsidRDefault="00D6027F">
      <w:pPr>
        <w:keepNext/>
        <w:spacing w:before="160" w:after="100"/>
      </w:pPr>
      <w:r>
        <w:rPr>
          <w:b/>
          <w:bCs/>
          <w:color w:val="1A2330"/>
          <w:sz w:val="21"/>
          <w:szCs w:val="21"/>
        </w:rPr>
        <w:t>Table 1 — Source documents and their role in this plan</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1406"/>
        <w:gridCol w:w="2461"/>
        <w:gridCol w:w="4921"/>
      </w:tblGrid>
      <w:tr w:rsidR="0099574D">
        <w:tblPrEx>
          <w:tblCellMar>
            <w:top w:w="0" w:type="dxa"/>
            <w:bottom w:w="0" w:type="dxa"/>
          </w:tblCellMar>
        </w:tblPrEx>
        <w:trPr>
          <w:cantSplit/>
          <w:tblHeader/>
        </w:trPr>
        <w:tc>
          <w:tcPr>
            <w:tcW w:w="8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Docum</w:t>
            </w:r>
            <w:r>
              <w:rPr>
                <w:b/>
                <w:bCs/>
                <w:color w:val="FFFFFF"/>
                <w:sz w:val="20"/>
                <w:szCs w:val="20"/>
              </w:rPr>
              <w:t>ent</w:t>
            </w:r>
          </w:p>
        </w:tc>
        <w:tc>
          <w:tcPr>
            <w:tcW w:w="14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Title</w:t>
            </w:r>
          </w:p>
        </w:tc>
        <w:tc>
          <w:tcPr>
            <w:tcW w:w="28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Role for this plan</w:t>
            </w:r>
          </w:p>
        </w:tc>
      </w:tr>
      <w:tr w:rsidR="0099574D">
        <w:tblPrEx>
          <w:tblCellMar>
            <w:top w:w="0" w:type="dxa"/>
            <w:bottom w:w="0" w:type="dxa"/>
          </w:tblCellMar>
        </w:tblPrEx>
        <w:trPr>
          <w:cantSplit/>
        </w:trPr>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01 — PRD</w:t>
            </w:r>
          </w:p>
        </w:tc>
        <w:tc>
          <w:tcPr>
            <w:tcW w:w="1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Product Requirements Document v1.0</w:t>
            </w:r>
          </w:p>
        </w:tc>
        <w:tc>
          <w:tcPr>
            <w:tcW w:w="2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Defines goals G1 to G7, functional requirements FR-01 to FR-20, the six failure drills D1 to D6, non-functional targets, success metrics and risks. Every work package in Chapter 4 traces to it.</w:t>
            </w:r>
          </w:p>
        </w:tc>
      </w:tr>
      <w:tr w:rsidR="0099574D">
        <w:tblPrEx>
          <w:tblCellMar>
            <w:top w:w="0" w:type="dxa"/>
            <w:bottom w:w="0" w:type="dxa"/>
          </w:tblCellMar>
        </w:tblPrEx>
        <w:trPr>
          <w:cantSplit/>
        </w:trPr>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02 — Tech Stack</w:t>
            </w:r>
          </w:p>
        </w:tc>
        <w:tc>
          <w:tcPr>
            <w:tcW w:w="1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Entire Tech Stack</w:t>
            </w:r>
          </w:p>
        </w:tc>
        <w:tc>
          <w:tcPr>
            <w:tcW w:w="2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Pins the component and tooling choices per layer (Kafka </w:t>
            </w:r>
            <w:proofErr w:type="spellStart"/>
            <w:r>
              <w:rPr>
                <w:sz w:val="20"/>
                <w:szCs w:val="20"/>
              </w:rPr>
              <w:t>KRaft</w:t>
            </w:r>
            <w:proofErr w:type="spellEnd"/>
            <w:r>
              <w:rPr>
                <w:sz w:val="20"/>
                <w:szCs w:val="20"/>
              </w:rPr>
              <w:t>, Schema Registry, Kafka Connect, Java 21, Spring Boot 3.x, PostgreSQL, Prometheus stack, GitHub Actions). Work packages may not introduce technology outside it.</w:t>
            </w:r>
          </w:p>
        </w:tc>
      </w:tr>
      <w:tr w:rsidR="0099574D">
        <w:tblPrEx>
          <w:tblCellMar>
            <w:top w:w="0" w:type="dxa"/>
            <w:bottom w:w="0" w:type="dxa"/>
          </w:tblCellMar>
        </w:tblPrEx>
        <w:trPr>
          <w:cantSplit/>
        </w:trPr>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03 — Backend Schema</w:t>
            </w:r>
          </w:p>
        </w:tc>
        <w:tc>
          <w:tcPr>
            <w:tcW w:w="1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Backend Schema</w:t>
            </w:r>
          </w:p>
        </w:tc>
        <w:tc>
          <w:tcPr>
            <w:tcW w:w="2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Supplies the topic catalogue, Avro schemas, dead-letter envelope, PostgreSQL migrations V1 to V4, broker, producer and consumer configuration baselines and the ACL matrix that Stage 1 and Stage 2 implement verbatim.</w:t>
            </w:r>
          </w:p>
        </w:tc>
      </w:tr>
      <w:tr w:rsidR="0099574D">
        <w:tblPrEx>
          <w:tblCellMar>
            <w:top w:w="0" w:type="dxa"/>
            <w:bottom w:w="0" w:type="dxa"/>
          </w:tblCellMar>
        </w:tblPrEx>
        <w:trPr>
          <w:cantSplit/>
        </w:trPr>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04 — Scaffolding</w:t>
            </w:r>
          </w:p>
        </w:tc>
        <w:tc>
          <w:tcPr>
            <w:tcW w:w="1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Directory Scaffolding</w:t>
            </w:r>
          </w:p>
        </w:tc>
        <w:tc>
          <w:tcPr>
            <w:tcW w:w="2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Defines the repository layout and conventions. The deliverables register in Chapter 7 and the repository bootstrap work package are keyed to it.</w:t>
            </w:r>
          </w:p>
        </w:tc>
      </w:tr>
      <w:tr w:rsidR="0099574D">
        <w:tblPrEx>
          <w:tblCellMar>
            <w:top w:w="0" w:type="dxa"/>
            <w:bottom w:w="0" w:type="dxa"/>
          </w:tblCellMar>
        </w:tblPrEx>
        <w:trPr>
          <w:cantSplit/>
        </w:trPr>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05 — Lifecycle</w:t>
            </w:r>
          </w:p>
        </w:tc>
        <w:tc>
          <w:tcPr>
            <w:tcW w:w="1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Product Lifecycle</w:t>
            </w:r>
          </w:p>
        </w:tc>
        <w:tc>
          <w:tcPr>
            <w:tcW w:w="2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Defines the stage gates, prototype modules P0 to P6, test modules T1 to T22, exit criteria and the Definition of Done that Chapter 8 adopts as binding quality management.</w:t>
            </w:r>
          </w:p>
        </w:tc>
      </w:tr>
    </w:tbl>
    <w:p w:rsidR="0099574D" w:rsidRDefault="00D6027F">
      <w:pPr>
        <w:spacing w:before="60" w:after="140"/>
        <w:jc w:val="both"/>
      </w:pPr>
      <w:r>
        <w:t>Versions of the five baseline documents are pinned at the start of Week 1; later revisions of them follow the same change control as this plan.</w:t>
      </w:r>
    </w:p>
    <w:p w:rsidR="0099574D" w:rsidRDefault="00D6027F">
      <w:pPr>
        <w:pStyle w:val="Heading2"/>
      </w:pPr>
      <w:bookmarkStart w:id="4" w:name="_Toc100003"/>
      <w:r>
        <w:t>2.2 Problem Statement and Value Proposition</w:t>
      </w:r>
      <w:bookmarkEnd w:id="4"/>
    </w:p>
    <w:p w:rsidR="0099574D" w:rsidRDefault="00D6027F">
      <w:pPr>
        <w:spacing w:after="140"/>
        <w:jc w:val="both"/>
      </w:pPr>
      <w:r>
        <w:t>Kafka application code is easy to demonstrate and says almost nothin</w:t>
      </w:r>
      <w:r>
        <w:t xml:space="preserve">g about platform operations. What </w:t>
      </w:r>
      <w:proofErr w:type="spellStart"/>
      <w:r>
        <w:t>organisations</w:t>
      </w:r>
      <w:proofErr w:type="spellEnd"/>
      <w:r>
        <w:t xml:space="preserve"> actually pay for is a Kafka platform that stays up, stays secure, can be upgraded without downtime and can be diagnosed quickly when it breaks. Most portfolio projects show only producers and consumers; the </w:t>
      </w:r>
      <w:proofErr w:type="spellStart"/>
      <w:r>
        <w:t>P</w:t>
      </w:r>
      <w:r>
        <w:t>ayStream</w:t>
      </w:r>
      <w:proofErr w:type="spellEnd"/>
      <w:r>
        <w:t xml:space="preserve"> Reliability Lab exists to demonstrate the missing discipline — deployment, security, observability, upgrade, troubleshooting and recovery — with repeatable evidence rather than claims.</w:t>
      </w:r>
    </w:p>
    <w:p w:rsidR="0099574D" w:rsidRDefault="00D6027F">
      <w:pPr>
        <w:spacing w:after="140"/>
        <w:jc w:val="both"/>
      </w:pPr>
      <w:r>
        <w:t xml:space="preserve">The value proposition for a reviewer is therefore evidential: </w:t>
      </w:r>
      <w:r>
        <w:t xml:space="preserve">every claimed capability is backed by a scripted drill, a captured metric or alert, a written root-cause analysis and a </w:t>
      </w:r>
      <w:proofErr w:type="spellStart"/>
      <w:r>
        <w:t>runbook</w:t>
      </w:r>
      <w:proofErr w:type="spellEnd"/>
      <w:r>
        <w:t xml:space="preserve"> that a stranger can execute. One positioning rule from the PRD governs all written material produced by this </w:t>
      </w:r>
      <w:proofErr w:type="spellStart"/>
      <w:r>
        <w:t>programme</w:t>
      </w:r>
      <w:proofErr w:type="spellEnd"/>
      <w:r>
        <w:t>, includin</w:t>
      </w:r>
      <w:r>
        <w:t>g the repository README: the platform is described as production-style, never as production-ready, because it follows production practices while running on laptop-class hardware with synthetic data.</w:t>
      </w:r>
    </w:p>
    <w:p w:rsidR="0099574D" w:rsidRDefault="00D6027F">
      <w:pPr>
        <w:pStyle w:val="Heading2"/>
      </w:pPr>
      <w:bookmarkStart w:id="5" w:name="_Toc100004"/>
      <w:r>
        <w:lastRenderedPageBreak/>
        <w:t>2.3 Scope Boundaries (</w:t>
      </w:r>
      <w:proofErr w:type="spellStart"/>
      <w:r>
        <w:t>MoSCoW</w:t>
      </w:r>
      <w:proofErr w:type="spellEnd"/>
      <w:r>
        <w:t>)</w:t>
      </w:r>
      <w:bookmarkEnd w:id="5"/>
    </w:p>
    <w:p w:rsidR="0099574D" w:rsidRDefault="00D6027F">
      <w:pPr>
        <w:spacing w:after="140"/>
        <w:jc w:val="both"/>
      </w:pPr>
      <w:r>
        <w:t>The PRD fixes scope through</w:t>
      </w:r>
      <w:r>
        <w:t xml:space="preserve"> </w:t>
      </w:r>
      <w:proofErr w:type="spellStart"/>
      <w:r>
        <w:t>MoSCoW</w:t>
      </w:r>
      <w:proofErr w:type="spellEnd"/>
      <w:r>
        <w:t xml:space="preserve"> priorities. This plan allocates Must items to Stages 1 and 2, Should items to Stage 2, and restricts Could items to Stage 3, which begins only after the Final gate. Won't items </w:t>
      </w:r>
      <w:proofErr w:type="gramStart"/>
      <w:r>
        <w:t>are</w:t>
      </w:r>
      <w:proofErr w:type="gramEnd"/>
      <w:r>
        <w:t xml:space="preserve"> excluded from version 1 entirely.</w:t>
      </w:r>
    </w:p>
    <w:p w:rsidR="0099574D" w:rsidRDefault="00D6027F">
      <w:pPr>
        <w:keepNext/>
        <w:spacing w:before="160" w:after="100"/>
      </w:pPr>
      <w:r>
        <w:rPr>
          <w:b/>
          <w:bCs/>
          <w:color w:val="1A2330"/>
          <w:sz w:val="21"/>
          <w:szCs w:val="21"/>
        </w:rPr>
        <w:t xml:space="preserve">Table 2 — </w:t>
      </w:r>
      <w:proofErr w:type="spellStart"/>
      <w:r>
        <w:rPr>
          <w:b/>
          <w:bCs/>
          <w:color w:val="1A2330"/>
          <w:sz w:val="21"/>
          <w:szCs w:val="21"/>
        </w:rPr>
        <w:t>MoSCoW</w:t>
      </w:r>
      <w:proofErr w:type="spellEnd"/>
      <w:r>
        <w:rPr>
          <w:b/>
          <w:bCs/>
          <w:color w:val="1A2330"/>
          <w:sz w:val="21"/>
          <w:szCs w:val="21"/>
        </w:rPr>
        <w:t xml:space="preserve"> scope allocation</w:t>
      </w:r>
      <w:r>
        <w:rPr>
          <w:b/>
          <w:bCs/>
          <w:color w:val="1A2330"/>
          <w:sz w:val="21"/>
          <w:szCs w:val="21"/>
        </w:rPr>
        <w:t xml:space="preserve"> and delivery stage</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1230"/>
        <w:gridCol w:w="5273"/>
        <w:gridCol w:w="2285"/>
      </w:tblGrid>
      <w:tr w:rsidR="0099574D">
        <w:tblPrEx>
          <w:tblCellMar>
            <w:top w:w="0" w:type="dxa"/>
            <w:bottom w:w="0" w:type="dxa"/>
          </w:tblCellMar>
        </w:tblPrEx>
        <w:trPr>
          <w:cantSplit/>
          <w:tblHeader/>
        </w:trPr>
        <w:tc>
          <w:tcPr>
            <w:tcW w:w="7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Priority</w:t>
            </w:r>
          </w:p>
        </w:tc>
        <w:tc>
          <w:tcPr>
            <w:tcW w:w="30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Items</w:t>
            </w:r>
          </w:p>
        </w:tc>
        <w:tc>
          <w:tcPr>
            <w:tcW w:w="13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Delivery stage</w:t>
            </w:r>
          </w:p>
        </w:tc>
      </w:tr>
      <w:tr w:rsidR="0099574D">
        <w:tblPrEx>
          <w:tblCellMar>
            <w:top w:w="0" w:type="dxa"/>
            <w:bottom w:w="0" w:type="dxa"/>
          </w:tblCellMar>
        </w:tblPrEx>
        <w:trPr>
          <w:cantSplit/>
        </w:trPr>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Must</w:t>
            </w:r>
          </w:p>
        </w:tc>
        <w:tc>
          <w:tcPr>
            <w:tcW w:w="3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Three-broker </w:t>
            </w:r>
            <w:proofErr w:type="spellStart"/>
            <w:r>
              <w:rPr>
                <w:sz w:val="20"/>
                <w:szCs w:val="20"/>
              </w:rPr>
              <w:t>KRaft</w:t>
            </w:r>
            <w:proofErr w:type="spellEnd"/>
            <w:r>
              <w:rPr>
                <w:sz w:val="20"/>
                <w:szCs w:val="20"/>
              </w:rPr>
              <w:t xml:space="preserve"> cluster; Schema Registry; three Spring Boot services; </w:t>
            </w:r>
            <w:proofErr w:type="spellStart"/>
            <w:r>
              <w:rPr>
                <w:sz w:val="20"/>
                <w:szCs w:val="20"/>
              </w:rPr>
              <w:t>mTLS</w:t>
            </w:r>
            <w:proofErr w:type="spellEnd"/>
            <w:r>
              <w:rPr>
                <w:sz w:val="20"/>
                <w:szCs w:val="20"/>
              </w:rPr>
              <w:t xml:space="preserve"> plus SASL/SCRAM plus ACLs; Prometheus, </w:t>
            </w:r>
            <w:proofErr w:type="spellStart"/>
            <w:r>
              <w:rPr>
                <w:sz w:val="20"/>
                <w:szCs w:val="20"/>
              </w:rPr>
              <w:t>Grafana</w:t>
            </w:r>
            <w:proofErr w:type="spellEnd"/>
            <w:r>
              <w:rPr>
                <w:sz w:val="20"/>
                <w:szCs w:val="20"/>
              </w:rPr>
              <w:t xml:space="preserve"> and alerting; six failure drills; </w:t>
            </w:r>
            <w:proofErr w:type="spellStart"/>
            <w:r>
              <w:rPr>
                <w:sz w:val="20"/>
                <w:szCs w:val="20"/>
              </w:rPr>
              <w:t>runbooks</w:t>
            </w:r>
            <w:proofErr w:type="spellEnd"/>
            <w:r>
              <w:rPr>
                <w:sz w:val="20"/>
                <w:szCs w:val="20"/>
              </w:rPr>
              <w:t>; CI pipeline; automated tests.</w:t>
            </w:r>
          </w:p>
        </w:tc>
        <w:tc>
          <w:tcPr>
            <w:tcW w:w="1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Stage 1 (slice) and Stage 2 (complete)</w:t>
            </w:r>
          </w:p>
        </w:tc>
      </w:tr>
      <w:tr w:rsidR="0099574D">
        <w:tblPrEx>
          <w:tblCellMar>
            <w:top w:w="0" w:type="dxa"/>
            <w:bottom w:w="0" w:type="dxa"/>
          </w:tblCellMar>
        </w:tblPrEx>
        <w:trPr>
          <w:cantSplit/>
        </w:trPr>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Should</w:t>
            </w:r>
          </w:p>
        </w:tc>
        <w:tc>
          <w:tcPr>
            <w:tcW w:w="3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Kafka Connect with PostgreSQL CDC; rolling upgrade test; broker expansion with partition reassignment; topic and ACL definitions as code.</w:t>
            </w:r>
          </w:p>
        </w:tc>
        <w:tc>
          <w:tcPr>
            <w:tcW w:w="1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Stage 2</w:t>
            </w:r>
          </w:p>
        </w:tc>
      </w:tr>
      <w:tr w:rsidR="0099574D">
        <w:tblPrEx>
          <w:tblCellMar>
            <w:top w:w="0" w:type="dxa"/>
            <w:bottom w:w="0" w:type="dxa"/>
          </w:tblCellMar>
        </w:tblPrEx>
        <w:trPr>
          <w:cantSplit/>
        </w:trPr>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Could</w:t>
            </w:r>
          </w:p>
        </w:tc>
        <w:tc>
          <w:tcPr>
            <w:tcW w:w="3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Kubernetes or Helm deployment; second cluster with replication (DR); Confluent Control Center.</w:t>
            </w:r>
          </w:p>
        </w:tc>
        <w:tc>
          <w:tcPr>
            <w:tcW w:w="1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Stage 3 only, time-boxed</w:t>
            </w:r>
          </w:p>
        </w:tc>
      </w:tr>
      <w:tr w:rsidR="0099574D">
        <w:tblPrEx>
          <w:tblCellMar>
            <w:top w:w="0" w:type="dxa"/>
            <w:bottom w:w="0" w:type="dxa"/>
          </w:tblCellMar>
        </w:tblPrEx>
        <w:trPr>
          <w:cantSplit/>
        </w:trPr>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Won't (v1)</w:t>
            </w:r>
          </w:p>
        </w:tc>
        <w:tc>
          <w:tcPr>
            <w:tcW w:w="3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Custom GitHub onboarding bot; multi-region active-active; machine-learning fraud scoring.</w:t>
            </w:r>
          </w:p>
        </w:tc>
        <w:tc>
          <w:tcPr>
            <w:tcW w:w="1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Excluded from v1</w:t>
            </w:r>
          </w:p>
        </w:tc>
      </w:tr>
    </w:tbl>
    <w:p w:rsidR="0099574D" w:rsidRDefault="00D6027F">
      <w:pPr>
        <w:pStyle w:val="Heading2"/>
      </w:pPr>
      <w:bookmarkStart w:id="6" w:name="_Toc100005"/>
      <w:r>
        <w:t>2.4 Explicit Non-Goals</w:t>
      </w:r>
      <w:bookmarkEnd w:id="6"/>
    </w:p>
    <w:p w:rsidR="0099574D" w:rsidRDefault="00D6027F">
      <w:pPr>
        <w:spacing w:after="140"/>
        <w:jc w:val="both"/>
      </w:pPr>
      <w:r>
        <w:t>To protect the schedule and keep every claim honest, the following remain non-goals for version 1: real payments, real customer data or any real financial processing; a user-facing UI or mobile application; machine-learning fraud detection (simple amount a</w:t>
      </w:r>
      <w:r>
        <w:t xml:space="preserve">nd velocity rules are sufficient); and certified compliance with PCI-DSS, SOC 2 or similar frameworks. Controls may be mapped to such frameworks as documentation in Stage 3, but the </w:t>
      </w:r>
      <w:proofErr w:type="spellStart"/>
      <w:r>
        <w:t>programme</w:t>
      </w:r>
      <w:proofErr w:type="spellEnd"/>
      <w:r>
        <w:t xml:space="preserve"> never claims certification.</w:t>
      </w:r>
    </w:p>
    <w:p w:rsidR="0099574D" w:rsidRDefault="00D6027F">
      <w:pPr>
        <w:pStyle w:val="Heading1"/>
      </w:pPr>
      <w:bookmarkStart w:id="7" w:name="_Toc100006"/>
      <w:r>
        <w:t>3. Implementation Strategy</w:t>
      </w:r>
      <w:bookmarkEnd w:id="7"/>
    </w:p>
    <w:p w:rsidR="0099574D" w:rsidRDefault="00D6027F">
      <w:pPr>
        <w:pStyle w:val="Heading2"/>
      </w:pPr>
      <w:bookmarkStart w:id="8" w:name="_Toc100007"/>
      <w:r>
        <w:t>3.1 Stage</w:t>
      </w:r>
      <w:r>
        <w:t>-Gated Delivery Model</w:t>
      </w:r>
      <w:bookmarkEnd w:id="8"/>
    </w:p>
    <w:p w:rsidR="0099574D" w:rsidRDefault="00D6027F">
      <w:pPr>
        <w:spacing w:after="140"/>
        <w:jc w:val="both"/>
      </w:pPr>
      <w:r>
        <w:t xml:space="preserve">The </w:t>
      </w:r>
      <w:proofErr w:type="spellStart"/>
      <w:r>
        <w:t>programme</w:t>
      </w:r>
      <w:proofErr w:type="spellEnd"/>
      <w:r>
        <w:t xml:space="preserve"> is delivered in four stages with hard gates. A stage starts only when the previous gate's exit criteria (Section 8.3) are demonstrably met; the lifecycle explicitly forbids skipping Stage 2 to reach Stage 3, because a de</w:t>
      </w:r>
      <w:r>
        <w:t>ployed system without failure evidence demonstrates nothing. Each gate produces a dated evidence pack stored in the repository, so gate passage is auditable after the fact.</w:t>
      </w:r>
    </w:p>
    <w:p w:rsidR="0099574D" w:rsidRDefault="00D6027F">
      <w:pPr>
        <w:keepNext/>
        <w:spacing w:before="160" w:after="100"/>
      </w:pPr>
      <w:r>
        <w:rPr>
          <w:b/>
          <w:bCs/>
          <w:color w:val="1A2330"/>
          <w:sz w:val="21"/>
          <w:szCs w:val="21"/>
        </w:rPr>
        <w:lastRenderedPageBreak/>
        <w:t>Table 3 — Stage-gated delivery model</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1318"/>
        <w:gridCol w:w="2900"/>
        <w:gridCol w:w="1494"/>
        <w:gridCol w:w="3076"/>
      </w:tblGrid>
      <w:tr w:rsidR="0099574D">
        <w:tblPrEx>
          <w:tblCellMar>
            <w:top w:w="0" w:type="dxa"/>
            <w:bottom w:w="0" w:type="dxa"/>
          </w:tblCellMar>
        </w:tblPrEx>
        <w:trPr>
          <w:cantSplit/>
          <w:tblHeader/>
        </w:trPr>
        <w:tc>
          <w:tcPr>
            <w:tcW w:w="7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Stage</w:t>
            </w:r>
          </w:p>
        </w:tc>
        <w:tc>
          <w:tcPr>
            <w:tcW w:w="16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Purpose</w:t>
            </w:r>
          </w:p>
        </w:tc>
        <w:tc>
          <w:tcPr>
            <w:tcW w:w="8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Duration</w:t>
            </w:r>
          </w:p>
        </w:tc>
        <w:tc>
          <w:tcPr>
            <w:tcW w:w="17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Gate evidence produced</w:t>
            </w:r>
          </w:p>
        </w:tc>
      </w:tr>
      <w:tr w:rsidR="0099574D">
        <w:tblPrEx>
          <w:tblCellMar>
            <w:top w:w="0" w:type="dxa"/>
            <w:bottom w:w="0" w:type="dxa"/>
          </w:tblCellMar>
        </w:tblPrEx>
        <w:trPr>
          <w:cantSplit/>
        </w:trPr>
        <w:tc>
          <w:tcPr>
            <w:tcW w:w="7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Stage 0 — Prototype</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Answer specific technical questions cheaply with throwaway spikes; record findings as ADRs. Prototype code is not carried into the product.</w:t>
            </w:r>
          </w:p>
        </w:tc>
        <w:tc>
          <w:tcPr>
            <w:tcW w:w="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Days 1–3 of Week 1</w:t>
            </w:r>
          </w:p>
        </w:tc>
        <w:tc>
          <w:tcPr>
            <w:tcW w:w="17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Written answers for P0–P6; ADR-0001 to ADR-0004; resource measurements</w:t>
            </w:r>
          </w:p>
        </w:tc>
      </w:tr>
      <w:tr w:rsidR="0099574D">
        <w:tblPrEx>
          <w:tblCellMar>
            <w:top w:w="0" w:type="dxa"/>
            <w:bottom w:w="0" w:type="dxa"/>
          </w:tblCellMar>
        </w:tblPrEx>
        <w:trPr>
          <w:cantSplit/>
        </w:trPr>
        <w:tc>
          <w:tcPr>
            <w:tcW w:w="7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Stage 1 — MVP</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Prove the end-to-end path with a thin slice: cluster, three services, one fraud rule, minimal dashboard, basic CI.</w:t>
            </w:r>
          </w:p>
        </w:tc>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Weeks 1–2</w:t>
            </w:r>
          </w:p>
        </w:tc>
        <w:tc>
          <w:tcPr>
            <w:tcW w:w="17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One-command cold start; 10-minute 100 </w:t>
            </w:r>
            <w:proofErr w:type="spellStart"/>
            <w:r>
              <w:rPr>
                <w:sz w:val="20"/>
                <w:szCs w:val="20"/>
              </w:rPr>
              <w:t>msg</w:t>
            </w:r>
            <w:proofErr w:type="spellEnd"/>
            <w:r>
              <w:rPr>
                <w:sz w:val="20"/>
                <w:szCs w:val="20"/>
              </w:rPr>
              <w:t>/s run with no errors; green CI</w:t>
            </w:r>
          </w:p>
        </w:tc>
      </w:tr>
      <w:tr w:rsidR="0099574D">
        <w:tblPrEx>
          <w:tblCellMar>
            <w:top w:w="0" w:type="dxa"/>
            <w:bottom w:w="0" w:type="dxa"/>
          </w:tblCellMar>
        </w:tblPrEx>
        <w:trPr>
          <w:cantSplit/>
        </w:trPr>
        <w:tc>
          <w:tcPr>
            <w:tcW w:w="7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Stage 2 — Final product</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Deliver all Must and most Should items: full security, stream hardening, CDC, complete observability, six drills, upgrade and expansion procedures, config as code, documentation.</w:t>
            </w:r>
          </w:p>
        </w:tc>
        <w:tc>
          <w:tcPr>
            <w:tcW w:w="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Weeks 3–5</w:t>
            </w:r>
          </w:p>
        </w:tc>
        <w:tc>
          <w:tcPr>
            <w:tcW w:w="17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Six drill reports with RCA and </w:t>
            </w:r>
            <w:proofErr w:type="spellStart"/>
            <w:r>
              <w:rPr>
                <w:sz w:val="20"/>
                <w:szCs w:val="20"/>
              </w:rPr>
              <w:t>runbooks</w:t>
            </w:r>
            <w:proofErr w:type="spellEnd"/>
            <w:r>
              <w:rPr>
                <w:sz w:val="20"/>
                <w:szCs w:val="20"/>
              </w:rPr>
              <w:t xml:space="preserve">; zero-loss D1 run; upgrade </w:t>
            </w:r>
            <w:r>
              <w:rPr>
                <w:sz w:val="20"/>
                <w:szCs w:val="20"/>
              </w:rPr>
              <w:t>with zero producer errors; performance baseline</w:t>
            </w:r>
          </w:p>
        </w:tc>
      </w:tr>
      <w:tr w:rsidR="0099574D">
        <w:tblPrEx>
          <w:tblCellMar>
            <w:top w:w="0" w:type="dxa"/>
            <w:bottom w:w="0" w:type="dxa"/>
          </w:tblCellMar>
        </w:tblPrEx>
        <w:trPr>
          <w:cantSplit/>
        </w:trPr>
        <w:tc>
          <w:tcPr>
            <w:tcW w:w="7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Stage 3 — Commercial-ready (optional)</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Make the platform operable by people other than its author: Kubernetes, </w:t>
            </w:r>
            <w:proofErr w:type="spellStart"/>
            <w:r>
              <w:rPr>
                <w:sz w:val="20"/>
                <w:szCs w:val="20"/>
              </w:rPr>
              <w:t>IaC</w:t>
            </w:r>
            <w:proofErr w:type="spellEnd"/>
            <w:r>
              <w:rPr>
                <w:sz w:val="20"/>
                <w:szCs w:val="20"/>
              </w:rPr>
              <w:t xml:space="preserve">, </w:t>
            </w:r>
            <w:proofErr w:type="spellStart"/>
            <w:r>
              <w:rPr>
                <w:sz w:val="20"/>
                <w:szCs w:val="20"/>
              </w:rPr>
              <w:t>GitOps</w:t>
            </w:r>
            <w:proofErr w:type="spellEnd"/>
            <w:r>
              <w:rPr>
                <w:sz w:val="20"/>
                <w:szCs w:val="20"/>
              </w:rPr>
              <w:t>, DR, SLOs, support model, game day.</w:t>
            </w:r>
          </w:p>
        </w:tc>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Weeks 6–9 (time-boxed)</w:t>
            </w:r>
          </w:p>
        </w:tc>
        <w:tc>
          <w:tcPr>
            <w:tcW w:w="17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Deploy-from-Git with destroy and recreate; timed DR failover; SLO record; game-day result</w:t>
            </w:r>
          </w:p>
        </w:tc>
      </w:tr>
    </w:tbl>
    <w:p w:rsidR="0099574D" w:rsidRDefault="00D6027F">
      <w:pPr>
        <w:pStyle w:val="Heading2"/>
      </w:pPr>
      <w:bookmarkStart w:id="9" w:name="_Toc100008"/>
      <w:r>
        <w:t>3.2 Build-Order Principles</w:t>
      </w:r>
      <w:bookmarkEnd w:id="9"/>
    </w:p>
    <w:p w:rsidR="0099574D" w:rsidRDefault="00D6027F">
      <w:pPr>
        <w:spacing w:after="140"/>
        <w:jc w:val="both"/>
      </w:pPr>
      <w:r>
        <w:t>Five principles govern the order of work inside the stages and are visible in the work breakdown structure:</w:t>
      </w:r>
    </w:p>
    <w:p w:rsidR="0099574D" w:rsidRDefault="00D6027F">
      <w:pPr>
        <w:pStyle w:val="ListParagraph"/>
        <w:numPr>
          <w:ilvl w:val="0"/>
          <w:numId w:val="2"/>
        </w:numPr>
        <w:spacing w:after="80"/>
        <w:jc w:val="both"/>
      </w:pPr>
      <w:r>
        <w:t>Walking skeleton first. Stage 1 establishes a complete, unencrypted, thin path from producer to database before any depth is added, so integration risk is retired in week one rather than in week five.</w:t>
      </w:r>
    </w:p>
    <w:p w:rsidR="0099574D" w:rsidRDefault="00D6027F">
      <w:pPr>
        <w:pStyle w:val="ListParagraph"/>
        <w:numPr>
          <w:ilvl w:val="0"/>
          <w:numId w:val="2"/>
        </w:numPr>
        <w:spacing w:after="80"/>
        <w:jc w:val="both"/>
      </w:pPr>
      <w:r>
        <w:t>Security before scale. Transport security, authenticati</w:t>
      </w:r>
      <w:r>
        <w:t xml:space="preserve">on and </w:t>
      </w:r>
      <w:proofErr w:type="spellStart"/>
      <w:r>
        <w:t>authorisation</w:t>
      </w:r>
      <w:proofErr w:type="spellEnd"/>
      <w:r>
        <w:t xml:space="preserve"> are the first work packages of Stage 2, because every later activity (drills, upgrade, CDC) behaves differently on a secured cluster, and retrofitting security invalidates prior test evidence.</w:t>
      </w:r>
    </w:p>
    <w:p w:rsidR="0099574D" w:rsidRDefault="00D6027F">
      <w:pPr>
        <w:pStyle w:val="ListParagraph"/>
        <w:numPr>
          <w:ilvl w:val="0"/>
          <w:numId w:val="2"/>
        </w:numPr>
        <w:spacing w:after="80"/>
        <w:jc w:val="both"/>
      </w:pPr>
      <w:r>
        <w:t>Drills are deliverables, not demonstration</w:t>
      </w:r>
      <w:r>
        <w:t>s. Each failure drill is a version-controlled script plus a document, executed twice with consistent results, with evidence retained under chaos/results/. A drill that cannot be re-run does not count.</w:t>
      </w:r>
    </w:p>
    <w:p w:rsidR="0099574D" w:rsidRDefault="00D6027F">
      <w:pPr>
        <w:pStyle w:val="ListParagraph"/>
        <w:numPr>
          <w:ilvl w:val="0"/>
          <w:numId w:val="2"/>
        </w:numPr>
        <w:spacing w:after="80"/>
        <w:jc w:val="both"/>
      </w:pPr>
      <w:r>
        <w:t xml:space="preserve">Everything as code. Topics, ACLs, schemas, dashboards, </w:t>
      </w:r>
      <w:r>
        <w:t>alert rules and connector definitions live in Git and are applied and validated by CI from the moment they first appear; manual console changes are treated as drift to be reported and removed.</w:t>
      </w:r>
    </w:p>
    <w:p w:rsidR="0099574D" w:rsidRDefault="00D6027F">
      <w:pPr>
        <w:pStyle w:val="ListParagraph"/>
        <w:numPr>
          <w:ilvl w:val="0"/>
          <w:numId w:val="2"/>
        </w:numPr>
        <w:spacing w:after="80"/>
        <w:jc w:val="both"/>
      </w:pPr>
      <w:r>
        <w:lastRenderedPageBreak/>
        <w:t xml:space="preserve">Measure before claiming. Performance and durability targets in the PRD are design targets until recorded in docs/performance/baseline.md with the hardware stated; no document produced by this </w:t>
      </w:r>
      <w:proofErr w:type="spellStart"/>
      <w:r>
        <w:t>programme</w:t>
      </w:r>
      <w:proofErr w:type="spellEnd"/>
      <w:r>
        <w:t xml:space="preserve"> states them as achieved facts before measurement.</w:t>
      </w:r>
    </w:p>
    <w:p w:rsidR="0099574D" w:rsidRDefault="00D6027F">
      <w:pPr>
        <w:pStyle w:val="Heading2"/>
      </w:pPr>
      <w:bookmarkStart w:id="10" w:name="_Toc100009"/>
      <w:r>
        <w:t xml:space="preserve">3.3 </w:t>
      </w:r>
      <w:r>
        <w:t>Environment and Licensing Strategy</w:t>
      </w:r>
      <w:bookmarkEnd w:id="10"/>
    </w:p>
    <w:p w:rsidR="0099574D" w:rsidRDefault="00D6027F">
      <w:pPr>
        <w:spacing w:after="140"/>
        <w:jc w:val="both"/>
      </w:pPr>
      <w:r>
        <w:t>Docker Compose with profiles (core, security, monitoring, connect) is the sole execution environment for Stages 0 to 2; Kubernetes work is confined to Stage 3. The distribution default is Apache Kafka with community-licen</w:t>
      </w:r>
      <w:r>
        <w:t xml:space="preserve">sed Confluent components (Schema Registry, Kafka Connect, </w:t>
      </w:r>
      <w:proofErr w:type="spellStart"/>
      <w:r>
        <w:t>Debezium</w:t>
      </w:r>
      <w:proofErr w:type="spellEnd"/>
      <w:r>
        <w:t xml:space="preserve">); commercial components such as Control Center and Cluster Linking are optional add-ons that may be adopted only after their current </w:t>
      </w:r>
      <w:proofErr w:type="spellStart"/>
      <w:r>
        <w:t>licence</w:t>
      </w:r>
      <w:proofErr w:type="spellEnd"/>
      <w:r>
        <w:t xml:space="preserve"> terms have been verified in writing, because tim</w:t>
      </w:r>
      <w:r>
        <w:t xml:space="preserve">e-limited trials can break a multi-week plan. Component versions are pinned </w:t>
      </w:r>
      <w:proofErr w:type="gramStart"/>
      <w:r>
        <w:t>in .</w:t>
      </w:r>
      <w:proofErr w:type="spellStart"/>
      <w:r>
        <w:t>env</w:t>
      </w:r>
      <w:proofErr w:type="spellEnd"/>
      <w:proofErr w:type="gramEnd"/>
      <w:r>
        <w:t xml:space="preserve"> and build files at project start and checked against current supported releases; nothing in the platform depends on a latest tag. Secrets are excluded from Git by policy an</w:t>
      </w:r>
      <w:r>
        <w:t xml:space="preserve">d by </w:t>
      </w:r>
      <w:proofErr w:type="spellStart"/>
      <w:r>
        <w:t>Gitleaks</w:t>
      </w:r>
      <w:proofErr w:type="spellEnd"/>
      <w:r>
        <w:t xml:space="preserve"> scanning in CI.</w:t>
      </w:r>
    </w:p>
    <w:p w:rsidR="0099574D" w:rsidRDefault="00D6027F">
      <w:pPr>
        <w:pStyle w:val="Heading2"/>
      </w:pPr>
      <w:bookmarkStart w:id="11" w:name="_Toc100010"/>
      <w:r>
        <w:t>3.4 Baseline Technical Decisions</w:t>
      </w:r>
      <w:bookmarkEnd w:id="11"/>
    </w:p>
    <w:p w:rsidR="0099574D" w:rsidRDefault="00D6027F">
      <w:pPr>
        <w:spacing w:after="140"/>
        <w:jc w:val="both"/>
      </w:pPr>
      <w:r>
        <w:t xml:space="preserve">The design set pre-decides most architecture. The remaining open technical questions are answered by Architecture Decision Records during Stage 0, following the Context, Decision, Consequences </w:t>
      </w:r>
      <w:r>
        <w:t>format mandated by Document 04. The register below lists the ADRs this plan requires, their driver and their due date.</w:t>
      </w:r>
    </w:p>
    <w:p w:rsidR="0099574D" w:rsidRDefault="00D6027F">
      <w:pPr>
        <w:keepNext/>
        <w:spacing w:before="160" w:after="100"/>
      </w:pPr>
      <w:r>
        <w:rPr>
          <w:b/>
          <w:bCs/>
          <w:color w:val="1A2330"/>
          <w:sz w:val="21"/>
          <w:szCs w:val="21"/>
        </w:rPr>
        <w:t>Table 4 — Architecture decision register for Stage 0 and early Stage 1</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1231"/>
        <w:gridCol w:w="3339"/>
        <w:gridCol w:w="2285"/>
        <w:gridCol w:w="1933"/>
      </w:tblGrid>
      <w:tr w:rsidR="0099574D">
        <w:tblPrEx>
          <w:tblCellMar>
            <w:top w:w="0" w:type="dxa"/>
            <w:bottom w:w="0" w:type="dxa"/>
          </w:tblCellMar>
        </w:tblPrEx>
        <w:trPr>
          <w:cantSplit/>
          <w:tblHeader/>
        </w:trPr>
        <w:tc>
          <w:tcPr>
            <w:tcW w:w="7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ADR</w:t>
            </w:r>
          </w:p>
        </w:tc>
        <w:tc>
          <w:tcPr>
            <w:tcW w:w="19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Decision area</w:t>
            </w:r>
          </w:p>
        </w:tc>
        <w:tc>
          <w:tcPr>
            <w:tcW w:w="13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Driver</w:t>
            </w:r>
          </w:p>
        </w:tc>
        <w:tc>
          <w:tcPr>
            <w:tcW w:w="11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Due</w:t>
            </w:r>
          </w:p>
        </w:tc>
      </w:tr>
      <w:tr w:rsidR="0099574D">
        <w:tblPrEx>
          <w:tblCellMar>
            <w:top w:w="0" w:type="dxa"/>
            <w:bottom w:w="0" w:type="dxa"/>
          </w:tblCellMar>
        </w:tblPrEx>
        <w:trPr>
          <w:cantSplit/>
        </w:trPr>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ADR-0001</w:t>
            </w:r>
          </w:p>
        </w:tc>
        <w:tc>
          <w:tcPr>
            <w:tcW w:w="1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Cluster topology: three combined broker plus controller nodes for the lab; dedicated-controller layout documented for the production-style path.</w:t>
            </w:r>
          </w:p>
        </w:tc>
        <w:tc>
          <w:tcPr>
            <w:tcW w:w="1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Prototype P3 quorum observations; lifecycle guidance</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End of Week 1</w:t>
            </w:r>
          </w:p>
        </w:tc>
      </w:tr>
      <w:tr w:rsidR="0099574D">
        <w:tblPrEx>
          <w:tblCellMar>
            <w:top w:w="0" w:type="dxa"/>
            <w:bottom w:w="0" w:type="dxa"/>
          </w:tblCellMar>
        </w:tblPrEx>
        <w:trPr>
          <w:cantSplit/>
        </w:trPr>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ADR-0002</w:t>
            </w:r>
          </w:p>
        </w:tc>
        <w:tc>
          <w:tcPr>
            <w:tcW w:w="1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Listener and security layout: </w:t>
            </w:r>
            <w:proofErr w:type="spellStart"/>
            <w:r>
              <w:rPr>
                <w:sz w:val="20"/>
                <w:szCs w:val="20"/>
              </w:rPr>
              <w:t>mTLS</w:t>
            </w:r>
            <w:proofErr w:type="spellEnd"/>
            <w:r>
              <w:rPr>
                <w:sz w:val="20"/>
                <w:szCs w:val="20"/>
              </w:rPr>
              <w:t xml:space="preserve"> inter-broker, SASL/SCRAM-SHA-512 over TLS for clients, one </w:t>
            </w:r>
            <w:proofErr w:type="spellStart"/>
            <w:r>
              <w:rPr>
                <w:sz w:val="20"/>
                <w:szCs w:val="20"/>
              </w:rPr>
              <w:t>mTLS</w:t>
            </w:r>
            <w:proofErr w:type="spellEnd"/>
            <w:r>
              <w:rPr>
                <w:sz w:val="20"/>
                <w:szCs w:val="20"/>
              </w:rPr>
              <w:t>-only demo client.</w:t>
            </w:r>
          </w:p>
        </w:tc>
        <w:tc>
          <w:tcPr>
            <w:tcW w:w="1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Prototype P4; FR-08</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End of Week 1</w:t>
            </w:r>
          </w:p>
        </w:tc>
      </w:tr>
      <w:tr w:rsidR="0099574D">
        <w:tblPrEx>
          <w:tblCellMar>
            <w:top w:w="0" w:type="dxa"/>
            <w:bottom w:w="0" w:type="dxa"/>
          </w:tblCellMar>
        </w:tblPrEx>
        <w:trPr>
          <w:cantSplit/>
        </w:trPr>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ADR-0003</w:t>
            </w:r>
          </w:p>
        </w:tc>
        <w:tc>
          <w:tcPr>
            <w:tcW w:w="1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Transaction topic partition count (six) and keying by </w:t>
            </w:r>
            <w:proofErr w:type="spellStart"/>
            <w:r>
              <w:rPr>
                <w:sz w:val="20"/>
                <w:szCs w:val="20"/>
              </w:rPr>
              <w:t>account_id</w:t>
            </w:r>
            <w:proofErr w:type="spellEnd"/>
            <w:r>
              <w:rPr>
                <w:sz w:val="20"/>
                <w:szCs w:val="20"/>
              </w:rPr>
              <w:t>, fixing per-account ordering for the velocity rule.</w:t>
            </w:r>
          </w:p>
        </w:tc>
        <w:tc>
          <w:tcPr>
            <w:tcW w:w="1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Prototype P1; backend schema rationale</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End of Week 1</w:t>
            </w:r>
          </w:p>
        </w:tc>
      </w:tr>
      <w:tr w:rsidR="0099574D">
        <w:tblPrEx>
          <w:tblCellMar>
            <w:top w:w="0" w:type="dxa"/>
            <w:bottom w:w="0" w:type="dxa"/>
          </w:tblCellMar>
        </w:tblPrEx>
        <w:trPr>
          <w:cantSplit/>
        </w:trPr>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ADR-0004</w:t>
            </w:r>
          </w:p>
        </w:tc>
        <w:tc>
          <w:tcPr>
            <w:tcW w:w="1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Schema compatibility strategy: Avro with BACKWARD compatibility and </w:t>
            </w:r>
            <w:proofErr w:type="spellStart"/>
            <w:r>
              <w:rPr>
                <w:sz w:val="20"/>
                <w:szCs w:val="20"/>
              </w:rPr>
              <w:t>TopicNameStrategy</w:t>
            </w:r>
            <w:proofErr w:type="spellEnd"/>
            <w:r>
              <w:rPr>
                <w:sz w:val="20"/>
                <w:szCs w:val="20"/>
              </w:rPr>
              <w:t xml:space="preserve"> subjects; breaking changes require a new topic version.</w:t>
            </w:r>
          </w:p>
        </w:tc>
        <w:tc>
          <w:tcPr>
            <w:tcW w:w="1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Prototype P2; FR-03</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End of Week 1</w:t>
            </w:r>
          </w:p>
        </w:tc>
      </w:tr>
      <w:tr w:rsidR="0099574D">
        <w:tblPrEx>
          <w:tblCellMar>
            <w:top w:w="0" w:type="dxa"/>
            <w:bottom w:w="0" w:type="dxa"/>
          </w:tblCellMar>
        </w:tblPrEx>
        <w:trPr>
          <w:cantSplit/>
        </w:trPr>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lastRenderedPageBreak/>
              <w:t>ADR-0005</w:t>
            </w:r>
          </w:p>
        </w:tc>
        <w:tc>
          <w:tcPr>
            <w:tcW w:w="1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Consumer rebalancing: </w:t>
            </w:r>
            <w:proofErr w:type="spellStart"/>
            <w:r>
              <w:rPr>
                <w:sz w:val="20"/>
                <w:szCs w:val="20"/>
              </w:rPr>
              <w:t>CooperativeStickyAssignor</w:t>
            </w:r>
            <w:proofErr w:type="spellEnd"/>
            <w:r>
              <w:rPr>
                <w:sz w:val="20"/>
                <w:szCs w:val="20"/>
              </w:rPr>
              <w:t xml:space="preserve"> to avoid stop-the-world rebalances (supports drill D3).</w:t>
            </w:r>
          </w:p>
        </w:tc>
        <w:tc>
          <w:tcPr>
            <w:tcW w:w="1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MVP integration findings</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End of Week 2</w:t>
            </w:r>
          </w:p>
        </w:tc>
      </w:tr>
      <w:tr w:rsidR="0099574D">
        <w:tblPrEx>
          <w:tblCellMar>
            <w:top w:w="0" w:type="dxa"/>
            <w:bottom w:w="0" w:type="dxa"/>
          </w:tblCellMar>
        </w:tblPrEx>
        <w:trPr>
          <w:cantSplit/>
        </w:trPr>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ADR-0006</w:t>
            </w:r>
          </w:p>
        </w:tc>
        <w:tc>
          <w:tcPr>
            <w:tcW w:w="1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Dead-letter envelope header set and replay procedure.</w:t>
            </w:r>
          </w:p>
        </w:tc>
        <w:tc>
          <w:tcPr>
            <w:tcW w:w="1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Stream hardening design in Stage 2</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End of Week 3</w:t>
            </w:r>
          </w:p>
        </w:tc>
      </w:tr>
    </w:tbl>
    <w:p w:rsidR="0099574D" w:rsidRDefault="00D6027F">
      <w:pPr>
        <w:pStyle w:val="Heading1"/>
      </w:pPr>
      <w:bookmarkStart w:id="12" w:name="_Toc100011"/>
      <w:r>
        <w:t>4. Work Breakdown Structure</w:t>
      </w:r>
      <w:bookmarkEnd w:id="12"/>
    </w:p>
    <w:p w:rsidR="0099574D" w:rsidRDefault="00D6027F">
      <w:pPr>
        <w:spacing w:after="140"/>
        <w:jc w:val="both"/>
      </w:pPr>
      <w:r>
        <w:t>Each stage decomposes into work packages (WP) with fixed identifiers, defined outputs and traceability references to functional requirements (FR), failure drills (D) and test modules (T). A work package is complete only when it</w:t>
      </w:r>
      <w:r>
        <w:t xml:space="preserve"> meets the Definition of Done in Section 8.1. The repository directory each package delivers into follows Document 04.</w:t>
      </w:r>
    </w:p>
    <w:p w:rsidR="0099574D" w:rsidRDefault="00D6027F">
      <w:pPr>
        <w:pStyle w:val="Heading2"/>
      </w:pPr>
      <w:bookmarkStart w:id="13" w:name="_Toc100012"/>
      <w:r>
        <w:t>4.1 Stage 0 — Prototyping (Days 1–3 of Week 1)</w:t>
      </w:r>
      <w:bookmarkEnd w:id="13"/>
    </w:p>
    <w:p w:rsidR="0099574D" w:rsidRDefault="00D6027F">
      <w:pPr>
        <w:spacing w:after="140"/>
        <w:jc w:val="both"/>
      </w:pPr>
      <w:r>
        <w:t xml:space="preserve">Stage 0 answers seven specific questions with throwaway spikes so that Stage 1 commits to </w:t>
      </w:r>
      <w:r>
        <w:t>a de-risked design. The prototype code itself is discarded; the learnings persist as written answers and ADRs. Manual verification and short written observations are sufficient; no coverage targets apply.</w:t>
      </w:r>
    </w:p>
    <w:p w:rsidR="0099574D" w:rsidRDefault="00D6027F">
      <w:pPr>
        <w:keepNext/>
        <w:spacing w:before="160" w:after="100"/>
      </w:pPr>
      <w:r>
        <w:rPr>
          <w:b/>
          <w:bCs/>
          <w:color w:val="1A2330"/>
          <w:sz w:val="21"/>
          <w:szCs w:val="21"/>
        </w:rPr>
        <w:t>Table 5 — Stage 0 work packages (prototype modules)</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967"/>
        <w:gridCol w:w="1933"/>
        <w:gridCol w:w="2900"/>
        <w:gridCol w:w="2021"/>
        <w:gridCol w:w="967"/>
      </w:tblGrid>
      <w:tr w:rsidR="0099574D">
        <w:tblPrEx>
          <w:tblCellMar>
            <w:top w:w="0" w:type="dxa"/>
            <w:bottom w:w="0" w:type="dxa"/>
          </w:tblCellMar>
        </w:tblPrEx>
        <w:trPr>
          <w:cantSplit/>
          <w:tblHeader/>
        </w:trPr>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WP</w:t>
            </w:r>
          </w:p>
        </w:tc>
        <w:tc>
          <w:tcPr>
            <w:tcW w:w="11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Module</w:t>
            </w:r>
          </w:p>
        </w:tc>
        <w:tc>
          <w:tcPr>
            <w:tcW w:w="16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Question answered</w:t>
            </w:r>
          </w:p>
        </w:tc>
        <w:tc>
          <w:tcPr>
            <w:tcW w:w="11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Primary output</w:t>
            </w:r>
          </w:p>
        </w:tc>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Refs</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WP0.1</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Environment check (P0)</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Does the hardware handle three brokers plus Schema Registry plus monitoring, and with what heap sizes?</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Resource measurements; chosen heap sizes recorded in .</w:t>
            </w:r>
            <w:proofErr w:type="spellStart"/>
            <w:r>
              <w:rPr>
                <w:sz w:val="20"/>
                <w:szCs w:val="20"/>
              </w:rPr>
              <w:t>env.example</w:t>
            </w:r>
            <w:proofErr w:type="spellEnd"/>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G0</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WP0.2</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Produce/consume spike (P1)</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How do Spring Kafka producer and consumer behave in practice, and which configuration settings matter?</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Working snippet; configuration notes</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FR-04</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WP0.3</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Schema Registry spike (P2)</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Can schemas be registered and evolved, and are incompatible changes rejected?</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Sample schemas; input to ADR-0004</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FR-03</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WP0.4</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Three-node </w:t>
            </w:r>
            <w:proofErr w:type="spellStart"/>
            <w:r>
              <w:rPr>
                <w:sz w:val="20"/>
                <w:szCs w:val="20"/>
              </w:rPr>
              <w:t>KRaft</w:t>
            </w:r>
            <w:proofErr w:type="spellEnd"/>
            <w:r>
              <w:rPr>
                <w:sz w:val="20"/>
                <w:szCs w:val="20"/>
              </w:rPr>
              <w:t xml:space="preserve"> spike (P3)</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How does the quorum behave, and how are leaders elected and partitions placed?</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Compose file draft; input to ADR-0001</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FR-01</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WP0.5</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TLS and SASL spike (P4)</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How are certificates generated, listeners laid out, SCRAM users created and ACLs enforced?</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Certificate script drafts; input to ADR-0002</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FR-08, FR-09</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lastRenderedPageBreak/>
              <w:t>WP0.6</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Metrics spike (P5)</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Which broker, topic and consumer-group metrics actually move during faults?</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Shortlist of metrics to alert on</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FR-10, FR-11</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WP0.7</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Fault spike (P6)</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What actually happens when one broker is stopped under load?</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Observation notes feeding drill D1 design</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FR-12</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WP0.8</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Gate review</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Are all findings consolidated and the design committed?</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ADR-0001 to ADR-0004 merged; G0 evidence recorded</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G0</w:t>
            </w:r>
          </w:p>
        </w:tc>
      </w:tr>
    </w:tbl>
    <w:p w:rsidR="0099574D" w:rsidRDefault="00D6027F">
      <w:pPr>
        <w:pStyle w:val="Heading2"/>
      </w:pPr>
      <w:bookmarkStart w:id="14" w:name="_Toc100013"/>
      <w:r>
        <w:t>4.2 Stage 1 — MVP (Weeks 1–2)</w:t>
      </w:r>
      <w:bookmarkEnd w:id="14"/>
    </w:p>
    <w:p w:rsidR="0099574D" w:rsidRDefault="00D6027F">
      <w:pPr>
        <w:spacing w:after="140"/>
        <w:jc w:val="both"/>
      </w:pPr>
      <w:r>
        <w:t xml:space="preserve">Stage 1 proves the end-to-end path: a three-broker cluster and Schema Registry via Compose; the transaction producer, fraud detector (amount rule only) and </w:t>
      </w:r>
      <w:proofErr w:type="spellStart"/>
      <w:r>
        <w:t>notifier</w:t>
      </w:r>
      <w:proofErr w:type="spellEnd"/>
      <w:r>
        <w:t xml:space="preserve"> persisting to PostgreSQL; a basic </w:t>
      </w:r>
      <w:proofErr w:type="spellStart"/>
      <w:r>
        <w:t>Grafana</w:t>
      </w:r>
      <w:proofErr w:type="spellEnd"/>
      <w:r>
        <w:t xml:space="preserve"> dashboard; and CI building and testing the servic</w:t>
      </w:r>
      <w:r>
        <w:t>es. Security, the velocity rule, the DLQ and CDC are deliberately absent and are recorded as known limitations at the gate.</w:t>
      </w:r>
    </w:p>
    <w:p w:rsidR="0099574D" w:rsidRDefault="00D6027F">
      <w:pPr>
        <w:keepNext/>
        <w:spacing w:before="160" w:after="100"/>
      </w:pPr>
      <w:r>
        <w:rPr>
          <w:b/>
          <w:bCs/>
          <w:color w:val="1A2330"/>
          <w:sz w:val="21"/>
          <w:szCs w:val="21"/>
        </w:rPr>
        <w:t>Table 6 — Stage 1 work packages</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967"/>
        <w:gridCol w:w="1933"/>
        <w:gridCol w:w="2900"/>
        <w:gridCol w:w="2021"/>
        <w:gridCol w:w="967"/>
      </w:tblGrid>
      <w:tr w:rsidR="0099574D">
        <w:tblPrEx>
          <w:tblCellMar>
            <w:top w:w="0" w:type="dxa"/>
            <w:bottom w:w="0" w:type="dxa"/>
          </w:tblCellMar>
        </w:tblPrEx>
        <w:trPr>
          <w:cantSplit/>
          <w:tblHeader/>
        </w:trPr>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WP</w:t>
            </w:r>
          </w:p>
        </w:tc>
        <w:tc>
          <w:tcPr>
            <w:tcW w:w="11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Work package</w:t>
            </w:r>
          </w:p>
        </w:tc>
        <w:tc>
          <w:tcPr>
            <w:tcW w:w="16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Key activities</w:t>
            </w:r>
          </w:p>
        </w:tc>
        <w:tc>
          <w:tcPr>
            <w:tcW w:w="11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Primary output</w:t>
            </w:r>
          </w:p>
        </w:tc>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Refs</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WP1.1</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Repository bootstrap</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Scaffold all directories per Document 04; </w:t>
            </w:r>
            <w:proofErr w:type="spellStart"/>
            <w:r>
              <w:rPr>
                <w:sz w:val="20"/>
                <w:szCs w:val="20"/>
              </w:rPr>
              <w:t>Makefile</w:t>
            </w:r>
            <w:proofErr w:type="spellEnd"/>
            <w:r>
              <w:rPr>
                <w:sz w:val="20"/>
                <w:szCs w:val="20"/>
              </w:rPr>
              <w:t xml:space="preserve"> targets (up, down, certs, topics, </w:t>
            </w:r>
            <w:proofErr w:type="spellStart"/>
            <w:r>
              <w:rPr>
                <w:sz w:val="20"/>
                <w:szCs w:val="20"/>
              </w:rPr>
              <w:t>acls</w:t>
            </w:r>
            <w:proofErr w:type="spellEnd"/>
            <w:r>
              <w:rPr>
                <w:sz w:val="20"/>
                <w:szCs w:val="20"/>
              </w:rPr>
              <w:t>, test); .</w:t>
            </w:r>
            <w:proofErr w:type="spellStart"/>
            <w:r>
              <w:rPr>
                <w:sz w:val="20"/>
                <w:szCs w:val="20"/>
              </w:rPr>
              <w:t>env.example</w:t>
            </w:r>
            <w:proofErr w:type="spellEnd"/>
            <w:r>
              <w:rPr>
                <w:sz w:val="20"/>
                <w:szCs w:val="20"/>
              </w:rPr>
              <w:t xml:space="preserve"> with pinned versions; </w:t>
            </w:r>
            <w:proofErr w:type="spellStart"/>
            <w:r>
              <w:rPr>
                <w:sz w:val="20"/>
                <w:szCs w:val="20"/>
              </w:rPr>
              <w:t>ci.yml</w:t>
            </w:r>
            <w:proofErr w:type="spellEnd"/>
            <w:r>
              <w:rPr>
                <w:sz w:val="20"/>
                <w:szCs w:val="20"/>
              </w:rPr>
              <w:t xml:space="preserve"> with build and unit-test jobs; </w:t>
            </w:r>
            <w:proofErr w:type="spellStart"/>
            <w:r>
              <w:rPr>
                <w:sz w:val="20"/>
                <w:szCs w:val="20"/>
              </w:rPr>
              <w:t>Gitleaks</w:t>
            </w:r>
            <w:proofErr w:type="spellEnd"/>
            <w:r>
              <w:rPr>
                <w:sz w:val="20"/>
                <w:szCs w:val="20"/>
              </w:rPr>
              <w:t xml:space="preserve">, </w:t>
            </w:r>
            <w:proofErr w:type="spellStart"/>
            <w:r>
              <w:rPr>
                <w:sz w:val="20"/>
                <w:szCs w:val="20"/>
              </w:rPr>
              <w:t>yamllint</w:t>
            </w:r>
            <w:proofErr w:type="spellEnd"/>
            <w:r>
              <w:rPr>
                <w:sz w:val="20"/>
                <w:szCs w:val="20"/>
              </w:rPr>
              <w:t xml:space="preserve"> and </w:t>
            </w:r>
            <w:proofErr w:type="spellStart"/>
            <w:r>
              <w:rPr>
                <w:sz w:val="20"/>
                <w:szCs w:val="20"/>
              </w:rPr>
              <w:t>hadolint</w:t>
            </w:r>
            <w:proofErr w:type="spellEnd"/>
            <w:r>
              <w:rPr>
                <w:sz w:val="20"/>
                <w:szCs w:val="20"/>
              </w:rPr>
              <w:t xml:space="preserve"> gates.</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Reproducible repository skeleton; first green </w:t>
            </w:r>
            <w:r>
              <w:rPr>
                <w:sz w:val="20"/>
                <w:szCs w:val="20"/>
              </w:rPr>
              <w:t>pipeline</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FR-17</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WP1.2</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Core platform stack</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proofErr w:type="spellStart"/>
            <w:r>
              <w:rPr>
                <w:sz w:val="20"/>
                <w:szCs w:val="20"/>
              </w:rPr>
              <w:t>docker-compose.yml</w:t>
            </w:r>
            <w:proofErr w:type="spellEnd"/>
            <w:r>
              <w:rPr>
                <w:sz w:val="20"/>
                <w:szCs w:val="20"/>
              </w:rPr>
              <w:t xml:space="preserve"> with three </w:t>
            </w:r>
            <w:proofErr w:type="spellStart"/>
            <w:r>
              <w:rPr>
                <w:sz w:val="20"/>
                <w:szCs w:val="20"/>
              </w:rPr>
              <w:t>KRaft</w:t>
            </w:r>
            <w:proofErr w:type="spellEnd"/>
            <w:r>
              <w:rPr>
                <w:sz w:val="20"/>
                <w:szCs w:val="20"/>
              </w:rPr>
              <w:t xml:space="preserve"> brokers and Schema Registry; wait-for-cluster.sh readiness helper; broker baselines from Document 03.</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make up starts a healthy quorum</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FR-01</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WP1.3</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Topic and schema foundation</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proofErr w:type="spellStart"/>
            <w:r>
              <w:rPr>
                <w:sz w:val="20"/>
                <w:szCs w:val="20"/>
              </w:rPr>
              <w:t>kafka</w:t>
            </w:r>
            <w:proofErr w:type="spellEnd"/>
            <w:r>
              <w:rPr>
                <w:sz w:val="20"/>
                <w:szCs w:val="20"/>
              </w:rPr>
              <w:t>-config/</w:t>
            </w:r>
            <w:proofErr w:type="spellStart"/>
            <w:r>
              <w:rPr>
                <w:sz w:val="20"/>
                <w:szCs w:val="20"/>
              </w:rPr>
              <w:t>topics.yaml</w:t>
            </w:r>
            <w:proofErr w:type="spellEnd"/>
            <w:r>
              <w:rPr>
                <w:sz w:val="20"/>
                <w:szCs w:val="20"/>
              </w:rPr>
              <w:t xml:space="preserve"> for the full catalogue (transactions, fraud alerts, notifications, retry, DLQ, CDC, internal); three Avro schemas registered; apply-topics.sh; auto-creation disabled.</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Topics and subjects existing as code</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FR-02, FR-03</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WP1.4</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Transaction producer</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Spring Boot service emitting synthetic transactions at a configurable 1 to 5,000 </w:t>
            </w:r>
            <w:proofErr w:type="spellStart"/>
            <w:r>
              <w:rPr>
                <w:sz w:val="20"/>
                <w:szCs w:val="20"/>
              </w:rPr>
              <w:t>msg</w:t>
            </w:r>
            <w:proofErr w:type="spellEnd"/>
            <w:r>
              <w:rPr>
                <w:sz w:val="20"/>
                <w:szCs w:val="20"/>
              </w:rPr>
              <w:t xml:space="preserve">/s, keyed by </w:t>
            </w:r>
            <w:proofErr w:type="spellStart"/>
            <w:r>
              <w:rPr>
                <w:sz w:val="20"/>
                <w:szCs w:val="20"/>
              </w:rPr>
              <w:t>account_id</w:t>
            </w:r>
            <w:proofErr w:type="spellEnd"/>
            <w:r>
              <w:rPr>
                <w:sz w:val="20"/>
                <w:szCs w:val="20"/>
              </w:rPr>
              <w:t xml:space="preserve">; idempotent producer with </w:t>
            </w:r>
            <w:proofErr w:type="spellStart"/>
            <w:r>
              <w:rPr>
                <w:sz w:val="20"/>
                <w:szCs w:val="20"/>
              </w:rPr>
              <w:t>acks</w:t>
            </w:r>
            <w:proofErr w:type="spellEnd"/>
            <w:r>
              <w:rPr>
                <w:sz w:val="20"/>
                <w:szCs w:val="20"/>
              </w:rPr>
              <w:t>=all, lz4 compression.</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Producer sustaining load inside the flow</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FR-04</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lastRenderedPageBreak/>
              <w:t>WP1.5</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Fraud detector (amount rule)</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Kafka Streams service applying the amount threshold rule and emitting </w:t>
            </w:r>
            <w:proofErr w:type="spellStart"/>
            <w:r>
              <w:rPr>
                <w:sz w:val="20"/>
                <w:szCs w:val="20"/>
              </w:rPr>
              <w:t>FraudAlert</w:t>
            </w:r>
            <w:proofErr w:type="spellEnd"/>
            <w:r>
              <w:rPr>
                <w:sz w:val="20"/>
                <w:szCs w:val="20"/>
              </w:rPr>
              <w:t xml:space="preserve"> records; </w:t>
            </w:r>
            <w:proofErr w:type="spellStart"/>
            <w:r>
              <w:rPr>
                <w:sz w:val="20"/>
                <w:szCs w:val="20"/>
              </w:rPr>
              <w:t>TopologyTestDriver</w:t>
            </w:r>
            <w:proofErr w:type="spellEnd"/>
            <w:r>
              <w:rPr>
                <w:sz w:val="20"/>
                <w:szCs w:val="20"/>
              </w:rPr>
              <w:t xml:space="preserve"> harness in place.</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Alerts produced for known fraudulent patterns</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FR-05 (partial)</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WP1.6</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proofErr w:type="spellStart"/>
            <w:r>
              <w:rPr>
                <w:sz w:val="20"/>
                <w:szCs w:val="20"/>
              </w:rPr>
              <w:t>Notifier</w:t>
            </w:r>
            <w:proofErr w:type="spellEnd"/>
            <w:r>
              <w:rPr>
                <w:sz w:val="20"/>
                <w:szCs w:val="20"/>
              </w:rPr>
              <w:t xml:space="preserve"> with idempotent persistence</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Consumer writing alerts to PostgreSQL through Flyway migrations V1 to V3; </w:t>
            </w:r>
            <w:proofErr w:type="spellStart"/>
            <w:r>
              <w:rPr>
                <w:sz w:val="20"/>
                <w:szCs w:val="20"/>
              </w:rPr>
              <w:t>processed_events</w:t>
            </w:r>
            <w:proofErr w:type="spellEnd"/>
            <w:r>
              <w:rPr>
                <w:sz w:val="20"/>
                <w:szCs w:val="20"/>
              </w:rPr>
              <w:t xml:space="preserve"> deduplication inside one database transaction before offset commit.</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Replaying an alert ten times yields exactly one notification</w:t>
            </w:r>
            <w:r>
              <w:rPr>
                <w:sz w:val="20"/>
                <w:szCs w:val="20"/>
              </w:rPr>
              <w:t xml:space="preserve"> row</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FR-06 (partial)</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WP1.7</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Minimal observability</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Provisioned </w:t>
            </w:r>
            <w:proofErr w:type="spellStart"/>
            <w:r>
              <w:rPr>
                <w:sz w:val="20"/>
                <w:szCs w:val="20"/>
              </w:rPr>
              <w:t>Grafana</w:t>
            </w:r>
            <w:proofErr w:type="spellEnd"/>
            <w:r>
              <w:rPr>
                <w:sz w:val="20"/>
                <w:szCs w:val="20"/>
              </w:rPr>
              <w:t xml:space="preserve"> dashboard with broker-up, under-replicated-partition and consumer-lag panels.</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Dashboard shows the live flow</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FR-10 (partial)</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WP1.8</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MVP verification and gate pack</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T1 unit suite; T2 smoke script; T3 </w:t>
            </w:r>
            <w:proofErr w:type="spellStart"/>
            <w:r>
              <w:rPr>
                <w:sz w:val="20"/>
                <w:szCs w:val="20"/>
              </w:rPr>
              <w:t>Testcontainers</w:t>
            </w:r>
            <w:proofErr w:type="spellEnd"/>
            <w:r>
              <w:rPr>
                <w:sz w:val="20"/>
                <w:szCs w:val="20"/>
              </w:rPr>
              <w:t xml:space="preserve"> integration test; T4 manual broker-kill check; cold-start rehearsal on a clean machine; limitations list.</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MVP gate evidence</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T1–T4, G1</w:t>
            </w:r>
          </w:p>
        </w:tc>
      </w:tr>
    </w:tbl>
    <w:p w:rsidR="0099574D" w:rsidRDefault="00D6027F">
      <w:pPr>
        <w:pStyle w:val="Heading2"/>
      </w:pPr>
      <w:bookmarkStart w:id="15" w:name="_Toc100014"/>
      <w:r>
        <w:t>4.3 Stage 2 — Final Working Product (Weeks 3–5)</w:t>
      </w:r>
      <w:bookmarkEnd w:id="15"/>
    </w:p>
    <w:p w:rsidR="0099574D" w:rsidRDefault="00D6027F">
      <w:pPr>
        <w:spacing w:after="140"/>
        <w:jc w:val="both"/>
      </w:pPr>
      <w:r>
        <w:t>Stage 2 converts the MVP into the deliverable defined by the PRD Must and Should items: the platform is secured, stream processing is hardened with retry and DLQ handling, CDC is added, observability and alerting are completed, configuration is enforced as</w:t>
      </w:r>
      <w:r>
        <w:t xml:space="preserve"> code, and the six failure drills are executed and documented. Upgrade, expansion, performance and soak verification close the stage.</w:t>
      </w:r>
    </w:p>
    <w:p w:rsidR="0099574D" w:rsidRDefault="00D6027F">
      <w:pPr>
        <w:keepNext/>
        <w:spacing w:before="160" w:after="100"/>
      </w:pPr>
      <w:r>
        <w:rPr>
          <w:b/>
          <w:bCs/>
          <w:color w:val="1A2330"/>
          <w:sz w:val="21"/>
          <w:szCs w:val="21"/>
        </w:rPr>
        <w:t>Table 7 — Stage 2 work packages</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967"/>
        <w:gridCol w:w="1933"/>
        <w:gridCol w:w="2900"/>
        <w:gridCol w:w="2021"/>
        <w:gridCol w:w="967"/>
      </w:tblGrid>
      <w:tr w:rsidR="0099574D">
        <w:tblPrEx>
          <w:tblCellMar>
            <w:top w:w="0" w:type="dxa"/>
            <w:bottom w:w="0" w:type="dxa"/>
          </w:tblCellMar>
        </w:tblPrEx>
        <w:trPr>
          <w:cantSplit/>
          <w:tblHeader/>
        </w:trPr>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WP</w:t>
            </w:r>
          </w:p>
        </w:tc>
        <w:tc>
          <w:tcPr>
            <w:tcW w:w="11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Work package</w:t>
            </w:r>
          </w:p>
        </w:tc>
        <w:tc>
          <w:tcPr>
            <w:tcW w:w="16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Key activities</w:t>
            </w:r>
          </w:p>
        </w:tc>
        <w:tc>
          <w:tcPr>
            <w:tcW w:w="11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Primary output</w:t>
            </w:r>
          </w:p>
        </w:tc>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Refs</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WP2.1</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PKI and transport security</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gen-ca.sh, gen-broker-cert.sh, gen-client-cert.sh and rotate-certs.sh with short-lived certificates; TLS on all listeners; </w:t>
            </w:r>
            <w:proofErr w:type="spellStart"/>
            <w:r>
              <w:rPr>
                <w:sz w:val="20"/>
                <w:szCs w:val="20"/>
              </w:rPr>
              <w:t>mTLS</w:t>
            </w:r>
            <w:proofErr w:type="spellEnd"/>
            <w:r>
              <w:rPr>
                <w:sz w:val="20"/>
                <w:szCs w:val="20"/>
              </w:rPr>
              <w:t xml:space="preserve"> between brokers; security overlay Compose file.</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Plaintext refused; expired certificates refused</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FR-08</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WP2.2</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Authentication and </w:t>
            </w:r>
            <w:proofErr w:type="spellStart"/>
            <w:r>
              <w:rPr>
                <w:sz w:val="20"/>
                <w:szCs w:val="20"/>
              </w:rPr>
              <w:t>authorisation</w:t>
            </w:r>
            <w:proofErr w:type="spellEnd"/>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create-scram-users.sh; SASL/SCRAM-SHA-512 client authentication; </w:t>
            </w:r>
            <w:proofErr w:type="spellStart"/>
            <w:r>
              <w:rPr>
                <w:sz w:val="20"/>
                <w:szCs w:val="20"/>
              </w:rPr>
              <w:t>StandardAuthorizer</w:t>
            </w:r>
            <w:proofErr w:type="spellEnd"/>
            <w:r>
              <w:rPr>
                <w:sz w:val="20"/>
                <w:szCs w:val="20"/>
              </w:rPr>
              <w:t xml:space="preserve"> with the Document 03 ACL matrix in </w:t>
            </w:r>
            <w:proofErr w:type="spellStart"/>
            <w:r>
              <w:rPr>
                <w:sz w:val="20"/>
                <w:szCs w:val="20"/>
              </w:rPr>
              <w:t>acls.yaml</w:t>
            </w:r>
            <w:proofErr w:type="spellEnd"/>
            <w:r>
              <w:rPr>
                <w:sz w:val="20"/>
                <w:szCs w:val="20"/>
              </w:rPr>
              <w:t>; scripted negative tests per principal.</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Wrong credentials refused; every non-granted operation</w:t>
            </w:r>
            <w:r>
              <w:rPr>
                <w:sz w:val="20"/>
                <w:szCs w:val="20"/>
              </w:rPr>
              <w:t xml:space="preserve"> denied</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FR-08, FR-09</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lastRenderedPageBreak/>
              <w:t>WP2.3</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Stream processing hardening</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Velocity window rule in Kafka Streams; retry topics; DLQ envelope with the Document 03 header set; </w:t>
            </w:r>
            <w:proofErr w:type="spellStart"/>
            <w:r>
              <w:rPr>
                <w:sz w:val="20"/>
                <w:szCs w:val="20"/>
              </w:rPr>
              <w:t>DefaultErrorHandler</w:t>
            </w:r>
            <w:proofErr w:type="spellEnd"/>
            <w:r>
              <w:rPr>
                <w:sz w:val="20"/>
                <w:szCs w:val="20"/>
              </w:rPr>
              <w:t xml:space="preserve"> with </w:t>
            </w:r>
            <w:proofErr w:type="spellStart"/>
            <w:r>
              <w:rPr>
                <w:sz w:val="20"/>
                <w:szCs w:val="20"/>
              </w:rPr>
              <w:t>DeadLetterPublishingRecoverer</w:t>
            </w:r>
            <w:proofErr w:type="spellEnd"/>
            <w:r>
              <w:rPr>
                <w:sz w:val="20"/>
                <w:szCs w:val="20"/>
              </w:rPr>
              <w:t>; consumer idempotency completed; DLQ replay tooling.</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Malformed records land in the DLQ with error head</w:t>
            </w:r>
            <w:r>
              <w:rPr>
                <w:sz w:val="20"/>
                <w:szCs w:val="20"/>
              </w:rPr>
              <w:t>ers; duplicates collapsed</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FR-05, FR-06, FR-07</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WP2.4</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Change data capture</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Kafka Connect with the </w:t>
            </w:r>
            <w:proofErr w:type="spellStart"/>
            <w:r>
              <w:rPr>
                <w:sz w:val="20"/>
                <w:szCs w:val="20"/>
              </w:rPr>
              <w:t>Debezium</w:t>
            </w:r>
            <w:proofErr w:type="spellEnd"/>
            <w:r>
              <w:rPr>
                <w:sz w:val="20"/>
                <w:szCs w:val="20"/>
              </w:rPr>
              <w:t xml:space="preserve"> PostgreSQL source connector for accounts; connector JSON as code; fraud-detector enrichment from </w:t>
            </w:r>
            <w:proofErr w:type="spellStart"/>
            <w:r>
              <w:rPr>
                <w:sz w:val="20"/>
                <w:szCs w:val="20"/>
              </w:rPr>
              <w:t>pg.public.accounts</w:t>
            </w:r>
            <w:proofErr w:type="spellEnd"/>
            <w:r>
              <w:rPr>
                <w:sz w:val="20"/>
                <w:szCs w:val="20"/>
              </w:rPr>
              <w:t>.</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Row changes appear on the CDC topic</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FR-15</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WP2.5</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Observability and alerting</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Dashboards for cluster, topics, consumer groups, JVM and services; Prometheus rules for consumer lag, URP greater than zero, offline partitions, disk above 70 percent and certificate expiry under 14 days; </w:t>
            </w:r>
            <w:proofErr w:type="spellStart"/>
            <w:r>
              <w:rPr>
                <w:sz w:val="20"/>
                <w:szCs w:val="20"/>
              </w:rPr>
              <w:t>Alertmanager</w:t>
            </w:r>
            <w:proofErr w:type="spellEnd"/>
            <w:r>
              <w:rPr>
                <w:sz w:val="20"/>
                <w:szCs w:val="20"/>
              </w:rPr>
              <w:t xml:space="preserve"> routing to Slack or e-mail; Loki with </w:t>
            </w:r>
            <w:r>
              <w:rPr>
                <w:sz w:val="20"/>
                <w:szCs w:val="20"/>
              </w:rPr>
              <w:t>structured JSON logs.</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Every Must-level failure mode has a metric and a firing alert</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FR-10, FR-11</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WP2.6</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Configuration as code</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validate-config.py (naming, RF, min ISR, no wildcard ACLs); config-</w:t>
            </w:r>
            <w:proofErr w:type="spellStart"/>
            <w:r>
              <w:rPr>
                <w:sz w:val="20"/>
                <w:szCs w:val="20"/>
              </w:rPr>
              <w:t>validate.yml</w:t>
            </w:r>
            <w:proofErr w:type="spellEnd"/>
            <w:r>
              <w:rPr>
                <w:sz w:val="20"/>
                <w:szCs w:val="20"/>
              </w:rPr>
              <w:t xml:space="preserve"> workflow on pull requests; apply-acls.sh; check-drift.sh reporting manual changes.</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Non-conforming topic or ACL fails CI; drift is reported</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FR-02, FR-16</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WP2.7</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Failure drill </w:t>
            </w:r>
            <w:proofErr w:type="spellStart"/>
            <w:r>
              <w:rPr>
                <w:sz w:val="20"/>
                <w:szCs w:val="20"/>
              </w:rPr>
              <w:t>programme</w:t>
            </w:r>
            <w:proofErr w:type="spellEnd"/>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chaos/d1 to d6 scripts with shared helpers (wait-for-healthy, fault injection); execute each drill twice under representative load; capture dashboards, logs and outcomes into chaos/results/; write six drill reports and their linked </w:t>
            </w:r>
            <w:proofErr w:type="spellStart"/>
            <w:r>
              <w:rPr>
                <w:sz w:val="20"/>
                <w:szCs w:val="20"/>
              </w:rPr>
              <w:t>runbooks</w:t>
            </w:r>
            <w:proofErr w:type="spellEnd"/>
            <w:r>
              <w:rPr>
                <w:sz w:val="20"/>
                <w:szCs w:val="20"/>
              </w:rPr>
              <w:t>.</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Six drill documents with hypothesis, evidence, RCA, fix, prevention and alert verification</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FR-12, D1–D6, T11</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WP2.8</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Upgrade and expansion</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tests/upgrade: rolling restart and version upgrade under continuous load asserting zero producer errors and bounded lag; add a fourth broker and reassign partitions with before-and-after balance measurement.</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Rolling-upgrade and broker-expansion procedures </w:t>
            </w:r>
            <w:r>
              <w:rPr>
                <w:sz w:val="20"/>
                <w:szCs w:val="20"/>
              </w:rPr>
              <w:t>proven</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FR-13, FR-14, T12, T13</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lastRenderedPageBreak/>
              <w:t>WP2.9</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Performance and soak</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Staged load at 1,000, 2,500 and 5,000 </w:t>
            </w:r>
            <w:proofErr w:type="spellStart"/>
            <w:r>
              <w:rPr>
                <w:sz w:val="20"/>
                <w:szCs w:val="20"/>
              </w:rPr>
              <w:t>msg</w:t>
            </w:r>
            <w:proofErr w:type="spellEnd"/>
            <w:r>
              <w:rPr>
                <w:sz w:val="20"/>
                <w:szCs w:val="20"/>
              </w:rPr>
              <w:t xml:space="preserve">/s with </w:t>
            </w:r>
            <w:proofErr w:type="spellStart"/>
            <w:r>
              <w:rPr>
                <w:sz w:val="20"/>
                <w:szCs w:val="20"/>
              </w:rPr>
              <w:t>kafka</w:t>
            </w:r>
            <w:proofErr w:type="spellEnd"/>
            <w:r>
              <w:rPr>
                <w:sz w:val="20"/>
                <w:szCs w:val="20"/>
              </w:rPr>
              <w:t xml:space="preserve">-producer-perf-test and </w:t>
            </w:r>
            <w:proofErr w:type="spellStart"/>
            <w:r>
              <w:rPr>
                <w:sz w:val="20"/>
                <w:szCs w:val="20"/>
              </w:rPr>
              <w:t>kafka</w:t>
            </w:r>
            <w:proofErr w:type="spellEnd"/>
            <w:r>
              <w:rPr>
                <w:sz w:val="20"/>
                <w:szCs w:val="20"/>
              </w:rPr>
              <w:t>-consumer-perf-test; record p99 latency, throughput ceiling and bottleneck; 8 to 24 hour soak watching memory, disk and lag drift.</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docs/performance/baseline.md published wit</w:t>
            </w:r>
            <w:r>
              <w:rPr>
                <w:sz w:val="20"/>
                <w:szCs w:val="20"/>
              </w:rPr>
              <w:t>h hardware stated</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T10, T14</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WP2.10</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Documentation set</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Deployment guide; configuration standards; threat model; ACL matrix; eight </w:t>
            </w:r>
            <w:proofErr w:type="spellStart"/>
            <w:r>
              <w:rPr>
                <w:sz w:val="20"/>
                <w:szCs w:val="20"/>
              </w:rPr>
              <w:t>runbooks</w:t>
            </w:r>
            <w:proofErr w:type="spellEnd"/>
            <w:r>
              <w:rPr>
                <w:sz w:val="20"/>
                <w:szCs w:val="20"/>
              </w:rPr>
              <w:t xml:space="preserve"> (broker-down, </w:t>
            </w:r>
            <w:proofErr w:type="spellStart"/>
            <w:r>
              <w:rPr>
                <w:sz w:val="20"/>
                <w:szCs w:val="20"/>
              </w:rPr>
              <w:t>isr</w:t>
            </w:r>
            <w:proofErr w:type="spellEnd"/>
            <w:r>
              <w:rPr>
                <w:sz w:val="20"/>
                <w:szCs w:val="20"/>
              </w:rPr>
              <w:t xml:space="preserve">-shrink, consumer-lag, disk-full, cert-rotation, </w:t>
            </w:r>
            <w:proofErr w:type="spellStart"/>
            <w:r>
              <w:rPr>
                <w:sz w:val="20"/>
                <w:szCs w:val="20"/>
              </w:rPr>
              <w:t>dlq</w:t>
            </w:r>
            <w:proofErr w:type="spellEnd"/>
            <w:r>
              <w:rPr>
                <w:sz w:val="20"/>
                <w:szCs w:val="20"/>
              </w:rPr>
              <w:t xml:space="preserve">-replay, rolling-upgrade, broker-expansion); README </w:t>
            </w:r>
            <w:proofErr w:type="spellStart"/>
            <w:r>
              <w:rPr>
                <w:sz w:val="20"/>
                <w:szCs w:val="20"/>
              </w:rPr>
              <w:t>quickstart</w:t>
            </w:r>
            <w:proofErr w:type="spellEnd"/>
            <w:r>
              <w:rPr>
                <w:sz w:val="20"/>
                <w:szCs w:val="20"/>
              </w:rPr>
              <w:t xml:space="preserve"> and honest limitations.</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 reviewer repro</w:t>
            </w:r>
            <w:r>
              <w:rPr>
                <w:sz w:val="20"/>
                <w:szCs w:val="20"/>
              </w:rPr>
              <w:t>duces drill D1 from the documentation alone</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FR-18</w:t>
            </w:r>
          </w:p>
        </w:tc>
      </w:tr>
    </w:tbl>
    <w:p w:rsidR="0099574D" w:rsidRDefault="00D6027F">
      <w:pPr>
        <w:pStyle w:val="Heading2"/>
      </w:pPr>
      <w:bookmarkStart w:id="16" w:name="_Toc100015"/>
      <w:r>
        <w:t>4.4 Stage 3 — Commercial-Ready Deployment (Weeks 6–9, Optional)</w:t>
      </w:r>
      <w:bookmarkEnd w:id="16"/>
    </w:p>
    <w:p w:rsidR="0099574D" w:rsidRDefault="00D6027F">
      <w:pPr>
        <w:spacing w:after="140"/>
        <w:jc w:val="both"/>
      </w:pPr>
      <w:r>
        <w:t>Stage 3 makes the platform operable by a team other than its author. It is optional, strictly time-boxed, and starts only after gate G2. If schedule pressure arises, the stage is cut to its minimum gate: Kubernetes deployment, infrastructure as code, a tes</w:t>
      </w:r>
      <w:r>
        <w:t>ted DR failover and defined SLOs; support tooling and compliance mapping follow only if the minimum gate holds.</w:t>
      </w:r>
    </w:p>
    <w:p w:rsidR="0099574D" w:rsidRDefault="00D6027F">
      <w:pPr>
        <w:keepNext/>
        <w:spacing w:before="160" w:after="100"/>
      </w:pPr>
      <w:r>
        <w:rPr>
          <w:b/>
          <w:bCs/>
          <w:color w:val="1A2330"/>
          <w:sz w:val="21"/>
          <w:szCs w:val="21"/>
        </w:rPr>
        <w:t>Table 8 — Stage 3 work packages</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967"/>
        <w:gridCol w:w="1933"/>
        <w:gridCol w:w="2900"/>
        <w:gridCol w:w="2021"/>
        <w:gridCol w:w="967"/>
      </w:tblGrid>
      <w:tr w:rsidR="0099574D">
        <w:tblPrEx>
          <w:tblCellMar>
            <w:top w:w="0" w:type="dxa"/>
            <w:bottom w:w="0" w:type="dxa"/>
          </w:tblCellMar>
        </w:tblPrEx>
        <w:trPr>
          <w:cantSplit/>
          <w:tblHeader/>
        </w:trPr>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WP</w:t>
            </w:r>
          </w:p>
        </w:tc>
        <w:tc>
          <w:tcPr>
            <w:tcW w:w="11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Work package</w:t>
            </w:r>
          </w:p>
        </w:tc>
        <w:tc>
          <w:tcPr>
            <w:tcW w:w="16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Key activities</w:t>
            </w:r>
          </w:p>
        </w:tc>
        <w:tc>
          <w:tcPr>
            <w:tcW w:w="11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Primary output</w:t>
            </w:r>
          </w:p>
        </w:tc>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Refs</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WP3.1</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Kubernetes deployment</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Helm chart or Confluent for Kubernetes; dedicated controllers; anti-affinity and zone awareness; parity suite executed on kind or </w:t>
            </w:r>
            <w:proofErr w:type="spellStart"/>
            <w:r>
              <w:rPr>
                <w:sz w:val="20"/>
                <w:szCs w:val="20"/>
              </w:rPr>
              <w:t>minikube</w:t>
            </w:r>
            <w:proofErr w:type="spellEnd"/>
            <w:r>
              <w:rPr>
                <w:sz w:val="20"/>
                <w:szCs w:val="20"/>
              </w:rPr>
              <w:t>, then a managed cluster.</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T15 functional and security parity green on Kubernetes</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FR-20, T15</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WP3.2</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proofErr w:type="spellStart"/>
            <w:r>
              <w:rPr>
                <w:sz w:val="20"/>
                <w:szCs w:val="20"/>
              </w:rPr>
              <w:t>IaC</w:t>
            </w:r>
            <w:proofErr w:type="spellEnd"/>
            <w:r>
              <w:rPr>
                <w:sz w:val="20"/>
                <w:szCs w:val="20"/>
              </w:rPr>
              <w:t xml:space="preserve"> and </w:t>
            </w:r>
            <w:proofErr w:type="spellStart"/>
            <w:r>
              <w:rPr>
                <w:sz w:val="20"/>
                <w:szCs w:val="20"/>
              </w:rPr>
              <w:t>GitOps</w:t>
            </w:r>
            <w:proofErr w:type="spellEnd"/>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Terraform for network, cluster, storage and DNS; pull-request-based promotion dev to UAT to prod with approvals and automated drift detection.</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Destroy-and-recreate from Git verified; no manual console changes</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T21</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WP3.3</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Secrets and PKI automation</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Vault or a cloud secret manager; cert-manager automated rotation; sealed secrets; removal of all long-lived static credentials.</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Certificate and secret rotation without manual steps</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FR-08</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lastRenderedPageBreak/>
              <w:t>WP3.4</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Disaster recovery</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proofErr w:type="spellStart"/>
            <w:r>
              <w:rPr>
                <w:sz w:val="20"/>
                <w:szCs w:val="20"/>
              </w:rPr>
              <w:t>MirrorMaker</w:t>
            </w:r>
            <w:proofErr w:type="spellEnd"/>
            <w:r>
              <w:rPr>
                <w:sz w:val="20"/>
                <w:szCs w:val="20"/>
              </w:rPr>
              <w:t xml:space="preserve"> 2 or Cluster Linking to a second cluster; timed failover and failback; configuration and schema backup with tested restore.</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RTO and RPO measured and recorded in the DR plan</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FR-19, T17, T18</w:t>
            </w:r>
          </w:p>
        </w:tc>
      </w:tr>
      <w:tr w:rsidR="0099574D">
        <w:tblPrEx>
          <w:tblCellMar>
            <w:top w:w="0" w:type="dxa"/>
            <w:bottom w:w="0" w:type="dxa"/>
          </w:tblCellMar>
        </w:tblPrEx>
        <w:trPr>
          <w:cantSplit/>
        </w:trPr>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WP3.5</w:t>
            </w:r>
          </w:p>
        </w:tc>
        <w:tc>
          <w:tcPr>
            <w:tcW w:w="1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Reliability and operations</w:t>
            </w:r>
          </w:p>
        </w:tc>
        <w:tc>
          <w:tcPr>
            <w:tcW w:w="1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SLOs for availability, end-to-end latency and durability with error budgets; alert routing to on-call; cost model per environment; licensing inventory.</w:t>
            </w:r>
          </w:p>
        </w:tc>
        <w:tc>
          <w:tcPr>
            <w:tcW w:w="11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SLOs observed for two weeks with routing verified</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T20, T22</w:t>
            </w:r>
          </w:p>
        </w:tc>
      </w:tr>
      <w:tr w:rsidR="0099574D">
        <w:tblPrEx>
          <w:tblCellMar>
            <w:top w:w="0" w:type="dxa"/>
            <w:bottom w:w="0" w:type="dxa"/>
          </w:tblCellMar>
        </w:tblPrEx>
        <w:trPr>
          <w:cantSplit/>
        </w:trPr>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WP3.6</w:t>
            </w:r>
          </w:p>
        </w:tc>
        <w:tc>
          <w:tcPr>
            <w:tcW w:w="1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Hardening and assurance</w:t>
            </w:r>
          </w:p>
        </w:tc>
        <w:tc>
          <w:tcPr>
            <w:tcW w:w="1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Network policies, pod security, image and dependency scan gates, audit logging of admin actions; compliance control mapping as documentation; adversarial tests; game day executed by a person who did not build the system.</w:t>
            </w:r>
          </w:p>
        </w:tc>
        <w:tc>
          <w:tcPr>
            <w:tcW w:w="11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No unresolved critical or high find</w:t>
            </w:r>
            <w:r>
              <w:rPr>
                <w:sz w:val="20"/>
                <w:szCs w:val="20"/>
              </w:rPr>
              <w:t xml:space="preserve">ings; game day passed using </w:t>
            </w:r>
            <w:proofErr w:type="spellStart"/>
            <w:r>
              <w:rPr>
                <w:sz w:val="20"/>
                <w:szCs w:val="20"/>
              </w:rPr>
              <w:t>runbooks</w:t>
            </w:r>
            <w:proofErr w:type="spellEnd"/>
            <w:r>
              <w:rPr>
                <w:sz w:val="20"/>
                <w:szCs w:val="20"/>
              </w:rPr>
              <w:t xml:space="preserve"> only</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T16, T19, T22</w:t>
            </w:r>
          </w:p>
        </w:tc>
      </w:tr>
    </w:tbl>
    <w:p w:rsidR="0099574D" w:rsidRDefault="00D6027F">
      <w:pPr>
        <w:pStyle w:val="Heading1"/>
      </w:pPr>
      <w:bookmarkStart w:id="17" w:name="_Toc100016"/>
      <w:r>
        <w:t>5. Schedule and Milestones</w:t>
      </w:r>
      <w:bookmarkEnd w:id="17"/>
    </w:p>
    <w:p w:rsidR="0099574D" w:rsidRDefault="00D6027F">
      <w:pPr>
        <w:pStyle w:val="Heading2"/>
      </w:pPr>
      <w:bookmarkStart w:id="18" w:name="_Toc100017"/>
      <w:r>
        <w:t>5.1 Delivery Timeline</w:t>
      </w:r>
      <w:bookmarkEnd w:id="18"/>
    </w:p>
    <w:p w:rsidR="0099574D" w:rsidRDefault="00D6027F">
      <w:pPr>
        <w:spacing w:after="140"/>
        <w:jc w:val="both"/>
      </w:pPr>
      <w:r>
        <w:t xml:space="preserve">The </w:t>
      </w:r>
      <w:proofErr w:type="spellStart"/>
      <w:r>
        <w:t>programme</w:t>
      </w:r>
      <w:proofErr w:type="spellEnd"/>
      <w:r>
        <w:t xml:space="preserve"> spans nine calendar weeks from Monday, 12 October 2026 to Sunday, 13 December 2026, matching the single-engineer indicative timeline in Document 05. Table 9 fixes the weekly focus and Table 10 the milestone dates; Figure 1 shows the same plan</w:t>
      </w:r>
      <w:r>
        <w:t xml:space="preserve"> as a timeline with stage gates. Stage 3 is optional and time-boxed: if the Final gate slips, Stage 3 shortens from the left and its minimum gate (WP3.1, WP3.2, WP3.4 and WP3.5) takes priority over WP3.3 and WP3.6.</w:t>
      </w:r>
    </w:p>
    <w:p w:rsidR="0099574D" w:rsidRDefault="00D6027F">
      <w:pPr>
        <w:keepNext/>
        <w:spacing w:before="160" w:after="100"/>
      </w:pPr>
      <w:r>
        <w:rPr>
          <w:b/>
          <w:bCs/>
          <w:color w:val="1A2330"/>
          <w:sz w:val="21"/>
          <w:szCs w:val="21"/>
        </w:rPr>
        <w:t>Table 9 — Weekly delivery schedule (2026)</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791"/>
        <w:gridCol w:w="1406"/>
        <w:gridCol w:w="1142"/>
        <w:gridCol w:w="3691"/>
        <w:gridCol w:w="1758"/>
      </w:tblGrid>
      <w:tr w:rsidR="0099574D">
        <w:tblPrEx>
          <w:tblCellMar>
            <w:top w:w="0" w:type="dxa"/>
            <w:bottom w:w="0" w:type="dxa"/>
          </w:tblCellMar>
        </w:tblPrEx>
        <w:trPr>
          <w:cantSplit/>
          <w:tblHeader/>
        </w:trPr>
        <w:tc>
          <w:tcPr>
            <w:tcW w:w="4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Week</w:t>
            </w:r>
          </w:p>
        </w:tc>
        <w:tc>
          <w:tcPr>
            <w:tcW w:w="8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Dates</w:t>
            </w:r>
          </w:p>
        </w:tc>
        <w:tc>
          <w:tcPr>
            <w:tcW w:w="6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Stage</w:t>
            </w:r>
          </w:p>
        </w:tc>
        <w:tc>
          <w:tcPr>
            <w:tcW w:w="21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Focus and key outputs</w:t>
            </w:r>
          </w:p>
        </w:tc>
        <w:tc>
          <w:tcPr>
            <w:tcW w:w="10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Gate / milestone</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W1</w:t>
            </w:r>
          </w:p>
        </w:tc>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12–18 Oct</w:t>
            </w:r>
          </w:p>
        </w:tc>
        <w:tc>
          <w:tcPr>
            <w:tcW w:w="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0 → 1</w:t>
            </w:r>
          </w:p>
        </w:tc>
        <w:tc>
          <w:tcPr>
            <w:tcW w:w="2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Prototype spikes P0–P6 and ADR-0001 to ADR-0004 (M0, 14 Oct); repository bootstrap and CI skeleton; core Compose stack started.</w:t>
            </w:r>
          </w:p>
        </w:tc>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M0 on 14 Oct</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W2</w:t>
            </w:r>
          </w:p>
        </w:tc>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19–25 Oct</w:t>
            </w:r>
          </w:p>
        </w:tc>
        <w:tc>
          <w:tcPr>
            <w:tcW w:w="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w:t>
            </w:r>
          </w:p>
        </w:tc>
        <w:tc>
          <w:tcPr>
            <w:tcW w:w="2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Topic catalogue and Avro schemas as code; three services end to end; minimal dashboard; T1–T4 evidence; clean-machine rehearsal.</w:t>
            </w:r>
          </w:p>
        </w:tc>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G1 / M1 on 25 Oct</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lastRenderedPageBreak/>
              <w:t>W3</w:t>
            </w:r>
          </w:p>
        </w:tc>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26 Oct–1 Nov</w:t>
            </w:r>
          </w:p>
        </w:tc>
        <w:tc>
          <w:tcPr>
            <w:tcW w:w="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2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PKI scripts and short-lived certificates; </w:t>
            </w:r>
            <w:proofErr w:type="spellStart"/>
            <w:r>
              <w:rPr>
                <w:sz w:val="20"/>
                <w:szCs w:val="20"/>
              </w:rPr>
              <w:t>mTLS</w:t>
            </w:r>
            <w:proofErr w:type="spellEnd"/>
            <w:r>
              <w:rPr>
                <w:sz w:val="20"/>
                <w:szCs w:val="20"/>
              </w:rPr>
              <w:t xml:space="preserve"> and SCRAM listeners; ACL matrix with negative tests; stream hardening begins.</w:t>
            </w:r>
          </w:p>
        </w:tc>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G-interim / M2 on 1 Nov</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W4</w:t>
            </w:r>
          </w:p>
        </w:tc>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2–8 Nov</w:t>
            </w:r>
          </w:p>
        </w:tc>
        <w:tc>
          <w:tcPr>
            <w:tcW w:w="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2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Velocity rule, retry topics, DLQ and idempotent consumer; Kafka Connect CDC; full dashboards and the five alert rules; drills D1–D3 executed and documented.</w:t>
            </w:r>
          </w:p>
        </w:tc>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M3 on 8 Nov</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W5</w:t>
            </w:r>
          </w:p>
        </w:tc>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9–15 Nov</w:t>
            </w:r>
          </w:p>
        </w:tc>
        <w:tc>
          <w:tcPr>
            <w:tcW w:w="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2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Drills D4–D6 executed and documented; config-as-code validation and drift checks in CI; rolling upgrade and fourth-broker expansion; performance baseline and soak; documentation set completed.</w:t>
            </w:r>
          </w:p>
        </w:tc>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G2 / M4 on 15 Nov</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W6</w:t>
            </w:r>
          </w:p>
        </w:tc>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16–22 Nov</w:t>
            </w:r>
          </w:p>
        </w:tc>
        <w:tc>
          <w:tcPr>
            <w:tcW w:w="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 (opt.)</w:t>
            </w:r>
          </w:p>
        </w:tc>
        <w:tc>
          <w:tcPr>
            <w:tcW w:w="2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Kubernetes deployment with Helm or CFK; T15 parity suite.</w:t>
            </w:r>
          </w:p>
        </w:tc>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Gate review</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W7</w:t>
            </w:r>
          </w:p>
        </w:tc>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23–29 Nov</w:t>
            </w:r>
          </w:p>
        </w:tc>
        <w:tc>
          <w:tcPr>
            <w:tcW w:w="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3 (opt.)</w:t>
            </w:r>
          </w:p>
        </w:tc>
        <w:tc>
          <w:tcPr>
            <w:tcW w:w="2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Terraform </w:t>
            </w:r>
            <w:proofErr w:type="spellStart"/>
            <w:r>
              <w:rPr>
                <w:sz w:val="20"/>
                <w:szCs w:val="20"/>
              </w:rPr>
              <w:t>IaC</w:t>
            </w:r>
            <w:proofErr w:type="spellEnd"/>
            <w:r>
              <w:rPr>
                <w:sz w:val="20"/>
                <w:szCs w:val="20"/>
              </w:rPr>
              <w:t xml:space="preserve">; </w:t>
            </w:r>
            <w:proofErr w:type="spellStart"/>
            <w:r>
              <w:rPr>
                <w:sz w:val="20"/>
                <w:szCs w:val="20"/>
              </w:rPr>
              <w:t>GitOps</w:t>
            </w:r>
            <w:proofErr w:type="spellEnd"/>
            <w:r>
              <w:rPr>
                <w:sz w:val="20"/>
                <w:szCs w:val="20"/>
              </w:rPr>
              <w:t xml:space="preserve"> promotion flow; secrets and PKI automation.</w:t>
            </w:r>
          </w:p>
        </w:tc>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Gate review</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W8</w:t>
            </w:r>
          </w:p>
        </w:tc>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30 Nov–6 Dec</w:t>
            </w:r>
          </w:p>
        </w:tc>
        <w:tc>
          <w:tcPr>
            <w:tcW w:w="6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 (opt.)</w:t>
            </w:r>
          </w:p>
        </w:tc>
        <w:tc>
          <w:tcPr>
            <w:tcW w:w="21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DR replication, timed failover, failback and restore test; SLO definition and alert routing.</w:t>
            </w:r>
          </w:p>
        </w:tc>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Gate review</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W9</w:t>
            </w:r>
          </w:p>
        </w:tc>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7–13 Dec</w:t>
            </w:r>
          </w:p>
        </w:tc>
        <w:tc>
          <w:tcPr>
            <w:tcW w:w="6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3 (opt.)</w:t>
            </w:r>
          </w:p>
        </w:tc>
        <w:tc>
          <w:tcPr>
            <w:tcW w:w="21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Hardening, adversarial tests, compliance mapping, cost model, licensing inventory, game day.</w:t>
            </w:r>
          </w:p>
        </w:tc>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G3 / M5 on 13 Dec</w:t>
            </w:r>
          </w:p>
        </w:tc>
      </w:tr>
    </w:tbl>
    <w:p w:rsidR="0099574D" w:rsidRDefault="00D6027F">
      <w:pPr>
        <w:keepNext/>
        <w:spacing w:before="120" w:after="60"/>
        <w:jc w:val="center"/>
      </w:pPr>
      <w:r>
        <w:rPr>
          <w:noProof/>
        </w:rPr>
        <w:drawing>
          <wp:inline distT="0" distB="0" distL="0" distR="0">
            <wp:extent cx="5715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09950"/>
                    </a:xfrm>
                    <a:prstGeom prst="rect">
                      <a:avLst/>
                    </a:prstGeom>
                  </pic:spPr>
                </pic:pic>
              </a:graphicData>
            </a:graphic>
          </wp:inline>
        </w:drawing>
      </w:r>
    </w:p>
    <w:p w:rsidR="0099574D" w:rsidRDefault="00D6027F">
      <w:pPr>
        <w:spacing w:after="200"/>
        <w:jc w:val="center"/>
      </w:pPr>
      <w:r>
        <w:rPr>
          <w:b/>
          <w:bCs/>
          <w:color w:val="1A2330"/>
          <w:sz w:val="21"/>
          <w:szCs w:val="21"/>
        </w:rPr>
        <w:t xml:space="preserve">Figure 1 — Stage-gated delivery timeline for the nine-week </w:t>
      </w:r>
      <w:proofErr w:type="spellStart"/>
      <w:r>
        <w:rPr>
          <w:b/>
          <w:bCs/>
          <w:color w:val="1A2330"/>
          <w:sz w:val="21"/>
          <w:szCs w:val="21"/>
        </w:rPr>
        <w:t>programme</w:t>
      </w:r>
      <w:proofErr w:type="spellEnd"/>
    </w:p>
    <w:p w:rsidR="0099574D" w:rsidRDefault="00D6027F">
      <w:pPr>
        <w:pStyle w:val="Heading2"/>
      </w:pPr>
      <w:bookmarkStart w:id="19" w:name="_Toc100018"/>
      <w:r>
        <w:lastRenderedPageBreak/>
        <w:t>5.2 Milestone Register</w:t>
      </w:r>
      <w:bookmarkEnd w:id="19"/>
    </w:p>
    <w:p w:rsidR="0099574D" w:rsidRDefault="00D6027F">
      <w:pPr>
        <w:spacing w:after="140"/>
        <w:jc w:val="both"/>
      </w:pPr>
      <w:r>
        <w:t>Each milestone is a dated, evidence-backed checkpoint rather than a calendar observation: the evidence listed must exist in the repository on the date shown for the milestone to count as achieved.</w:t>
      </w:r>
    </w:p>
    <w:p w:rsidR="0099574D" w:rsidRDefault="00D6027F">
      <w:pPr>
        <w:keepNext/>
        <w:spacing w:before="160" w:after="100"/>
      </w:pPr>
      <w:r>
        <w:rPr>
          <w:b/>
          <w:bCs/>
          <w:color w:val="1A2330"/>
          <w:sz w:val="21"/>
          <w:szCs w:val="21"/>
        </w:rPr>
        <w:t>Table 10 — Milestone register with acceptance evidence</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703"/>
        <w:gridCol w:w="2109"/>
        <w:gridCol w:w="1230"/>
        <w:gridCol w:w="4746"/>
      </w:tblGrid>
      <w:tr w:rsidR="0099574D">
        <w:tblPrEx>
          <w:tblCellMar>
            <w:top w:w="0" w:type="dxa"/>
            <w:bottom w:w="0" w:type="dxa"/>
          </w:tblCellMar>
        </w:tblPrEx>
        <w:trPr>
          <w:cantSplit/>
          <w:tblHeader/>
        </w:trPr>
        <w:tc>
          <w:tcPr>
            <w:tcW w:w="4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ID</w:t>
            </w:r>
          </w:p>
        </w:tc>
        <w:tc>
          <w:tcPr>
            <w:tcW w:w="12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M</w:t>
            </w:r>
            <w:r>
              <w:rPr>
                <w:b/>
                <w:bCs/>
                <w:color w:val="FFFFFF"/>
                <w:sz w:val="20"/>
                <w:szCs w:val="20"/>
              </w:rPr>
              <w:t>ilestone</w:t>
            </w:r>
          </w:p>
        </w:tc>
        <w:tc>
          <w:tcPr>
            <w:tcW w:w="7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Date (2026)</w:t>
            </w:r>
          </w:p>
        </w:tc>
        <w:tc>
          <w:tcPr>
            <w:tcW w:w="27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Acceptance evidence</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M0</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Prototype questions answered</w:t>
            </w:r>
          </w:p>
        </w:tc>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14 Oct</w:t>
            </w:r>
          </w:p>
        </w:tc>
        <w:tc>
          <w:tcPr>
            <w:tcW w:w="2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Written answers committed for P0–P6; ADR-0001 to ADR-0004 merged; P0 resource measurements and chosen heap sizes recorded.</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M1</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MVP end to end</w:t>
            </w:r>
          </w:p>
        </w:tc>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25 Oct</w:t>
            </w:r>
          </w:p>
        </w:tc>
        <w:tc>
          <w:tcPr>
            <w:tcW w:w="2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make up completes on a clean machine or VM; 10-minute flow at 100 </w:t>
            </w:r>
            <w:proofErr w:type="spellStart"/>
            <w:r>
              <w:rPr>
                <w:sz w:val="20"/>
                <w:szCs w:val="20"/>
              </w:rPr>
              <w:t>msg</w:t>
            </w:r>
            <w:proofErr w:type="spellEnd"/>
            <w:r>
              <w:rPr>
                <w:sz w:val="20"/>
                <w:szCs w:val="20"/>
              </w:rPr>
              <w:t>/s with zero errors; CI green on build and unit tests; limitations list published.</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M2</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Security baseline enforced</w:t>
            </w:r>
          </w:p>
        </w:tc>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 Nov</w:t>
            </w:r>
          </w:p>
        </w:tc>
        <w:tc>
          <w:tcPr>
            <w:tcW w:w="2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T8 security suite green: plaintext refused, wrong SCRAM credentials refused; negative ACL tests prove every non-granted operation is denied.</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M3</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Observability complete, early drills done</w:t>
            </w:r>
          </w:p>
        </w:tc>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8 Nov</w:t>
            </w:r>
          </w:p>
        </w:tc>
        <w:tc>
          <w:tcPr>
            <w:tcW w:w="2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Dashboards and all five alert rules live; drills D1–D3 documented with evidence in chaos/results/.</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M4</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Final gate</w:t>
            </w:r>
          </w:p>
        </w:tc>
        <w:tc>
          <w:tcPr>
            <w:tcW w:w="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15 Nov</w:t>
            </w:r>
          </w:p>
        </w:tc>
        <w:tc>
          <w:tcPr>
            <w:tcW w:w="2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Full G2 evidence pack: six drill reports with RCA and </w:t>
            </w:r>
            <w:proofErr w:type="spellStart"/>
            <w:r>
              <w:rPr>
                <w:sz w:val="20"/>
                <w:szCs w:val="20"/>
              </w:rPr>
              <w:t>runbooks</w:t>
            </w:r>
            <w:proofErr w:type="spellEnd"/>
            <w:r>
              <w:rPr>
                <w:sz w:val="20"/>
                <w:szCs w:val="20"/>
              </w:rPr>
              <w:t>, D1 zero-loss result, upgrade with zero producer errors, performance baseline, documentation set.</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M5</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Commercial-ready gate (optional)</w:t>
            </w:r>
          </w:p>
        </w:tc>
        <w:tc>
          <w:tcPr>
            <w:tcW w:w="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13 Dec</w:t>
            </w:r>
          </w:p>
        </w:tc>
        <w:tc>
          <w:tcPr>
            <w:tcW w:w="2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Full G3 evidence pack: </w:t>
            </w:r>
            <w:proofErr w:type="spellStart"/>
            <w:r>
              <w:rPr>
                <w:sz w:val="20"/>
                <w:szCs w:val="20"/>
              </w:rPr>
              <w:t>GitOps</w:t>
            </w:r>
            <w:proofErr w:type="spellEnd"/>
            <w:r>
              <w:rPr>
                <w:sz w:val="20"/>
                <w:szCs w:val="20"/>
              </w:rPr>
              <w:t xml:space="preserve"> deploy with destroy-and-recreate, timed DR failover and restore, two-week SLO record, game-day outcome, licensing inventory.</w:t>
            </w:r>
          </w:p>
        </w:tc>
      </w:tr>
    </w:tbl>
    <w:p w:rsidR="0099574D" w:rsidRDefault="00D6027F">
      <w:pPr>
        <w:pStyle w:val="Heading1"/>
      </w:pPr>
      <w:bookmarkStart w:id="20" w:name="_Toc100019"/>
      <w:r>
        <w:t>6. Requirements Traceability and Test Coverage</w:t>
      </w:r>
      <w:bookmarkEnd w:id="20"/>
    </w:p>
    <w:p w:rsidR="0099574D" w:rsidRDefault="00D6027F">
      <w:pPr>
        <w:spacing w:after="140"/>
        <w:jc w:val="both"/>
      </w:pPr>
      <w:r>
        <w:t>Traceability is maintained in both directions: every PRD requirement maps to the work package that delivers it and the test that verifies it, and every work package exists only to satisfy a referenced requirement or gate. The matrices below are the accepta</w:t>
      </w:r>
      <w:r>
        <w:t>nce baseline for the stage gates.</w:t>
      </w:r>
    </w:p>
    <w:p w:rsidR="0099574D" w:rsidRDefault="00D6027F">
      <w:pPr>
        <w:pStyle w:val="Heading2"/>
      </w:pPr>
      <w:bookmarkStart w:id="21" w:name="_Toc100020"/>
      <w:r>
        <w:t>6.1 Functional Requirements Coverage</w:t>
      </w:r>
      <w:bookmarkEnd w:id="21"/>
    </w:p>
    <w:p w:rsidR="0099574D" w:rsidRDefault="00D6027F">
      <w:pPr>
        <w:keepNext/>
        <w:spacing w:before="160" w:after="100"/>
      </w:pPr>
      <w:r>
        <w:rPr>
          <w:b/>
          <w:bCs/>
          <w:color w:val="1A2330"/>
          <w:sz w:val="21"/>
          <w:szCs w:val="21"/>
        </w:rPr>
        <w:t>Table 11 — Functional requirement traceability (FR-01 to FR-20)</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790"/>
        <w:gridCol w:w="3252"/>
        <w:gridCol w:w="703"/>
        <w:gridCol w:w="1055"/>
        <w:gridCol w:w="2988"/>
      </w:tblGrid>
      <w:tr w:rsidR="0099574D">
        <w:tblPrEx>
          <w:tblCellMar>
            <w:top w:w="0" w:type="dxa"/>
            <w:bottom w:w="0" w:type="dxa"/>
          </w:tblCellMar>
        </w:tblPrEx>
        <w:trPr>
          <w:cantSplit/>
          <w:tblHeader/>
        </w:trPr>
        <w:tc>
          <w:tcPr>
            <w:tcW w:w="4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FR</w:t>
            </w:r>
          </w:p>
        </w:tc>
        <w:tc>
          <w:tcPr>
            <w:tcW w:w="18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Requirement (summary)</w:t>
            </w:r>
          </w:p>
        </w:tc>
        <w:tc>
          <w:tcPr>
            <w:tcW w:w="4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Stage</w:t>
            </w:r>
          </w:p>
        </w:tc>
        <w:tc>
          <w:tcPr>
            <w:tcW w:w="6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WP</w:t>
            </w:r>
          </w:p>
        </w:tc>
        <w:tc>
          <w:tcPr>
            <w:tcW w:w="17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Verification</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FR-01</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Three-broker Kafka cluster in </w:t>
            </w:r>
            <w:proofErr w:type="spellStart"/>
            <w:r>
              <w:rPr>
                <w:sz w:val="20"/>
                <w:szCs w:val="20"/>
              </w:rPr>
              <w:t>KRaft</w:t>
            </w:r>
            <w:proofErr w:type="spellEnd"/>
            <w:r>
              <w:rPr>
                <w:sz w:val="20"/>
                <w:szCs w:val="20"/>
              </w:rPr>
              <w:t xml:space="preserve"> mode with healthy quorum</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WP1.2</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T2 smoke; T3; scripted metadata-quorum and ISR check</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lastRenderedPageBreak/>
              <w:t>FR-02</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Topic standard enforced: naming, RF 3, min ISR 2, no auto-creation</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WP1.3, WP2.6</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T9 config lint in CI; broker auto-create disabled and verified</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FR-03</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Schema Registry with Avro and BACKWARD compatibility</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WP1.3</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T7 contract tests: incompatible evolution rejected in CI</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FR-04</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Transaction producer, 1–5,000 </w:t>
            </w:r>
            <w:proofErr w:type="spellStart"/>
            <w:r>
              <w:rPr>
                <w:sz w:val="20"/>
                <w:szCs w:val="20"/>
              </w:rPr>
              <w:t>msg</w:t>
            </w:r>
            <w:proofErr w:type="spellEnd"/>
            <w:r>
              <w:rPr>
                <w:sz w:val="20"/>
                <w:szCs w:val="20"/>
              </w:rPr>
              <w:t xml:space="preserve">/s configurable, keyed by </w:t>
            </w:r>
            <w:proofErr w:type="spellStart"/>
            <w:r>
              <w:rPr>
                <w:sz w:val="20"/>
                <w:szCs w:val="20"/>
              </w:rPr>
              <w:t>account_id</w:t>
            </w:r>
            <w:proofErr w:type="spellEnd"/>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WP1.4</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 unit; T3; T10 throughput verification</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FR-05</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Fraud detector with amount and velocity rules emitting alerts within 2 s</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1–2</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WP1.5, WP2.3</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T1; T5 </w:t>
            </w:r>
            <w:proofErr w:type="spellStart"/>
            <w:r>
              <w:rPr>
                <w:sz w:val="20"/>
                <w:szCs w:val="20"/>
              </w:rPr>
              <w:t>TopologyTestDriver</w:t>
            </w:r>
            <w:proofErr w:type="spellEnd"/>
            <w:r>
              <w:rPr>
                <w:sz w:val="20"/>
                <w:szCs w:val="20"/>
              </w:rPr>
              <w:t xml:space="preserve"> window-edge cases</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FR-06</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Idempotent </w:t>
            </w:r>
            <w:proofErr w:type="spellStart"/>
            <w:r>
              <w:rPr>
                <w:sz w:val="20"/>
                <w:szCs w:val="20"/>
              </w:rPr>
              <w:t>notifier</w:t>
            </w:r>
            <w:proofErr w:type="spellEnd"/>
            <w:r>
              <w:rPr>
                <w:sz w:val="20"/>
                <w:szCs w:val="20"/>
              </w:rPr>
              <w:t xml:space="preserve"> persisting alerts to PostgreSQL</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WP1.6, WP2.3</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T6: replaying an alert ten times yields one row</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FR-07</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Poison-message handling with retry topic and DLQ</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WP2.3</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T6 malformed-record test; consumer continues running</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FR-08</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TLS on all listeners; </w:t>
            </w:r>
            <w:proofErr w:type="spellStart"/>
            <w:r>
              <w:rPr>
                <w:sz w:val="20"/>
                <w:szCs w:val="20"/>
              </w:rPr>
              <w:t>mTLS</w:t>
            </w:r>
            <w:proofErr w:type="spellEnd"/>
            <w:r>
              <w:rPr>
                <w:sz w:val="20"/>
                <w:szCs w:val="20"/>
              </w:rPr>
              <w:t xml:space="preserve"> between brokers; SASL/SCRAM for clients</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WP2.1, WP2.2</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T8: plaintext, wrong credentials and expired certificates refused</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FR-09</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Default-deny ACLs per service principal, no wildcards</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WP2.2</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T8 negative ACL matrix tests</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FR-10</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Broker, topic, consumer-group and JVM metrics in </w:t>
            </w:r>
            <w:proofErr w:type="spellStart"/>
            <w:r>
              <w:rPr>
                <w:sz w:val="20"/>
                <w:szCs w:val="20"/>
              </w:rPr>
              <w:t>Grafana</w:t>
            </w:r>
            <w:proofErr w:type="spellEnd"/>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WP1.7, WP2.5</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Dashboard walkthrough during each drill; screenshots as evidence</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FR-11</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Alerts: lag, URP, offline partitions, disk 70%, certificate expiry 14 days</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WP2.5</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Each drill verifies its corresponding alert fires within target time</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FR-12</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Six failure drills with evidence, RCA and </w:t>
            </w:r>
            <w:proofErr w:type="spellStart"/>
            <w:r>
              <w:rPr>
                <w:sz w:val="20"/>
                <w:szCs w:val="20"/>
              </w:rPr>
              <w:t>runbooks</w:t>
            </w:r>
            <w:proofErr w:type="spellEnd"/>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WP2.7</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T11: each drill executed twice with consistent results</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FR-13</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Rolling restart and upgrade with no client-visible downtime</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WP2.8</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T12: zero producer errors, bounded lag under continuous load</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FR-14</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Fourth-broker expansion with partition reassignment</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WP2.8</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T13: load distribution measured before and after</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FR-15</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Kafka Connect CDC from PostgreSQL accounts via </w:t>
            </w:r>
            <w:proofErr w:type="spellStart"/>
            <w:r>
              <w:rPr>
                <w:sz w:val="20"/>
                <w:szCs w:val="20"/>
              </w:rPr>
              <w:t>Debezium</w:t>
            </w:r>
            <w:proofErr w:type="spellEnd"/>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WP2.4</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Integration assertion on </w:t>
            </w:r>
            <w:proofErr w:type="spellStart"/>
            <w:r>
              <w:rPr>
                <w:sz w:val="20"/>
                <w:szCs w:val="20"/>
              </w:rPr>
              <w:t>pg.public.accounts</w:t>
            </w:r>
            <w:proofErr w:type="spellEnd"/>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FR-16</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Topic and ACL definitions as code applied by CI with drift checks</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WP2.6</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T9; check-drift.sh reports a manual change in a controlled trial</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FR-17</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CI pipeline: build, unit, integration, config lint, image scan</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1–2</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WP1.1, WP2.6</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Pipeline runs on main; failing test or lint violation blocks merge</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FR-18</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Operational documentation set</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WP2.10</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Reviewer reproduces D1 from docs alone (G2 criterion)</w:t>
            </w:r>
          </w:p>
        </w:tc>
      </w:tr>
      <w:tr w:rsidR="0099574D">
        <w:tblPrEx>
          <w:tblCellMar>
            <w:top w:w="0" w:type="dxa"/>
            <w:bottom w:w="0" w:type="dxa"/>
          </w:tblCellMar>
        </w:tblPrEx>
        <w:trPr>
          <w:cantSplit/>
        </w:trPr>
        <w:tc>
          <w:tcPr>
            <w:tcW w:w="4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FR-19</w:t>
            </w:r>
          </w:p>
        </w:tc>
        <w:tc>
          <w:tcPr>
            <w:tcW w:w="1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Cross-cluster replication and failover test</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3</w:t>
            </w:r>
          </w:p>
        </w:tc>
        <w:tc>
          <w:tcPr>
            <w:tcW w:w="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WP3.4</w:t>
            </w:r>
          </w:p>
        </w:tc>
        <w:tc>
          <w:tcPr>
            <w:tcW w:w="1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T17: timed failover with recorded RTO and RPO</w:t>
            </w:r>
          </w:p>
        </w:tc>
      </w:tr>
      <w:tr w:rsidR="0099574D">
        <w:tblPrEx>
          <w:tblCellMar>
            <w:top w:w="0" w:type="dxa"/>
            <w:bottom w:w="0" w:type="dxa"/>
          </w:tblCellMar>
        </w:tblPrEx>
        <w:trPr>
          <w:cantSplit/>
        </w:trPr>
        <w:tc>
          <w:tcPr>
            <w:tcW w:w="4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lastRenderedPageBreak/>
              <w:t>FR-20</w:t>
            </w:r>
          </w:p>
        </w:tc>
        <w:tc>
          <w:tcPr>
            <w:tcW w:w="1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Kubernetes deployment with Helm or operator</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w:t>
            </w:r>
          </w:p>
        </w:tc>
        <w:tc>
          <w:tcPr>
            <w:tcW w:w="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WP3.1</w:t>
            </w:r>
          </w:p>
        </w:tc>
        <w:tc>
          <w:tcPr>
            <w:tcW w:w="1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T15 parity suite on Kubernetes</w:t>
            </w:r>
          </w:p>
        </w:tc>
      </w:tr>
    </w:tbl>
    <w:p w:rsidR="0099574D" w:rsidRDefault="00D6027F">
      <w:pPr>
        <w:pStyle w:val="Heading2"/>
      </w:pPr>
      <w:bookmarkStart w:id="22" w:name="_Toc100021"/>
      <w:r>
        <w:t>6.2 Non-Functional Requirements Validation</w:t>
      </w:r>
      <w:bookmarkEnd w:id="22"/>
    </w:p>
    <w:p w:rsidR="0099574D" w:rsidRDefault="00D6027F">
      <w:pPr>
        <w:spacing w:after="140"/>
        <w:jc w:val="both"/>
      </w:pPr>
      <w:r>
        <w:t>Non-functional targets are design targets until validated on the reference environment. The matrix fixes, for each category, the method by which Stage 2 (and where relevant Stage 3) converts the target into a measured, recorded fact.</w:t>
      </w:r>
    </w:p>
    <w:p w:rsidR="0099574D" w:rsidRDefault="00D6027F">
      <w:pPr>
        <w:keepNext/>
        <w:spacing w:before="160" w:after="100"/>
      </w:pPr>
      <w:r>
        <w:rPr>
          <w:b/>
          <w:bCs/>
          <w:color w:val="1A2330"/>
          <w:sz w:val="21"/>
          <w:szCs w:val="21"/>
        </w:rPr>
        <w:t>Table 12 — Non-functio</w:t>
      </w:r>
      <w:r>
        <w:rPr>
          <w:b/>
          <w:bCs/>
          <w:color w:val="1A2330"/>
          <w:sz w:val="21"/>
          <w:szCs w:val="21"/>
        </w:rPr>
        <w:t>nal requirement validation matrix</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1758"/>
        <w:gridCol w:w="2724"/>
        <w:gridCol w:w="2724"/>
        <w:gridCol w:w="1582"/>
      </w:tblGrid>
      <w:tr w:rsidR="0099574D">
        <w:tblPrEx>
          <w:tblCellMar>
            <w:top w:w="0" w:type="dxa"/>
            <w:bottom w:w="0" w:type="dxa"/>
          </w:tblCellMar>
        </w:tblPrEx>
        <w:trPr>
          <w:cantSplit/>
          <w:tblHeader/>
        </w:trPr>
        <w:tc>
          <w:tcPr>
            <w:tcW w:w="10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Category</w:t>
            </w:r>
          </w:p>
        </w:tc>
        <w:tc>
          <w:tcPr>
            <w:tcW w:w="1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Target</w:t>
            </w:r>
          </w:p>
        </w:tc>
        <w:tc>
          <w:tcPr>
            <w:tcW w:w="1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Validation method</w:t>
            </w:r>
          </w:p>
        </w:tc>
        <w:tc>
          <w:tcPr>
            <w:tcW w:w="9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Recorded in</w:t>
            </w:r>
          </w:p>
        </w:tc>
      </w:tr>
      <w:tr w:rsidR="0099574D">
        <w:tblPrEx>
          <w:tblCellMar>
            <w:top w:w="0" w:type="dxa"/>
            <w:bottom w:w="0" w:type="dxa"/>
          </w:tblCellMar>
        </w:tblPrEx>
        <w:trPr>
          <w:cantSplit/>
        </w:trPr>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Durability</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Zero acknowledged-message loss under single-broker failure (</w:t>
            </w:r>
            <w:proofErr w:type="spellStart"/>
            <w:r>
              <w:rPr>
                <w:sz w:val="20"/>
                <w:szCs w:val="20"/>
              </w:rPr>
              <w:t>acks</w:t>
            </w:r>
            <w:proofErr w:type="spellEnd"/>
            <w:r>
              <w:rPr>
                <w:sz w:val="20"/>
                <w:szCs w:val="20"/>
              </w:rPr>
              <w:t>=all, RF 3, min ISR 2, unclean leader election disabled)</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Drill D1: 30-minute run under load with sink reconciliation</w:t>
            </w:r>
          </w:p>
        </w:tc>
        <w:tc>
          <w:tcPr>
            <w:tcW w:w="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docs/drills/D1-broker-loss.md</w:t>
            </w:r>
          </w:p>
        </w:tc>
      </w:tr>
      <w:tr w:rsidR="0099574D">
        <w:tblPrEx>
          <w:tblCellMar>
            <w:top w:w="0" w:type="dxa"/>
            <w:bottom w:w="0" w:type="dxa"/>
          </w:tblCellMar>
        </w:tblPrEx>
        <w:trPr>
          <w:cantSplit/>
        </w:trPr>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Availability</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Reads and writes continue through any single broker failure; double-failure write unavailability documented as intentional</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Drills D1 and D2 observation windows</w:t>
            </w:r>
          </w:p>
        </w:tc>
        <w:tc>
          <w:tcPr>
            <w:tcW w:w="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docs/drills/D2-isr-shrink.md</w:t>
            </w:r>
          </w:p>
        </w:tc>
      </w:tr>
      <w:tr w:rsidR="0099574D">
        <w:tblPrEx>
          <w:tblCellMar>
            <w:top w:w="0" w:type="dxa"/>
            <w:bottom w:w="0" w:type="dxa"/>
          </w:tblCellMar>
        </w:tblPrEx>
        <w:trPr>
          <w:cantSplit/>
        </w:trPr>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Latency</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p99 produce-to-consume below 200 </w:t>
            </w:r>
            <w:proofErr w:type="spellStart"/>
            <w:r>
              <w:rPr>
                <w:sz w:val="20"/>
                <w:szCs w:val="20"/>
              </w:rPr>
              <w:t>ms</w:t>
            </w:r>
            <w:proofErr w:type="spellEnd"/>
            <w:r>
              <w:rPr>
                <w:sz w:val="20"/>
                <w:szCs w:val="20"/>
              </w:rPr>
              <w:t xml:space="preserve"> at 1,000 </w:t>
            </w:r>
            <w:proofErr w:type="spellStart"/>
            <w:r>
              <w:rPr>
                <w:sz w:val="20"/>
                <w:szCs w:val="20"/>
              </w:rPr>
              <w:t>msg</w:t>
            </w:r>
            <w:proofErr w:type="spellEnd"/>
            <w:r>
              <w:rPr>
                <w:sz w:val="20"/>
                <w:szCs w:val="20"/>
              </w:rPr>
              <w:t>/s (reference environment)</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Perf-test pair at 1k, 2.5k and 5k </w:t>
            </w:r>
            <w:proofErr w:type="spellStart"/>
            <w:r>
              <w:rPr>
                <w:sz w:val="20"/>
                <w:szCs w:val="20"/>
              </w:rPr>
              <w:t>msg</w:t>
            </w:r>
            <w:proofErr w:type="spellEnd"/>
            <w:r>
              <w:rPr>
                <w:sz w:val="20"/>
                <w:szCs w:val="20"/>
              </w:rPr>
              <w:t>/s</w:t>
            </w:r>
          </w:p>
        </w:tc>
        <w:tc>
          <w:tcPr>
            <w:tcW w:w="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docs/performance/baseline.md</w:t>
            </w:r>
          </w:p>
        </w:tc>
      </w:tr>
      <w:tr w:rsidR="0099574D">
        <w:tblPrEx>
          <w:tblCellMar>
            <w:top w:w="0" w:type="dxa"/>
            <w:bottom w:w="0" w:type="dxa"/>
          </w:tblCellMar>
        </w:tblPrEx>
        <w:trPr>
          <w:cantSplit/>
        </w:trPr>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Throughput</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Sustain at least 5,000 </w:t>
            </w:r>
            <w:proofErr w:type="spellStart"/>
            <w:r>
              <w:rPr>
                <w:sz w:val="20"/>
                <w:szCs w:val="20"/>
              </w:rPr>
              <w:t>msg</w:t>
            </w:r>
            <w:proofErr w:type="spellEnd"/>
            <w:r>
              <w:rPr>
                <w:sz w:val="20"/>
                <w:szCs w:val="20"/>
              </w:rPr>
              <w:t>/s; record the actual ceiling and bottleneck</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Staged load with resource capture</w:t>
            </w:r>
          </w:p>
        </w:tc>
        <w:tc>
          <w:tcPr>
            <w:tcW w:w="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docs/performance/baseline.md</w:t>
            </w:r>
          </w:p>
        </w:tc>
      </w:tr>
      <w:tr w:rsidR="0099574D">
        <w:tblPrEx>
          <w:tblCellMar>
            <w:top w:w="0" w:type="dxa"/>
            <w:bottom w:w="0" w:type="dxa"/>
          </w:tblCellMar>
        </w:tblPrEx>
        <w:trPr>
          <w:cantSplit/>
        </w:trPr>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Security</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All traffic encrypted; all principals authenticated; least-privilege ACLs; no secrets in Git</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T8 negative tests; </w:t>
            </w:r>
            <w:proofErr w:type="spellStart"/>
            <w:r>
              <w:rPr>
                <w:sz w:val="20"/>
                <w:szCs w:val="20"/>
              </w:rPr>
              <w:t>Gitleaks</w:t>
            </w:r>
            <w:proofErr w:type="spellEnd"/>
            <w:r>
              <w:rPr>
                <w:sz w:val="20"/>
                <w:szCs w:val="20"/>
              </w:rPr>
              <w:t xml:space="preserve"> and </w:t>
            </w:r>
            <w:proofErr w:type="spellStart"/>
            <w:r>
              <w:rPr>
                <w:sz w:val="20"/>
                <w:szCs w:val="20"/>
              </w:rPr>
              <w:t>Trivy</w:t>
            </w:r>
            <w:proofErr w:type="spellEnd"/>
            <w:r>
              <w:rPr>
                <w:sz w:val="20"/>
                <w:szCs w:val="20"/>
              </w:rPr>
              <w:t xml:space="preserve"> gates in CI</w:t>
            </w:r>
          </w:p>
        </w:tc>
        <w:tc>
          <w:tcPr>
            <w:tcW w:w="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docs/security/threat-model.md</w:t>
            </w:r>
          </w:p>
        </w:tc>
      </w:tr>
      <w:tr w:rsidR="0099574D">
        <w:tblPrEx>
          <w:tblCellMar>
            <w:top w:w="0" w:type="dxa"/>
            <w:bottom w:w="0" w:type="dxa"/>
          </w:tblCellMar>
        </w:tblPrEx>
        <w:trPr>
          <w:cantSplit/>
        </w:trPr>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Recoverability</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Documented RTO/RPO for single-broker loss, full-cluster restart and, if built, DR failover</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proofErr w:type="spellStart"/>
            <w:r>
              <w:rPr>
                <w:sz w:val="20"/>
                <w:szCs w:val="20"/>
              </w:rPr>
              <w:t>Runbook</w:t>
            </w:r>
            <w:proofErr w:type="spellEnd"/>
            <w:r>
              <w:rPr>
                <w:sz w:val="20"/>
                <w:szCs w:val="20"/>
              </w:rPr>
              <w:t xml:space="preserve"> execution timing; T17 in Stage 3</w:t>
            </w:r>
          </w:p>
        </w:tc>
        <w:tc>
          <w:tcPr>
            <w:tcW w:w="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docs/drills/ and docs/dr/dr-plan.md</w:t>
            </w:r>
          </w:p>
        </w:tc>
      </w:tr>
      <w:tr w:rsidR="0099574D">
        <w:tblPrEx>
          <w:tblCellMar>
            <w:top w:w="0" w:type="dxa"/>
            <w:bottom w:w="0" w:type="dxa"/>
          </w:tblCellMar>
        </w:tblPrEx>
        <w:trPr>
          <w:cantSplit/>
        </w:trPr>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Observability</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Every Must-level failure mode has at least one metric and one alert</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Alert firing verified inside each drill</w:t>
            </w:r>
          </w:p>
        </w:tc>
        <w:tc>
          <w:tcPr>
            <w:tcW w:w="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monitoring/</w:t>
            </w:r>
            <w:proofErr w:type="spellStart"/>
            <w:r>
              <w:rPr>
                <w:sz w:val="20"/>
                <w:szCs w:val="20"/>
              </w:rPr>
              <w:t>prometheus</w:t>
            </w:r>
            <w:proofErr w:type="spellEnd"/>
            <w:r>
              <w:rPr>
                <w:sz w:val="20"/>
                <w:szCs w:val="20"/>
              </w:rPr>
              <w:t>/rules/</w:t>
            </w:r>
          </w:p>
        </w:tc>
      </w:tr>
      <w:tr w:rsidR="0099574D">
        <w:tblPrEx>
          <w:tblCellMar>
            <w:top w:w="0" w:type="dxa"/>
            <w:bottom w:w="0" w:type="dxa"/>
          </w:tblCellMar>
        </w:tblPrEx>
        <w:trPr>
          <w:cantSplit/>
        </w:trPr>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Reproducibility</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Cold start to a working platform in one command (make up)</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T2 smoke executed on a clean machine or VM</w:t>
            </w:r>
          </w:p>
        </w:tc>
        <w:tc>
          <w:tcPr>
            <w:tcW w:w="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docs/operations/deployment-guide.md</w:t>
            </w:r>
          </w:p>
        </w:tc>
      </w:tr>
      <w:tr w:rsidR="0099574D">
        <w:tblPrEx>
          <w:tblCellMar>
            <w:top w:w="0" w:type="dxa"/>
            <w:bottom w:w="0" w:type="dxa"/>
          </w:tblCellMar>
        </w:tblPrEx>
        <w:trPr>
          <w:cantSplit/>
        </w:trPr>
        <w:tc>
          <w:tcPr>
            <w:tcW w:w="10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lastRenderedPageBreak/>
              <w:t>Maintainability</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Configuration in Git, versions pinned, upgrade procedure tested</w:t>
            </w:r>
          </w:p>
        </w:tc>
        <w:tc>
          <w:tcPr>
            <w:tcW w:w="1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T9 config lint; T12 rolling upgrade</w:t>
            </w:r>
          </w:p>
        </w:tc>
        <w:tc>
          <w:tcPr>
            <w:tcW w:w="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docs/operations/config-standards.md</w:t>
            </w:r>
          </w:p>
        </w:tc>
      </w:tr>
      <w:tr w:rsidR="0099574D">
        <w:tblPrEx>
          <w:tblCellMar>
            <w:top w:w="0" w:type="dxa"/>
            <w:bottom w:w="0" w:type="dxa"/>
          </w:tblCellMar>
        </w:tblPrEx>
        <w:trPr>
          <w:cantSplit/>
        </w:trPr>
        <w:tc>
          <w:tcPr>
            <w:tcW w:w="10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Portability</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The same service images run on Docker Compose and Kubernetes</w:t>
            </w:r>
          </w:p>
        </w:tc>
        <w:tc>
          <w:tcPr>
            <w:tcW w:w="1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T15 parity suite in Stage 3</w:t>
            </w:r>
          </w:p>
        </w:tc>
        <w:tc>
          <w:tcPr>
            <w:tcW w:w="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Stage 3 parity report</w:t>
            </w:r>
          </w:p>
        </w:tc>
      </w:tr>
    </w:tbl>
    <w:p w:rsidR="0099574D" w:rsidRDefault="00D6027F">
      <w:pPr>
        <w:pStyle w:val="Heading2"/>
      </w:pPr>
      <w:bookmarkStart w:id="23" w:name="_Toc100022"/>
      <w:r>
        <w:t>6.3 Test Module Coverage Map</w:t>
      </w:r>
      <w:bookmarkEnd w:id="23"/>
    </w:p>
    <w:p w:rsidR="0099574D" w:rsidRDefault="00D6027F">
      <w:pPr>
        <w:spacing w:after="140"/>
        <w:jc w:val="both"/>
      </w:pPr>
      <w:r>
        <w:t>The lifecycle defines 22 test modules. The map below allocates every module to its delivering stage and work package so that no verification gap can pass a gate unnoticed.</w:t>
      </w:r>
    </w:p>
    <w:p w:rsidR="0099574D" w:rsidRDefault="00D6027F">
      <w:pPr>
        <w:keepNext/>
        <w:spacing w:before="160" w:after="100"/>
      </w:pPr>
      <w:r>
        <w:rPr>
          <w:b/>
          <w:bCs/>
          <w:color w:val="1A2330"/>
          <w:sz w:val="21"/>
          <w:szCs w:val="21"/>
        </w:rPr>
        <w:t>Table 13 — Test module allocation (T1 to T22)</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703"/>
        <w:gridCol w:w="1670"/>
        <w:gridCol w:w="1670"/>
        <w:gridCol w:w="703"/>
        <w:gridCol w:w="4042"/>
      </w:tblGrid>
      <w:tr w:rsidR="0099574D">
        <w:tblPrEx>
          <w:tblCellMar>
            <w:top w:w="0" w:type="dxa"/>
            <w:bottom w:w="0" w:type="dxa"/>
          </w:tblCellMar>
        </w:tblPrEx>
        <w:trPr>
          <w:cantSplit/>
          <w:tblHeader/>
        </w:trPr>
        <w:tc>
          <w:tcPr>
            <w:tcW w:w="4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ID</w:t>
            </w:r>
          </w:p>
        </w:tc>
        <w:tc>
          <w:tcPr>
            <w:tcW w:w="9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Module</w:t>
            </w:r>
          </w:p>
        </w:tc>
        <w:tc>
          <w:tcPr>
            <w:tcW w:w="9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Type</w:t>
            </w:r>
          </w:p>
        </w:tc>
        <w:tc>
          <w:tcPr>
            <w:tcW w:w="4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Stage</w:t>
            </w:r>
          </w:p>
        </w:tc>
        <w:tc>
          <w:tcPr>
            <w:tcW w:w="23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Representative sc</w:t>
            </w:r>
            <w:r>
              <w:rPr>
                <w:b/>
                <w:bCs/>
                <w:color w:val="FFFFFF"/>
                <w:sz w:val="20"/>
                <w:szCs w:val="20"/>
              </w:rPr>
              <w:t>ope</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Unit</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Automated</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Fraud rule boundaries; </w:t>
            </w:r>
            <w:proofErr w:type="spellStart"/>
            <w:r>
              <w:rPr>
                <w:sz w:val="20"/>
                <w:szCs w:val="20"/>
              </w:rPr>
              <w:t>serializer</w:t>
            </w:r>
            <w:proofErr w:type="spellEnd"/>
            <w:r>
              <w:rPr>
                <w:sz w:val="20"/>
                <w:szCs w:val="20"/>
              </w:rPr>
              <w:t xml:space="preserve"> configuration; mapping logic; idempotency branches</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T2</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Smoke</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Stack starts; topics created; one message flows producer to alert to database</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T3</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Integration</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proofErr w:type="spellStart"/>
            <w:r>
              <w:rPr>
                <w:sz w:val="20"/>
                <w:szCs w:val="20"/>
              </w:rPr>
              <w:t>Testcontainers</w:t>
            </w:r>
            <w:proofErr w:type="spellEnd"/>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Transaction above threshold produces an alert row</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T4</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Broker-kill check</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Manual</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Flow continues with one broker stopped (D1 precursor)</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T5</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Streams topology</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Automated</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Velocity window edges at 59.9 s versus 60.1 s; out-of-order events</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T6</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Integration</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proofErr w:type="spellStart"/>
            <w:r>
              <w:rPr>
                <w:sz w:val="20"/>
                <w:szCs w:val="20"/>
              </w:rPr>
              <w:t>Testcontainers</w:t>
            </w:r>
            <w:proofErr w:type="spellEnd"/>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Duplicate delivery yields one effect; DLQ routing; restart resumes correctly</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T7</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Contract / schema</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CI</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Field addition with default passes; field removal and type change fail</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T8</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Security</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Plaintext refused; wrong credentials refused; expired certificate refused; ACL denials</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T9</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Config lint</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CI</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Naming standard, RF, min ISR; wildcard ACL detection</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T10</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Performance</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Throughput ceiling and p99 latency at 1k, 2.5k, 5k </w:t>
            </w:r>
            <w:proofErr w:type="spellStart"/>
            <w:r>
              <w:rPr>
                <w:sz w:val="20"/>
                <w:szCs w:val="20"/>
              </w:rPr>
              <w:t>msg</w:t>
            </w:r>
            <w:proofErr w:type="spellEnd"/>
            <w:r>
              <w:rPr>
                <w:sz w:val="20"/>
                <w:szCs w:val="20"/>
              </w:rPr>
              <w:t>/s</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T11</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Chaos / drills</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D1 to D6 executed twice with captured evidence</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T12</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Upgrade</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Rolling upgrade under load; zero producer errors; bounded lag</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T13</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Expansion</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Broker addition; reassignment; balance and no data loss</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lastRenderedPageBreak/>
              <w:t>T14</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Soak</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8 to 24 hours at moderate load; memory, disk and lag drift observed</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T15</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K8s parity</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Automated</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T6 and T8 suites pass unchanged on Kubernetes</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T16</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Chaos on K8s</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Chaos Mesh</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Pod kill, node drain, zone loss, network partition, storage latency</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T17</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DR failover</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Timed failover with RTO and RPO measurement; failback</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T18</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Restore</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Configuration and schema restore into a clean cluster, verified</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T19</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Adversarial</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Manual</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Credential stuffing, ACL bypass attempts, certificate misuse</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T20</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Capacity</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Load</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Saturation point found; scale-out procedure validated against the cost model</w:t>
            </w:r>
          </w:p>
        </w:tc>
      </w:tr>
      <w:tr w:rsidR="0099574D">
        <w:tblPrEx>
          <w:tblCellMar>
            <w:top w:w="0" w:type="dxa"/>
            <w:bottom w:w="0" w:type="dxa"/>
          </w:tblCellMar>
        </w:tblPrEx>
        <w:trPr>
          <w:cantSplit/>
        </w:trPr>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T21</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Version upgrade</w:t>
            </w:r>
          </w:p>
        </w:tc>
        <w:tc>
          <w:tcPr>
            <w:tcW w:w="9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Scripted</w:t>
            </w:r>
          </w:p>
        </w:tc>
        <w:tc>
          <w:tcPr>
            <w:tcW w:w="4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N to N+1 rolling upgrade on Kubernetes with rollback</w:t>
            </w:r>
          </w:p>
        </w:tc>
      </w:tr>
      <w:tr w:rsidR="0099574D">
        <w:tblPrEx>
          <w:tblCellMar>
            <w:top w:w="0" w:type="dxa"/>
            <w:bottom w:w="0" w:type="dxa"/>
          </w:tblCellMar>
        </w:tblPrEx>
        <w:trPr>
          <w:cantSplit/>
        </w:trPr>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T22</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Game day</w:t>
            </w:r>
          </w:p>
        </w:tc>
        <w:tc>
          <w:tcPr>
            <w:tcW w:w="9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Exercise</w:t>
            </w:r>
          </w:p>
        </w:tc>
        <w:tc>
          <w:tcPr>
            <w:tcW w:w="4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3</w:t>
            </w:r>
          </w:p>
        </w:tc>
        <w:tc>
          <w:tcPr>
            <w:tcW w:w="23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Unannounced fault; responder uses </w:t>
            </w:r>
            <w:proofErr w:type="spellStart"/>
            <w:r>
              <w:rPr>
                <w:sz w:val="20"/>
                <w:szCs w:val="20"/>
              </w:rPr>
              <w:t>runbooks</w:t>
            </w:r>
            <w:proofErr w:type="spellEnd"/>
            <w:r>
              <w:rPr>
                <w:sz w:val="20"/>
                <w:szCs w:val="20"/>
              </w:rPr>
              <w:t xml:space="preserve"> only; detect and recover timed</w:t>
            </w:r>
          </w:p>
        </w:tc>
      </w:tr>
    </w:tbl>
    <w:p w:rsidR="0099574D" w:rsidRDefault="00D6027F">
      <w:pPr>
        <w:pStyle w:val="Heading1"/>
      </w:pPr>
      <w:bookmarkStart w:id="24" w:name="_Toc100023"/>
      <w:r>
        <w:t>7. Deliverables Register</w:t>
      </w:r>
      <w:bookmarkEnd w:id="24"/>
    </w:p>
    <w:p w:rsidR="0099574D" w:rsidRDefault="00D6027F">
      <w:pPr>
        <w:spacing w:after="140"/>
        <w:jc w:val="both"/>
      </w:pPr>
      <w:r>
        <w:t xml:space="preserve">Every deliverable lands in the repository location defined by Document 04, and each carries its own acceptance criterion so that the deliverables register can be audited without reading the code. The register below lists the durable artefacts of the </w:t>
      </w:r>
      <w:proofErr w:type="spellStart"/>
      <w:r>
        <w:t>progra</w:t>
      </w:r>
      <w:r>
        <w:t>mme</w:t>
      </w:r>
      <w:proofErr w:type="spellEnd"/>
      <w:r>
        <w:t>; intermediate artefacts are not tracked.</w:t>
      </w:r>
    </w:p>
    <w:p w:rsidR="0099574D" w:rsidRDefault="00D6027F">
      <w:pPr>
        <w:keepNext/>
        <w:spacing w:before="160" w:after="100"/>
      </w:pPr>
      <w:r>
        <w:rPr>
          <w:b/>
          <w:bCs/>
          <w:color w:val="1A2330"/>
          <w:sz w:val="21"/>
          <w:szCs w:val="21"/>
        </w:rPr>
        <w:t>Table 14 — Deliverables register with acceptance criteria</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1494"/>
        <w:gridCol w:w="4130"/>
        <w:gridCol w:w="3164"/>
      </w:tblGrid>
      <w:tr w:rsidR="0099574D">
        <w:tblPrEx>
          <w:tblCellMar>
            <w:top w:w="0" w:type="dxa"/>
            <w:bottom w:w="0" w:type="dxa"/>
          </w:tblCellMar>
        </w:tblPrEx>
        <w:trPr>
          <w:cantSplit/>
          <w:tblHeader/>
        </w:trPr>
        <w:tc>
          <w:tcPr>
            <w:tcW w:w="8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Area</w:t>
            </w:r>
          </w:p>
        </w:tc>
        <w:tc>
          <w:tcPr>
            <w:tcW w:w="23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Deliverable</w:t>
            </w:r>
          </w:p>
        </w:tc>
        <w:tc>
          <w:tcPr>
            <w:tcW w:w="18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Acceptance</w:t>
            </w:r>
          </w:p>
        </w:tc>
      </w:tr>
      <w:tr w:rsidR="0099574D">
        <w:tblPrEx>
          <w:tblCellMar>
            <w:top w:w="0" w:type="dxa"/>
            <w:bottom w:w="0" w:type="dxa"/>
          </w:tblCellMar>
        </w:tblPrEx>
        <w:trPr>
          <w:cantSplit/>
        </w:trPr>
        <w:tc>
          <w:tcPr>
            <w:tcW w:w="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w:t>
            </w:r>
            <w:proofErr w:type="spellStart"/>
            <w:r>
              <w:rPr>
                <w:sz w:val="20"/>
                <w:szCs w:val="20"/>
              </w:rPr>
              <w:t>runbooks</w:t>
            </w:r>
            <w:proofErr w:type="spellEnd"/>
            <w:r>
              <w:rPr>
                <w:sz w:val="20"/>
                <w:szCs w:val="20"/>
              </w:rPr>
              <w:t>/</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Eight </w:t>
            </w:r>
            <w:proofErr w:type="spellStart"/>
            <w:r>
              <w:rPr>
                <w:sz w:val="20"/>
                <w:szCs w:val="20"/>
              </w:rPr>
              <w:t>runbooks</w:t>
            </w:r>
            <w:proofErr w:type="spellEnd"/>
            <w:r>
              <w:rPr>
                <w:sz w:val="20"/>
                <w:szCs w:val="20"/>
              </w:rPr>
              <w:t xml:space="preserve"> (broker-down, </w:t>
            </w:r>
            <w:proofErr w:type="spellStart"/>
            <w:r>
              <w:rPr>
                <w:sz w:val="20"/>
                <w:szCs w:val="20"/>
              </w:rPr>
              <w:t>isr</w:t>
            </w:r>
            <w:proofErr w:type="spellEnd"/>
            <w:r>
              <w:rPr>
                <w:sz w:val="20"/>
                <w:szCs w:val="20"/>
              </w:rPr>
              <w:t xml:space="preserve">-shrink, consumer-lag, disk-full, cert-rotation, </w:t>
            </w:r>
            <w:proofErr w:type="spellStart"/>
            <w:r>
              <w:rPr>
                <w:sz w:val="20"/>
                <w:szCs w:val="20"/>
              </w:rPr>
              <w:t>dlq</w:t>
            </w:r>
            <w:proofErr w:type="spellEnd"/>
            <w:r>
              <w:rPr>
                <w:sz w:val="20"/>
                <w:szCs w:val="20"/>
              </w:rPr>
              <w:t>-replay, rolling-upgrade, broker-expansion), each with Detect, Diagnose, Mitigate, Recover and Prevent sections</w:t>
            </w:r>
          </w:p>
        </w:tc>
        <w:tc>
          <w:tcPr>
            <w:tcW w:w="1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Each </w:t>
            </w:r>
            <w:proofErr w:type="spellStart"/>
            <w:r>
              <w:rPr>
                <w:sz w:val="20"/>
                <w:szCs w:val="20"/>
              </w:rPr>
              <w:t>runbook</w:t>
            </w:r>
            <w:proofErr w:type="spellEnd"/>
            <w:r>
              <w:rPr>
                <w:sz w:val="20"/>
                <w:szCs w:val="20"/>
              </w:rPr>
              <w:t xml:space="preserve"> is exercised during its linked drill or upgrade</w:t>
            </w:r>
            <w:r>
              <w:rPr>
                <w:sz w:val="20"/>
                <w:szCs w:val="20"/>
              </w:rPr>
              <w:t xml:space="preserve"> test</w:t>
            </w:r>
          </w:p>
        </w:tc>
      </w:tr>
      <w:tr w:rsidR="0099574D">
        <w:tblPrEx>
          <w:tblCellMar>
            <w:top w:w="0" w:type="dxa"/>
            <w:bottom w:w="0" w:type="dxa"/>
          </w:tblCellMar>
        </w:tblPrEx>
        <w:trPr>
          <w:cantSplit/>
        </w:trPr>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docs/drills/</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Six drill reports D1–D6: hypothesis, setup, fault-injection steps, observed </w:t>
            </w:r>
            <w:proofErr w:type="spellStart"/>
            <w:r>
              <w:rPr>
                <w:sz w:val="20"/>
                <w:szCs w:val="20"/>
              </w:rPr>
              <w:t>behaviour</w:t>
            </w:r>
            <w:proofErr w:type="spellEnd"/>
            <w:r>
              <w:rPr>
                <w:sz w:val="20"/>
                <w:szCs w:val="20"/>
              </w:rPr>
              <w:t>, root cause, fix, prevention and the alert that fired</w:t>
            </w:r>
          </w:p>
        </w:tc>
        <w:tc>
          <w:tcPr>
            <w:tcW w:w="1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Executed twice with consistent results; evidence stored under chaos/results/</w:t>
            </w:r>
          </w:p>
        </w:tc>
      </w:tr>
      <w:tr w:rsidR="0099574D">
        <w:tblPrEx>
          <w:tblCellMar>
            <w:top w:w="0" w:type="dxa"/>
            <w:bottom w:w="0" w:type="dxa"/>
          </w:tblCellMar>
        </w:tblPrEx>
        <w:trPr>
          <w:cantSplit/>
        </w:trPr>
        <w:tc>
          <w:tcPr>
            <w:tcW w:w="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w:t>
            </w:r>
            <w:proofErr w:type="spellStart"/>
            <w:r>
              <w:rPr>
                <w:sz w:val="20"/>
                <w:szCs w:val="20"/>
              </w:rPr>
              <w:t>adr</w:t>
            </w:r>
            <w:proofErr w:type="spellEnd"/>
            <w:r>
              <w:rPr>
                <w:sz w:val="20"/>
                <w:szCs w:val="20"/>
              </w:rPr>
              <w:t>/</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ADR-0001 to ADR-0006 per the register in Section 3.4</w:t>
            </w:r>
          </w:p>
        </w:tc>
        <w:tc>
          <w:tcPr>
            <w:tcW w:w="1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Each ADR merged by the end of the stage that raised the decision</w:t>
            </w:r>
          </w:p>
        </w:tc>
      </w:tr>
      <w:tr w:rsidR="0099574D">
        <w:tblPrEx>
          <w:tblCellMar>
            <w:top w:w="0" w:type="dxa"/>
            <w:bottom w:w="0" w:type="dxa"/>
          </w:tblCellMar>
        </w:tblPrEx>
        <w:trPr>
          <w:cantSplit/>
        </w:trPr>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lastRenderedPageBreak/>
              <w:t>docs/performance/</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baseline.md with measured throughput, p99 latency, hardware specification and bottleneck analysis</w:t>
            </w:r>
          </w:p>
        </w:tc>
        <w:tc>
          <w:tcPr>
            <w:tcW w:w="1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Published before the Stage 2 gate (M4)</w:t>
            </w:r>
          </w:p>
        </w:tc>
      </w:tr>
      <w:tr w:rsidR="0099574D">
        <w:tblPrEx>
          <w:tblCellMar>
            <w:top w:w="0" w:type="dxa"/>
            <w:bottom w:w="0" w:type="dxa"/>
          </w:tblCellMar>
        </w:tblPrEx>
        <w:trPr>
          <w:cantSplit/>
        </w:trPr>
        <w:tc>
          <w:tcPr>
            <w:tcW w:w="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docs/security/</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Threat model and ACL matrix matching </w:t>
            </w:r>
            <w:proofErr w:type="spellStart"/>
            <w:r>
              <w:rPr>
                <w:sz w:val="20"/>
                <w:szCs w:val="20"/>
              </w:rPr>
              <w:t>kafka</w:t>
            </w:r>
            <w:proofErr w:type="spellEnd"/>
            <w:r>
              <w:rPr>
                <w:sz w:val="20"/>
                <w:szCs w:val="20"/>
              </w:rPr>
              <w:t>-config/</w:t>
            </w:r>
            <w:proofErr w:type="spellStart"/>
            <w:r>
              <w:rPr>
                <w:sz w:val="20"/>
                <w:szCs w:val="20"/>
              </w:rPr>
              <w:t>acls.yaml</w:t>
            </w:r>
            <w:proofErr w:type="spellEnd"/>
          </w:p>
        </w:tc>
        <w:tc>
          <w:tcPr>
            <w:tcW w:w="1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T8 negative tests pass; matrix and runtime ACLs agree</w:t>
            </w:r>
          </w:p>
        </w:tc>
      </w:tr>
      <w:tr w:rsidR="0099574D">
        <w:tblPrEx>
          <w:tblCellMar>
            <w:top w:w="0" w:type="dxa"/>
            <w:bottom w:w="0" w:type="dxa"/>
          </w:tblCellMar>
        </w:tblPrEx>
        <w:trPr>
          <w:cantSplit/>
        </w:trPr>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docs/operations/</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Deployment guide and configuration standards</w:t>
            </w:r>
          </w:p>
        </w:tc>
        <w:tc>
          <w:tcPr>
            <w:tcW w:w="1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 new reader brings up the stack from the guide alone</w:t>
            </w:r>
          </w:p>
        </w:tc>
      </w:tr>
      <w:tr w:rsidR="0099574D">
        <w:tblPrEx>
          <w:tblCellMar>
            <w:top w:w="0" w:type="dxa"/>
            <w:bottom w:w="0" w:type="dxa"/>
          </w:tblCellMar>
        </w:tblPrEx>
        <w:trPr>
          <w:cantSplit/>
        </w:trPr>
        <w:tc>
          <w:tcPr>
            <w:tcW w:w="850" w:type="pct"/>
            <w:shd w:val="clear" w:color="auto" w:fill="FFFFFF"/>
            <w:tcMar>
              <w:top w:w="70" w:type="dxa"/>
              <w:left w:w="110" w:type="dxa"/>
              <w:bottom w:w="70" w:type="dxa"/>
              <w:right w:w="110" w:type="dxa"/>
            </w:tcMar>
            <w:vAlign w:val="center"/>
          </w:tcPr>
          <w:p w:rsidR="0099574D" w:rsidRDefault="00D6027F">
            <w:pPr>
              <w:spacing w:line="276" w:lineRule="auto"/>
            </w:pPr>
            <w:proofErr w:type="spellStart"/>
            <w:r>
              <w:rPr>
                <w:sz w:val="20"/>
                <w:szCs w:val="20"/>
              </w:rPr>
              <w:t>kafka</w:t>
            </w:r>
            <w:proofErr w:type="spellEnd"/>
            <w:r>
              <w:rPr>
                <w:sz w:val="20"/>
                <w:szCs w:val="20"/>
              </w:rPr>
              <w:t>-config/</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proofErr w:type="spellStart"/>
            <w:r>
              <w:rPr>
                <w:sz w:val="20"/>
                <w:szCs w:val="20"/>
              </w:rPr>
              <w:t>topics.yaml</w:t>
            </w:r>
            <w:proofErr w:type="spellEnd"/>
            <w:r>
              <w:rPr>
                <w:sz w:val="20"/>
                <w:szCs w:val="20"/>
              </w:rPr>
              <w:t xml:space="preserve">, </w:t>
            </w:r>
            <w:proofErr w:type="spellStart"/>
            <w:r>
              <w:rPr>
                <w:sz w:val="20"/>
                <w:szCs w:val="20"/>
              </w:rPr>
              <w:t>acls.yaml</w:t>
            </w:r>
            <w:proofErr w:type="spellEnd"/>
            <w:r>
              <w:rPr>
                <w:sz w:val="20"/>
                <w:szCs w:val="20"/>
              </w:rPr>
              <w:t>, three .</w:t>
            </w:r>
            <w:proofErr w:type="spellStart"/>
            <w:r>
              <w:rPr>
                <w:sz w:val="20"/>
                <w:szCs w:val="20"/>
              </w:rPr>
              <w:t>avsc</w:t>
            </w:r>
            <w:proofErr w:type="spellEnd"/>
            <w:r>
              <w:rPr>
                <w:sz w:val="20"/>
                <w:szCs w:val="20"/>
              </w:rPr>
              <w:t xml:space="preserve"> schemas, connector JSON, broker templates, validate-config.py, apply and drift scripts</w:t>
            </w:r>
          </w:p>
        </w:tc>
        <w:tc>
          <w:tcPr>
            <w:tcW w:w="1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CI validation and drift checks green on main</w:t>
            </w:r>
          </w:p>
        </w:tc>
      </w:tr>
      <w:tr w:rsidR="0099574D">
        <w:tblPrEx>
          <w:tblCellMar>
            <w:top w:w="0" w:type="dxa"/>
            <w:bottom w:w="0" w:type="dxa"/>
          </w:tblCellMar>
        </w:tblPrEx>
        <w:trPr>
          <w:cantSplit/>
        </w:trPr>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security/scripts/</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gen-ca.sh, gen-broker-cert.sh, gen-client-cert.sh, rotate-certs.sh, create-scram-users.sh; idempotent, all supporting --help</w:t>
            </w:r>
          </w:p>
        </w:tc>
        <w:tc>
          <w:tcPr>
            <w:tcW w:w="1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Drill D5 rotates a certificate using rotate-certs.sh successfully</w:t>
            </w:r>
          </w:p>
        </w:tc>
      </w:tr>
      <w:tr w:rsidR="0099574D">
        <w:tblPrEx>
          <w:tblCellMar>
            <w:top w:w="0" w:type="dxa"/>
            <w:bottom w:w="0" w:type="dxa"/>
          </w:tblCellMar>
        </w:tblPrEx>
        <w:trPr>
          <w:cantSplit/>
        </w:trPr>
        <w:tc>
          <w:tcPr>
            <w:tcW w:w="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services/</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Parent POM plus common-</w:t>
            </w:r>
            <w:proofErr w:type="spellStart"/>
            <w:r>
              <w:rPr>
                <w:sz w:val="20"/>
                <w:szCs w:val="20"/>
              </w:rPr>
              <w:t>avro</w:t>
            </w:r>
            <w:proofErr w:type="spellEnd"/>
            <w:r>
              <w:rPr>
                <w:sz w:val="20"/>
                <w:szCs w:val="20"/>
              </w:rPr>
              <w:t xml:space="preserve">, </w:t>
            </w:r>
            <w:proofErr w:type="spellStart"/>
            <w:r>
              <w:rPr>
                <w:sz w:val="20"/>
                <w:szCs w:val="20"/>
              </w:rPr>
              <w:t>txn</w:t>
            </w:r>
            <w:proofErr w:type="spellEnd"/>
            <w:r>
              <w:rPr>
                <w:sz w:val="20"/>
                <w:szCs w:val="20"/>
              </w:rPr>
              <w:t xml:space="preserve">-producer, fraud-detector and </w:t>
            </w:r>
            <w:proofErr w:type="spellStart"/>
            <w:r>
              <w:rPr>
                <w:sz w:val="20"/>
                <w:szCs w:val="20"/>
              </w:rPr>
              <w:t>notifier</w:t>
            </w:r>
            <w:proofErr w:type="spellEnd"/>
            <w:r>
              <w:rPr>
                <w:sz w:val="20"/>
                <w:szCs w:val="20"/>
              </w:rPr>
              <w:t xml:space="preserve"> modules with </w:t>
            </w:r>
            <w:proofErr w:type="spellStart"/>
            <w:r>
              <w:rPr>
                <w:sz w:val="20"/>
                <w:szCs w:val="20"/>
              </w:rPr>
              <w:t>Dockerfiles</w:t>
            </w:r>
            <w:proofErr w:type="spellEnd"/>
            <w:r>
              <w:rPr>
                <w:sz w:val="20"/>
                <w:szCs w:val="20"/>
              </w:rPr>
              <w:t xml:space="preserve"> (multi-stage, non-root)</w:t>
            </w:r>
          </w:p>
        </w:tc>
        <w:tc>
          <w:tcPr>
            <w:tcW w:w="1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Coverage thresholds met; images run as non-root; compose and K8s use identical images</w:t>
            </w:r>
          </w:p>
        </w:tc>
      </w:tr>
      <w:tr w:rsidR="0099574D">
        <w:tblPrEx>
          <w:tblCellMar>
            <w:top w:w="0" w:type="dxa"/>
            <w:bottom w:w="0" w:type="dxa"/>
          </w:tblCellMar>
        </w:tblPrEx>
        <w:trPr>
          <w:cantSplit/>
        </w:trPr>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monitoring/</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Provisioned </w:t>
            </w:r>
            <w:proofErr w:type="spellStart"/>
            <w:r>
              <w:rPr>
                <w:sz w:val="20"/>
                <w:szCs w:val="20"/>
              </w:rPr>
              <w:t>Grafana</w:t>
            </w:r>
            <w:proofErr w:type="spellEnd"/>
            <w:r>
              <w:rPr>
                <w:sz w:val="20"/>
                <w:szCs w:val="20"/>
              </w:rPr>
              <w:t xml:space="preserve"> dashboards, Prometheus rules, </w:t>
            </w:r>
            <w:proofErr w:type="spellStart"/>
            <w:r>
              <w:rPr>
                <w:sz w:val="20"/>
                <w:szCs w:val="20"/>
              </w:rPr>
              <w:t>Alertmanager</w:t>
            </w:r>
            <w:proofErr w:type="spellEnd"/>
            <w:r>
              <w:rPr>
                <w:sz w:val="20"/>
                <w:szCs w:val="20"/>
              </w:rPr>
              <w:t xml:space="preserve"> routing, Loki configuration, JMX exporter </w:t>
            </w:r>
            <w:proofErr w:type="spellStart"/>
            <w:r>
              <w:rPr>
                <w:sz w:val="20"/>
                <w:szCs w:val="20"/>
              </w:rPr>
              <w:t>configs</w:t>
            </w:r>
            <w:proofErr w:type="spellEnd"/>
          </w:p>
        </w:tc>
        <w:tc>
          <w:tcPr>
            <w:tcW w:w="1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Every Must-level failure mode covered by a rule; drills capture alerts firing</w:t>
            </w:r>
          </w:p>
        </w:tc>
      </w:tr>
      <w:tr w:rsidR="0099574D">
        <w:tblPrEx>
          <w:tblCellMar>
            <w:top w:w="0" w:type="dxa"/>
            <w:bottom w:w="0" w:type="dxa"/>
          </w:tblCellMar>
        </w:tblPrEx>
        <w:trPr>
          <w:cantSplit/>
        </w:trPr>
        <w:tc>
          <w:tcPr>
            <w:tcW w:w="8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chaos/</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d1–d6 drill scripts, shared lib helpers, timestamped evidence per run</w:t>
            </w:r>
          </w:p>
        </w:tc>
        <w:tc>
          <w:tcPr>
            <w:tcW w:w="1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Each script supports --help and re-runs cleanly</w:t>
            </w:r>
          </w:p>
        </w:tc>
      </w:tr>
      <w:tr w:rsidR="0099574D">
        <w:tblPrEx>
          <w:tblCellMar>
            <w:top w:w="0" w:type="dxa"/>
            <w:bottom w:w="0" w:type="dxa"/>
          </w:tblCellMar>
        </w:tblPrEx>
        <w:trPr>
          <w:cantSplit/>
        </w:trPr>
        <w:tc>
          <w:tcPr>
            <w:tcW w:w="8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tests/ and workflows/</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Integration, security, contract, performance and upgrade suites; </w:t>
            </w:r>
            <w:proofErr w:type="spellStart"/>
            <w:r>
              <w:rPr>
                <w:sz w:val="20"/>
                <w:szCs w:val="20"/>
              </w:rPr>
              <w:t>ci.yml</w:t>
            </w:r>
            <w:proofErr w:type="spellEnd"/>
            <w:r>
              <w:rPr>
                <w:sz w:val="20"/>
                <w:szCs w:val="20"/>
              </w:rPr>
              <w:t>, config-</w:t>
            </w:r>
            <w:proofErr w:type="spellStart"/>
            <w:r>
              <w:rPr>
                <w:sz w:val="20"/>
                <w:szCs w:val="20"/>
              </w:rPr>
              <w:t>validate.yml</w:t>
            </w:r>
            <w:proofErr w:type="spellEnd"/>
            <w:r>
              <w:rPr>
                <w:sz w:val="20"/>
                <w:szCs w:val="20"/>
              </w:rPr>
              <w:t xml:space="preserve">, </w:t>
            </w:r>
            <w:proofErr w:type="spellStart"/>
            <w:r>
              <w:rPr>
                <w:sz w:val="20"/>
                <w:szCs w:val="20"/>
              </w:rPr>
              <w:t>release.yml</w:t>
            </w:r>
            <w:proofErr w:type="spellEnd"/>
          </w:p>
        </w:tc>
        <w:tc>
          <w:tcPr>
            <w:tcW w:w="1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CI green including security and lint stages</w:t>
            </w:r>
          </w:p>
        </w:tc>
      </w:tr>
      <w:tr w:rsidR="0099574D">
        <w:tblPrEx>
          <w:tblCellMar>
            <w:top w:w="0" w:type="dxa"/>
            <w:bottom w:w="0" w:type="dxa"/>
          </w:tblCellMar>
        </w:tblPrEx>
        <w:trPr>
          <w:cantSplit/>
        </w:trPr>
        <w:tc>
          <w:tcPr>
            <w:tcW w:w="850" w:type="pct"/>
            <w:shd w:val="clear" w:color="auto" w:fill="FFFFFF"/>
            <w:tcMar>
              <w:top w:w="70" w:type="dxa"/>
              <w:left w:w="110" w:type="dxa"/>
              <w:bottom w:w="70" w:type="dxa"/>
              <w:right w:w="110" w:type="dxa"/>
            </w:tcMar>
            <w:vAlign w:val="center"/>
          </w:tcPr>
          <w:p w:rsidR="0099574D" w:rsidRDefault="00D6027F">
            <w:pPr>
              <w:spacing w:line="276" w:lineRule="auto"/>
            </w:pPr>
            <w:proofErr w:type="spellStart"/>
            <w:r>
              <w:rPr>
                <w:sz w:val="20"/>
                <w:szCs w:val="20"/>
              </w:rPr>
              <w:t>Makefile</w:t>
            </w:r>
            <w:proofErr w:type="spellEnd"/>
            <w:r>
              <w:rPr>
                <w:sz w:val="20"/>
                <w:szCs w:val="20"/>
              </w:rPr>
              <w:t xml:space="preserve"> and scripts/</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make up, down, certs, topics, </w:t>
            </w:r>
            <w:proofErr w:type="spellStart"/>
            <w:r>
              <w:rPr>
                <w:sz w:val="20"/>
                <w:szCs w:val="20"/>
              </w:rPr>
              <w:t>acls</w:t>
            </w:r>
            <w:proofErr w:type="spellEnd"/>
            <w:r>
              <w:rPr>
                <w:sz w:val="20"/>
                <w:szCs w:val="20"/>
              </w:rPr>
              <w:t>, test, drill-d1 to drill-d6; bootstrap.sh, wait-for-cluster.sh, collect-diagnostics.sh</w:t>
            </w:r>
          </w:p>
        </w:tc>
        <w:tc>
          <w:tcPr>
            <w:tcW w:w="1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Cold start reproduced on a clean machine (G1)</w:t>
            </w:r>
          </w:p>
        </w:tc>
      </w:tr>
    </w:tbl>
    <w:p w:rsidR="0099574D" w:rsidRDefault="00D6027F">
      <w:pPr>
        <w:pStyle w:val="Heading1"/>
      </w:pPr>
      <w:bookmarkStart w:id="25" w:name="_Toc100024"/>
      <w:r>
        <w:t>8. Quality Management</w:t>
      </w:r>
      <w:bookmarkEnd w:id="25"/>
    </w:p>
    <w:p w:rsidR="0099574D" w:rsidRDefault="00D6027F">
      <w:pPr>
        <w:pStyle w:val="Heading2"/>
      </w:pPr>
      <w:bookmarkStart w:id="26" w:name="_Toc100025"/>
      <w:r>
        <w:t>8.1 Definition of Done</w:t>
      </w:r>
      <w:bookmarkEnd w:id="26"/>
    </w:p>
    <w:p w:rsidR="0099574D" w:rsidRDefault="00D6027F">
      <w:pPr>
        <w:spacing w:after="140"/>
        <w:jc w:val="both"/>
      </w:pPr>
      <w:r>
        <w:t>The lifecycle Definition of Done applies to every work item in every stage without exception. A work package with any item below unmet is not complete, regardless of its calendar position:</w:t>
      </w:r>
    </w:p>
    <w:p w:rsidR="0099574D" w:rsidRDefault="00D6027F">
      <w:pPr>
        <w:pStyle w:val="ListParagraph"/>
        <w:numPr>
          <w:ilvl w:val="0"/>
          <w:numId w:val="3"/>
        </w:numPr>
        <w:spacing w:after="80"/>
        <w:jc w:val="both"/>
      </w:pPr>
      <w:r>
        <w:t xml:space="preserve">Code or configuration </w:t>
      </w:r>
      <w:r>
        <w:t>merged through a pull request with CI green.</w:t>
      </w:r>
    </w:p>
    <w:p w:rsidR="0099574D" w:rsidRDefault="00D6027F">
      <w:pPr>
        <w:pStyle w:val="ListParagraph"/>
        <w:numPr>
          <w:ilvl w:val="0"/>
          <w:numId w:val="3"/>
        </w:numPr>
        <w:spacing w:after="80"/>
        <w:jc w:val="both"/>
      </w:pPr>
      <w:r>
        <w:t>Tests written at the appropriate level and passing.</w:t>
      </w:r>
    </w:p>
    <w:p w:rsidR="0099574D" w:rsidRDefault="00D6027F">
      <w:pPr>
        <w:pStyle w:val="ListParagraph"/>
        <w:numPr>
          <w:ilvl w:val="0"/>
          <w:numId w:val="3"/>
        </w:numPr>
        <w:spacing w:after="80"/>
        <w:jc w:val="both"/>
      </w:pPr>
      <w:r>
        <w:t>Configuration lint passing and no new high-severity scan findings introduced.</w:t>
      </w:r>
    </w:p>
    <w:p w:rsidR="0099574D" w:rsidRDefault="00D6027F">
      <w:pPr>
        <w:pStyle w:val="ListParagraph"/>
        <w:numPr>
          <w:ilvl w:val="0"/>
          <w:numId w:val="3"/>
        </w:numPr>
        <w:spacing w:after="80"/>
        <w:jc w:val="both"/>
      </w:pPr>
      <w:r>
        <w:t xml:space="preserve">Documentation or </w:t>
      </w:r>
      <w:proofErr w:type="spellStart"/>
      <w:r>
        <w:t>runbooks</w:t>
      </w:r>
      <w:proofErr w:type="spellEnd"/>
      <w:r>
        <w:t xml:space="preserve"> updated whenever </w:t>
      </w:r>
      <w:proofErr w:type="spellStart"/>
      <w:r>
        <w:t>behaviour</w:t>
      </w:r>
      <w:proofErr w:type="spellEnd"/>
      <w:r>
        <w:t xml:space="preserve"> or operations changed.</w:t>
      </w:r>
    </w:p>
    <w:p w:rsidR="0099574D" w:rsidRDefault="00D6027F">
      <w:pPr>
        <w:pStyle w:val="ListParagraph"/>
        <w:numPr>
          <w:ilvl w:val="0"/>
          <w:numId w:val="3"/>
        </w:numPr>
        <w:spacing w:after="80"/>
        <w:jc w:val="both"/>
      </w:pPr>
      <w:r>
        <w:lastRenderedPageBreak/>
        <w:t>Obser</w:t>
      </w:r>
      <w:r>
        <w:t>vability considered: a metric, log field or alert added wherever a new failure mode was introduced.</w:t>
      </w:r>
    </w:p>
    <w:p w:rsidR="0099574D" w:rsidRDefault="00D6027F">
      <w:pPr>
        <w:pStyle w:val="ListParagraph"/>
        <w:numPr>
          <w:ilvl w:val="0"/>
          <w:numId w:val="3"/>
        </w:numPr>
        <w:spacing w:after="80"/>
        <w:jc w:val="both"/>
      </w:pPr>
      <w:r>
        <w:t>Reproducible through a make target or a documented command.</w:t>
      </w:r>
    </w:p>
    <w:p w:rsidR="0099574D" w:rsidRDefault="00D6027F">
      <w:pPr>
        <w:pStyle w:val="ListParagraph"/>
        <w:numPr>
          <w:ilvl w:val="0"/>
          <w:numId w:val="3"/>
        </w:numPr>
        <w:spacing w:after="80"/>
        <w:jc w:val="both"/>
      </w:pPr>
      <w:r>
        <w:t>Traceability updated: affected FR, drill and test references reflect the delivered state.</w:t>
      </w:r>
    </w:p>
    <w:p w:rsidR="0099574D" w:rsidRDefault="00D6027F">
      <w:pPr>
        <w:pStyle w:val="Heading2"/>
      </w:pPr>
      <w:bookmarkStart w:id="27" w:name="_Toc100026"/>
      <w:r>
        <w:t>8.2 Te</w:t>
      </w:r>
      <w:r>
        <w:t>st Strategy and Targets</w:t>
      </w:r>
      <w:bookmarkEnd w:id="27"/>
    </w:p>
    <w:p w:rsidR="0099574D" w:rsidRDefault="00D6027F">
      <w:pPr>
        <w:spacing w:after="140"/>
        <w:jc w:val="both"/>
      </w:pPr>
      <w:r>
        <w:t xml:space="preserve">Verification is layered per the lifecycle: unit tests for rule and mapping logic, </w:t>
      </w:r>
      <w:proofErr w:type="spellStart"/>
      <w:r>
        <w:t>TopologyTestDriver</w:t>
      </w:r>
      <w:proofErr w:type="spellEnd"/>
      <w:r>
        <w:t xml:space="preserve"> for stream topology, </w:t>
      </w:r>
      <w:proofErr w:type="spellStart"/>
      <w:r>
        <w:t>Testcontainers</w:t>
      </w:r>
      <w:proofErr w:type="spellEnd"/>
      <w:r>
        <w:t xml:space="preserve"> for cross-service </w:t>
      </w:r>
      <w:proofErr w:type="spellStart"/>
      <w:r>
        <w:t>behaviour</w:t>
      </w:r>
      <w:proofErr w:type="spellEnd"/>
      <w:r>
        <w:t>, registry compatibility checks as CI contract tests, scripted negat</w:t>
      </w:r>
      <w:r>
        <w:t xml:space="preserve">ive tests for security, and scripted drills for failure </w:t>
      </w:r>
      <w:proofErr w:type="spellStart"/>
      <w:r>
        <w:t>behaviour</w:t>
      </w:r>
      <w:proofErr w:type="spellEnd"/>
      <w:r>
        <w:t>. The binding targets are:</w:t>
      </w:r>
    </w:p>
    <w:p w:rsidR="0099574D" w:rsidRDefault="00D6027F">
      <w:pPr>
        <w:pStyle w:val="ListParagraph"/>
        <w:numPr>
          <w:ilvl w:val="0"/>
          <w:numId w:val="4"/>
        </w:numPr>
        <w:spacing w:after="80"/>
        <w:jc w:val="both"/>
      </w:pPr>
      <w:r>
        <w:t>Line coverage of at least 70 percent on service modules, with 90 percent or more on fraud-rule and idempotency logic.</w:t>
      </w:r>
    </w:p>
    <w:p w:rsidR="0099574D" w:rsidRDefault="00D6027F">
      <w:pPr>
        <w:pStyle w:val="ListParagraph"/>
        <w:numPr>
          <w:ilvl w:val="0"/>
          <w:numId w:val="4"/>
        </w:numPr>
        <w:spacing w:after="80"/>
        <w:jc w:val="both"/>
      </w:pPr>
      <w:r>
        <w:t>Every Must-level functional requirement verified by at least one automated test; every Should-level requirement by at least one automated or scripted test.</w:t>
      </w:r>
    </w:p>
    <w:p w:rsidR="0099574D" w:rsidRDefault="00D6027F">
      <w:pPr>
        <w:pStyle w:val="ListParagraph"/>
        <w:numPr>
          <w:ilvl w:val="0"/>
          <w:numId w:val="4"/>
        </w:numPr>
        <w:spacing w:after="80"/>
        <w:jc w:val="both"/>
      </w:pPr>
      <w:r>
        <w:t>Every failure drill executed twice with consistent results before its report is accepted; evidence r</w:t>
      </w:r>
      <w:r>
        <w:t>etained under chaos/results/.</w:t>
      </w:r>
    </w:p>
    <w:p w:rsidR="0099574D" w:rsidRDefault="00D6027F">
      <w:pPr>
        <w:pStyle w:val="ListParagraph"/>
        <w:numPr>
          <w:ilvl w:val="0"/>
          <w:numId w:val="4"/>
        </w:numPr>
        <w:spacing w:after="80"/>
        <w:jc w:val="both"/>
      </w:pPr>
      <w:r>
        <w:t>Drills remain runnable after delivery and are scheduled in nightly CI where the hardware allows, preventing drill rot.</w:t>
      </w:r>
    </w:p>
    <w:p w:rsidR="0099574D" w:rsidRDefault="00D6027F">
      <w:pPr>
        <w:pStyle w:val="ListParagraph"/>
        <w:numPr>
          <w:ilvl w:val="0"/>
          <w:numId w:val="4"/>
        </w:numPr>
        <w:spacing w:after="80"/>
        <w:jc w:val="both"/>
      </w:pPr>
      <w:r>
        <w:t>Security and lint stages are blocking: a red security or lint job blocks merge exactly as a failing test do</w:t>
      </w:r>
      <w:r>
        <w:t>es.</w:t>
      </w:r>
    </w:p>
    <w:p w:rsidR="0099574D" w:rsidRDefault="00D6027F">
      <w:pPr>
        <w:pStyle w:val="Heading2"/>
      </w:pPr>
      <w:bookmarkStart w:id="28" w:name="_Toc100027"/>
      <w:r>
        <w:t>8.3 Stage Gate Exit Criteria</w:t>
      </w:r>
      <w:bookmarkEnd w:id="28"/>
    </w:p>
    <w:p w:rsidR="0099574D" w:rsidRDefault="00D6027F">
      <w:pPr>
        <w:spacing w:after="140"/>
        <w:jc w:val="both"/>
      </w:pPr>
      <w:r>
        <w:t xml:space="preserve">The gates are the </w:t>
      </w:r>
      <w:proofErr w:type="spellStart"/>
      <w:r>
        <w:t>programme's</w:t>
      </w:r>
      <w:proofErr w:type="spellEnd"/>
      <w:r>
        <w:t xml:space="preserve"> control points. The criteria below are quoted from the lifecycle and are binding; a gate is passed only when every criterion is demonstrably met and the evidence is committed.</w:t>
      </w:r>
    </w:p>
    <w:p w:rsidR="0099574D" w:rsidRDefault="00D6027F">
      <w:pPr>
        <w:keepNext/>
        <w:spacing w:before="160" w:after="100"/>
      </w:pPr>
      <w:r>
        <w:rPr>
          <w:b/>
          <w:bCs/>
          <w:color w:val="1A2330"/>
          <w:sz w:val="21"/>
          <w:szCs w:val="21"/>
        </w:rPr>
        <w:t xml:space="preserve">Table 15 — Stage </w:t>
      </w:r>
      <w:r>
        <w:rPr>
          <w:b/>
          <w:bCs/>
          <w:color w:val="1A2330"/>
          <w:sz w:val="21"/>
          <w:szCs w:val="21"/>
        </w:rPr>
        <w:t>gate exit criteria</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879"/>
        <w:gridCol w:w="1406"/>
        <w:gridCol w:w="6503"/>
      </w:tblGrid>
      <w:tr w:rsidR="0099574D">
        <w:tblPrEx>
          <w:tblCellMar>
            <w:top w:w="0" w:type="dxa"/>
            <w:bottom w:w="0" w:type="dxa"/>
          </w:tblCellMar>
        </w:tblPrEx>
        <w:trPr>
          <w:cantSplit/>
          <w:tblHeader/>
        </w:trPr>
        <w:tc>
          <w:tcPr>
            <w:tcW w:w="5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Gate</w:t>
            </w:r>
          </w:p>
        </w:tc>
        <w:tc>
          <w:tcPr>
            <w:tcW w:w="8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When</w:t>
            </w:r>
          </w:p>
        </w:tc>
        <w:tc>
          <w:tcPr>
            <w:tcW w:w="37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Exit criteria (all mandatory)</w:t>
            </w:r>
          </w:p>
        </w:tc>
      </w:tr>
      <w:tr w:rsidR="0099574D">
        <w:tblPrEx>
          <w:tblCellMar>
            <w:top w:w="0" w:type="dxa"/>
            <w:bottom w:w="0" w:type="dxa"/>
          </w:tblCellMar>
        </w:tblPrEx>
        <w:trPr>
          <w:cantSplit/>
        </w:trPr>
        <w:tc>
          <w:tcPr>
            <w:tcW w:w="5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G0</w:t>
            </w:r>
          </w:p>
        </w:tc>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14 Oct 2026</w:t>
            </w:r>
          </w:p>
        </w:tc>
        <w:tc>
          <w:tcPr>
            <w:tcW w:w="3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Every prototype module answered its question in writing; resource measurements and chosen heap sizes recorded; topology, listener-layout, partition-count and schema-strategy ADRs exist.</w:t>
            </w:r>
          </w:p>
        </w:tc>
      </w:tr>
      <w:tr w:rsidR="0099574D">
        <w:tblPrEx>
          <w:tblCellMar>
            <w:top w:w="0" w:type="dxa"/>
            <w:bottom w:w="0" w:type="dxa"/>
          </w:tblCellMar>
        </w:tblPrEx>
        <w:trPr>
          <w:cantSplit/>
        </w:trPr>
        <w:tc>
          <w:tcPr>
            <w:tcW w:w="5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G1</w:t>
            </w:r>
          </w:p>
        </w:tc>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25 Oct 2026</w:t>
            </w:r>
          </w:p>
        </w:tc>
        <w:tc>
          <w:tcPr>
            <w:tcW w:w="3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Cold start to the working flow in one command, reproduced on a clean machine or VM; end-to-end flow runs 10 minutes at 100 </w:t>
            </w:r>
            <w:proofErr w:type="spellStart"/>
            <w:r>
              <w:rPr>
                <w:sz w:val="20"/>
                <w:szCs w:val="20"/>
              </w:rPr>
              <w:t>msg</w:t>
            </w:r>
            <w:proofErr w:type="spellEnd"/>
            <w:r>
              <w:rPr>
                <w:sz w:val="20"/>
                <w:szCs w:val="20"/>
              </w:rPr>
              <w:t>/s with no errors; CI green; known limitations listed.</w:t>
            </w:r>
          </w:p>
        </w:tc>
      </w:tr>
      <w:tr w:rsidR="0099574D">
        <w:tblPrEx>
          <w:tblCellMar>
            <w:top w:w="0" w:type="dxa"/>
            <w:bottom w:w="0" w:type="dxa"/>
          </w:tblCellMar>
        </w:tblPrEx>
        <w:trPr>
          <w:cantSplit/>
        </w:trPr>
        <w:tc>
          <w:tcPr>
            <w:tcW w:w="5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lastRenderedPageBreak/>
              <w:t>G2</w:t>
            </w:r>
          </w:p>
        </w:tc>
        <w:tc>
          <w:tcPr>
            <w:tcW w:w="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15 Nov 2026</w:t>
            </w:r>
          </w:p>
        </w:tc>
        <w:tc>
          <w:tcPr>
            <w:tcW w:w="37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Six of six drills documented with RCA and </w:t>
            </w:r>
            <w:proofErr w:type="spellStart"/>
            <w:r>
              <w:rPr>
                <w:sz w:val="20"/>
                <w:szCs w:val="20"/>
              </w:rPr>
              <w:t>runbook</w:t>
            </w:r>
            <w:proofErr w:type="spellEnd"/>
            <w:r>
              <w:rPr>
                <w:sz w:val="20"/>
                <w:szCs w:val="20"/>
              </w:rPr>
              <w:t>, each executed twice; zero lost and zero duplicated messages in the D1 30-minute run; rolling upgrade completed with zero producer errors; CI green on main including security and lint stages; performance ba</w:t>
            </w:r>
            <w:r>
              <w:rPr>
                <w:sz w:val="20"/>
                <w:szCs w:val="20"/>
              </w:rPr>
              <w:t>seline published with hardware stated; a reviewer reproduces D1 from the documentation alone.</w:t>
            </w:r>
          </w:p>
        </w:tc>
      </w:tr>
      <w:tr w:rsidR="0099574D">
        <w:tblPrEx>
          <w:tblCellMar>
            <w:top w:w="0" w:type="dxa"/>
            <w:bottom w:w="0" w:type="dxa"/>
          </w:tblCellMar>
        </w:tblPrEx>
        <w:trPr>
          <w:cantSplit/>
        </w:trPr>
        <w:tc>
          <w:tcPr>
            <w:tcW w:w="5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G3</w:t>
            </w:r>
          </w:p>
        </w:tc>
        <w:tc>
          <w:tcPr>
            <w:tcW w:w="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13 Dec 2026</w:t>
            </w:r>
          </w:p>
        </w:tc>
        <w:tc>
          <w:tcPr>
            <w:tcW w:w="37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Entire stack deployed from Git with destroy-and-recreate verified; DR failover and restore executed successfully and timed; SLOs observed for two weeks with alert routing correct; no unresolved critical or high findings; a person who did not build the syst</w:t>
            </w:r>
            <w:r>
              <w:rPr>
                <w:sz w:val="20"/>
                <w:szCs w:val="20"/>
              </w:rPr>
              <w:t xml:space="preserve">em executes a </w:t>
            </w:r>
            <w:proofErr w:type="spellStart"/>
            <w:r>
              <w:rPr>
                <w:sz w:val="20"/>
                <w:szCs w:val="20"/>
              </w:rPr>
              <w:t>runbook</w:t>
            </w:r>
            <w:proofErr w:type="spellEnd"/>
            <w:r>
              <w:rPr>
                <w:sz w:val="20"/>
                <w:szCs w:val="20"/>
              </w:rPr>
              <w:t xml:space="preserve"> in a game day; licensing inventory complete; limitations stated honestly.</w:t>
            </w:r>
          </w:p>
        </w:tc>
      </w:tr>
    </w:tbl>
    <w:p w:rsidR="0099574D" w:rsidRDefault="00D6027F">
      <w:pPr>
        <w:pStyle w:val="Heading1"/>
      </w:pPr>
      <w:bookmarkStart w:id="29" w:name="_Toc100028"/>
      <w:r>
        <w:t>9. Risk Management</w:t>
      </w:r>
      <w:bookmarkEnd w:id="29"/>
    </w:p>
    <w:p w:rsidR="0099574D" w:rsidRDefault="00D6027F">
      <w:pPr>
        <w:spacing w:after="140"/>
        <w:jc w:val="both"/>
      </w:pPr>
      <w:r>
        <w:t xml:space="preserve">The register consolidates the PRD risks, the lifecycle's risks to itself, and delivery risks specific to a solo </w:t>
      </w:r>
      <w:proofErr w:type="spellStart"/>
      <w:r>
        <w:t>programme</w:t>
      </w:r>
      <w:proofErr w:type="spellEnd"/>
      <w:r>
        <w:t>. It is reviewed at every stage gate; new risks are added with an owner and a mitigation, and retired risks are kept for the record. Li</w:t>
      </w:r>
      <w:r>
        <w:t>kelihood and impact are rated High, Medium or Low.</w:t>
      </w:r>
    </w:p>
    <w:p w:rsidR="0099574D" w:rsidRDefault="00D6027F">
      <w:pPr>
        <w:keepNext/>
        <w:spacing w:before="160" w:after="100"/>
      </w:pPr>
      <w:r>
        <w:rPr>
          <w:b/>
          <w:bCs/>
          <w:color w:val="1A2330"/>
          <w:sz w:val="21"/>
          <w:szCs w:val="21"/>
        </w:rPr>
        <w:t>Table 16 — Risk register</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615"/>
        <w:gridCol w:w="2109"/>
        <w:gridCol w:w="967"/>
        <w:gridCol w:w="967"/>
        <w:gridCol w:w="4130"/>
      </w:tblGrid>
      <w:tr w:rsidR="0099574D">
        <w:tblPrEx>
          <w:tblCellMar>
            <w:top w:w="0" w:type="dxa"/>
            <w:bottom w:w="0" w:type="dxa"/>
          </w:tblCellMar>
        </w:tblPrEx>
        <w:trPr>
          <w:cantSplit/>
          <w:tblHeader/>
        </w:trPr>
        <w:tc>
          <w:tcPr>
            <w:tcW w:w="3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ID</w:t>
            </w:r>
          </w:p>
        </w:tc>
        <w:tc>
          <w:tcPr>
            <w:tcW w:w="12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Risk</w:t>
            </w:r>
          </w:p>
        </w:tc>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L</w:t>
            </w:r>
          </w:p>
        </w:tc>
        <w:tc>
          <w:tcPr>
            <w:tcW w:w="5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I</w:t>
            </w:r>
          </w:p>
        </w:tc>
        <w:tc>
          <w:tcPr>
            <w:tcW w:w="235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Mitigation</w:t>
            </w:r>
          </w:p>
        </w:tc>
      </w:tr>
      <w:tr w:rsidR="0099574D">
        <w:tblPrEx>
          <w:tblCellMar>
            <w:top w:w="0" w:type="dxa"/>
            <w:bottom w:w="0" w:type="dxa"/>
          </w:tblCellMar>
        </w:tblPrEx>
        <w:trPr>
          <w:cantSplit/>
        </w:trPr>
        <w:tc>
          <w:tcPr>
            <w:tcW w:w="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R1</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Scope creep: the bot, Kubernetes and DR attempted at once</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High</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High</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proofErr w:type="spellStart"/>
            <w:r>
              <w:rPr>
                <w:sz w:val="20"/>
                <w:szCs w:val="20"/>
              </w:rPr>
              <w:t>MoSCoW</w:t>
            </w:r>
            <w:proofErr w:type="spellEnd"/>
            <w:r>
              <w:rPr>
                <w:sz w:val="20"/>
                <w:szCs w:val="20"/>
              </w:rPr>
              <w:t xml:space="preserve"> discipline; hard stage gates; Could items admitted only after the Stage 2 exit; change control in Section 11.3</w:t>
            </w:r>
          </w:p>
        </w:tc>
      </w:tr>
      <w:tr w:rsidR="0099574D">
        <w:tblPrEx>
          <w:tblCellMar>
            <w:top w:w="0" w:type="dxa"/>
            <w:bottom w:w="0" w:type="dxa"/>
          </w:tblCellMar>
        </w:tblPrEx>
        <w:trPr>
          <w:cantSplit/>
        </w:trPr>
        <w:tc>
          <w:tcPr>
            <w:tcW w:w="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R2</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Reference hardware too small for the full stack</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WP0.1 measures resources before commitment; reduced broker heaps and message rates; small cloud VM as fallback</w:t>
            </w:r>
          </w:p>
        </w:tc>
      </w:tr>
      <w:tr w:rsidR="0099574D">
        <w:tblPrEx>
          <w:tblCellMar>
            <w:top w:w="0" w:type="dxa"/>
            <w:bottom w:w="0" w:type="dxa"/>
          </w:tblCellMar>
        </w:tblPrEx>
        <w:trPr>
          <w:cantSplit/>
        </w:trPr>
        <w:tc>
          <w:tcPr>
            <w:tcW w:w="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R3</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Commercial </w:t>
            </w:r>
            <w:proofErr w:type="spellStart"/>
            <w:r>
              <w:rPr>
                <w:sz w:val="20"/>
                <w:szCs w:val="20"/>
              </w:rPr>
              <w:t>licence</w:t>
            </w:r>
            <w:proofErr w:type="spellEnd"/>
            <w:r>
              <w:rPr>
                <w:sz w:val="20"/>
                <w:szCs w:val="20"/>
              </w:rPr>
              <w:t xml:space="preserve"> or trial expiry breaks the plan</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Apache Kafka plus community-licensed components as default; commercial components isolated behind a written </w:t>
            </w:r>
            <w:proofErr w:type="spellStart"/>
            <w:r>
              <w:rPr>
                <w:sz w:val="20"/>
                <w:szCs w:val="20"/>
              </w:rPr>
              <w:t>licence</w:t>
            </w:r>
            <w:proofErr w:type="spellEnd"/>
            <w:r>
              <w:rPr>
                <w:sz w:val="20"/>
                <w:szCs w:val="20"/>
              </w:rPr>
              <w:t xml:space="preserve"> check</w:t>
            </w:r>
          </w:p>
        </w:tc>
      </w:tr>
      <w:tr w:rsidR="0099574D">
        <w:tblPrEx>
          <w:tblCellMar>
            <w:top w:w="0" w:type="dxa"/>
            <w:bottom w:w="0" w:type="dxa"/>
          </w:tblCellMar>
        </w:tblPrEx>
        <w:trPr>
          <w:cantSplit/>
        </w:trPr>
        <w:tc>
          <w:tcPr>
            <w:tcW w:w="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R4</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Certificate or ACL misconfiguration blocks progress</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High</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Low</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Scripted certificate generation from Stage 0; security work packages first in Stage 2; ADR log records listener decisions</w:t>
            </w:r>
          </w:p>
        </w:tc>
      </w:tr>
      <w:tr w:rsidR="0099574D">
        <w:tblPrEx>
          <w:tblCellMar>
            <w:top w:w="0" w:type="dxa"/>
            <w:bottom w:w="0" w:type="dxa"/>
          </w:tblCellMar>
        </w:tblPrEx>
        <w:trPr>
          <w:cantSplit/>
        </w:trPr>
        <w:tc>
          <w:tcPr>
            <w:tcW w:w="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R5</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Drills not reproducible, undermining the core claim</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High</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Every drill is a script plus a document; each executed twice before being claimed; evidence retained under chaos/results/</w:t>
            </w:r>
          </w:p>
        </w:tc>
      </w:tr>
      <w:tr w:rsidR="0099574D">
        <w:tblPrEx>
          <w:tblCellMar>
            <w:top w:w="0" w:type="dxa"/>
            <w:bottom w:w="0" w:type="dxa"/>
          </w:tblCellMar>
        </w:tblPrEx>
        <w:trPr>
          <w:cantSplit/>
        </w:trPr>
        <w:tc>
          <w:tcPr>
            <w:tcW w:w="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R6</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proofErr w:type="spellStart"/>
            <w:r>
              <w:rPr>
                <w:sz w:val="20"/>
                <w:szCs w:val="20"/>
              </w:rPr>
              <w:t>Overclaiming</w:t>
            </w:r>
            <w:proofErr w:type="spellEnd"/>
            <w:r>
              <w:rPr>
                <w:sz w:val="20"/>
                <w:szCs w:val="20"/>
              </w:rPr>
              <w:t xml:space="preserve"> production readiness</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High</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Production-style wording enforced in all documents; a limitations section is part of the documentation deliverable and the G2 gate</w:t>
            </w:r>
          </w:p>
        </w:tc>
      </w:tr>
      <w:tr w:rsidR="0099574D">
        <w:tblPrEx>
          <w:tblCellMar>
            <w:top w:w="0" w:type="dxa"/>
            <w:bottom w:w="0" w:type="dxa"/>
          </w:tblCellMar>
        </w:tblPrEx>
        <w:trPr>
          <w:cantSplit/>
        </w:trPr>
        <w:tc>
          <w:tcPr>
            <w:tcW w:w="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R7</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Skipping Stage 2 to reach Stage 3</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Low</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High</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Gate G2 is a precondition for WP3.x; the lifecycle prohibition is restated here as binding on this plan</w:t>
            </w:r>
          </w:p>
        </w:tc>
      </w:tr>
      <w:tr w:rsidR="0099574D">
        <w:tblPrEx>
          <w:tblCellMar>
            <w:top w:w="0" w:type="dxa"/>
            <w:bottom w:w="0" w:type="dxa"/>
          </w:tblCellMar>
        </w:tblPrEx>
        <w:trPr>
          <w:cantSplit/>
        </w:trPr>
        <w:tc>
          <w:tcPr>
            <w:tcW w:w="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lastRenderedPageBreak/>
              <w:t>R8</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Drill rot: drills degrade into a one-time demo</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Drill scripts kept runnable; nightly CI execution where hardware allows; drill reports reference script versions</w:t>
            </w:r>
          </w:p>
        </w:tc>
      </w:tr>
      <w:tr w:rsidR="0099574D">
        <w:tblPrEx>
          <w:tblCellMar>
            <w:top w:w="0" w:type="dxa"/>
            <w:bottom w:w="0" w:type="dxa"/>
          </w:tblCellMar>
        </w:tblPrEx>
        <w:trPr>
          <w:cantSplit/>
        </w:trPr>
        <w:tc>
          <w:tcPr>
            <w:tcW w:w="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R9</w:t>
            </w:r>
          </w:p>
        </w:tc>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Stage 3 absorbs unlimited time</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High</w:t>
            </w:r>
          </w:p>
        </w:tc>
        <w:tc>
          <w:tcPr>
            <w:tcW w:w="5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235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Stage 3 time-boxed to four weeks; minimum gate defined (WP3.1, WP3.2, WP3.4, WP3.5); WP3.3 and WP3.6 are the declared cut line</w:t>
            </w:r>
          </w:p>
        </w:tc>
      </w:tr>
      <w:tr w:rsidR="0099574D">
        <w:tblPrEx>
          <w:tblCellMar>
            <w:top w:w="0" w:type="dxa"/>
            <w:bottom w:w="0" w:type="dxa"/>
          </w:tblCellMar>
        </w:tblPrEx>
        <w:trPr>
          <w:cantSplit/>
        </w:trPr>
        <w:tc>
          <w:tcPr>
            <w:tcW w:w="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R10</w:t>
            </w:r>
          </w:p>
        </w:tc>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Solo-delivery schedule slip (single key person)</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5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Medium</w:t>
            </w:r>
          </w:p>
        </w:tc>
        <w:tc>
          <w:tcPr>
            <w:tcW w:w="235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Weekly gate review against milestones; declared scope-reduction order (shorten T14 soak, defer WP2.4 CDC into gate week buffer); no parallel in-flight work packages</w:t>
            </w:r>
          </w:p>
        </w:tc>
      </w:tr>
    </w:tbl>
    <w:p w:rsidR="0099574D" w:rsidRDefault="00D6027F">
      <w:pPr>
        <w:pStyle w:val="Heading1"/>
      </w:pPr>
      <w:bookmarkStart w:id="30" w:name="_Toc100029"/>
      <w:r>
        <w:t>10. Resources and Prerequisites</w:t>
      </w:r>
      <w:bookmarkEnd w:id="30"/>
    </w:p>
    <w:p w:rsidR="0099574D" w:rsidRDefault="00D6027F">
      <w:pPr>
        <w:pStyle w:val="Heading2"/>
      </w:pPr>
      <w:bookmarkStart w:id="31" w:name="_Toc100030"/>
      <w:r>
        <w:t>10.1 Environment and Tooling</w:t>
      </w:r>
      <w:bookmarkEnd w:id="31"/>
    </w:p>
    <w:p w:rsidR="0099574D" w:rsidRDefault="00D6027F">
      <w:pPr>
        <w:spacing w:after="140"/>
        <w:jc w:val="both"/>
      </w:pPr>
      <w:r>
        <w:t xml:space="preserve">All prerequisites are free or already owned; the </w:t>
      </w:r>
      <w:proofErr w:type="spellStart"/>
      <w:r>
        <w:t>programme's</w:t>
      </w:r>
      <w:proofErr w:type="spellEnd"/>
      <w:r>
        <w:t xml:space="preserve"> only material requirement is a capable workstation. The reference environment assumed by the PRD performance targets is 16 GB of RAM; smaller hardware requires the reduced-heap variant recorded b</w:t>
      </w:r>
      <w:r>
        <w:t>y WP0.1.</w:t>
      </w:r>
    </w:p>
    <w:p w:rsidR="0099574D" w:rsidRDefault="00D6027F">
      <w:pPr>
        <w:keepNext/>
        <w:spacing w:before="160" w:after="100"/>
      </w:pPr>
      <w:r>
        <w:rPr>
          <w:b/>
          <w:bCs/>
          <w:color w:val="1A2330"/>
          <w:sz w:val="21"/>
          <w:szCs w:val="21"/>
        </w:rPr>
        <w:t>Table 17 — Environment prerequisites</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2109"/>
        <w:gridCol w:w="6679"/>
      </w:tblGrid>
      <w:tr w:rsidR="0099574D">
        <w:tblPrEx>
          <w:tblCellMar>
            <w:top w:w="0" w:type="dxa"/>
            <w:bottom w:w="0" w:type="dxa"/>
          </w:tblCellMar>
        </w:tblPrEx>
        <w:trPr>
          <w:cantSplit/>
          <w:tblHeader/>
        </w:trPr>
        <w:tc>
          <w:tcPr>
            <w:tcW w:w="12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Item</w:t>
            </w:r>
          </w:p>
        </w:tc>
        <w:tc>
          <w:tcPr>
            <w:tcW w:w="38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Requirement</w:t>
            </w:r>
          </w:p>
        </w:tc>
      </w:tr>
      <w:tr w:rsidR="0099574D">
        <w:tblPrEx>
          <w:tblCellMar>
            <w:top w:w="0" w:type="dxa"/>
            <w:bottom w:w="0" w:type="dxa"/>
          </w:tblCellMar>
        </w:tblPrEx>
        <w:trPr>
          <w:cantSplit/>
        </w:trPr>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Workstation</w:t>
            </w:r>
          </w:p>
        </w:tc>
        <w:tc>
          <w:tcPr>
            <w:tcW w:w="3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16 GB RAM minimum (32 GB preferred) or a small cloud VM; 50 GB free disk; Docker and Docker Compose v2</w:t>
            </w:r>
          </w:p>
        </w:tc>
      </w:tr>
      <w:tr w:rsidR="0099574D">
        <w:tblPrEx>
          <w:tblCellMar>
            <w:top w:w="0" w:type="dxa"/>
            <w:bottom w:w="0" w:type="dxa"/>
          </w:tblCellMar>
        </w:tblPrEx>
        <w:trPr>
          <w:cantSplit/>
        </w:trPr>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Toolchain</w:t>
            </w:r>
          </w:p>
        </w:tc>
        <w:tc>
          <w:tcPr>
            <w:tcW w:w="3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JDK 21 (LTS); Maven 3.9+; Git; OpenSSL and </w:t>
            </w:r>
            <w:proofErr w:type="spellStart"/>
            <w:r>
              <w:rPr>
                <w:sz w:val="20"/>
                <w:szCs w:val="20"/>
              </w:rPr>
              <w:t>keytool</w:t>
            </w:r>
            <w:proofErr w:type="spellEnd"/>
            <w:r>
              <w:rPr>
                <w:sz w:val="20"/>
                <w:szCs w:val="20"/>
              </w:rPr>
              <w:t xml:space="preserve">; Python 3.10+ for validation scripts; </w:t>
            </w:r>
            <w:proofErr w:type="spellStart"/>
            <w:r>
              <w:rPr>
                <w:sz w:val="20"/>
                <w:szCs w:val="20"/>
              </w:rPr>
              <w:t>yamllint</w:t>
            </w:r>
            <w:proofErr w:type="spellEnd"/>
            <w:r>
              <w:rPr>
                <w:sz w:val="20"/>
                <w:szCs w:val="20"/>
              </w:rPr>
              <w:t xml:space="preserve">, </w:t>
            </w:r>
            <w:proofErr w:type="spellStart"/>
            <w:r>
              <w:rPr>
                <w:sz w:val="20"/>
                <w:szCs w:val="20"/>
              </w:rPr>
              <w:t>shellcheck</w:t>
            </w:r>
            <w:proofErr w:type="spellEnd"/>
            <w:r>
              <w:rPr>
                <w:sz w:val="20"/>
                <w:szCs w:val="20"/>
              </w:rPr>
              <w:t xml:space="preserve"> and </w:t>
            </w:r>
            <w:proofErr w:type="spellStart"/>
            <w:r>
              <w:rPr>
                <w:sz w:val="20"/>
                <w:szCs w:val="20"/>
              </w:rPr>
              <w:t>hadolint</w:t>
            </w:r>
            <w:proofErr w:type="spellEnd"/>
            <w:r>
              <w:rPr>
                <w:sz w:val="20"/>
                <w:szCs w:val="20"/>
              </w:rPr>
              <w:t xml:space="preserve"> for lint stages</w:t>
            </w:r>
          </w:p>
        </w:tc>
      </w:tr>
      <w:tr w:rsidR="0099574D">
        <w:tblPrEx>
          <w:tblCellMar>
            <w:top w:w="0" w:type="dxa"/>
            <w:bottom w:w="0" w:type="dxa"/>
          </w:tblCellMar>
        </w:tblPrEx>
        <w:trPr>
          <w:cantSplit/>
        </w:trPr>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Source control</w:t>
            </w:r>
          </w:p>
        </w:tc>
        <w:tc>
          <w:tcPr>
            <w:tcW w:w="3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GitHub repository with Actions enabled; branch protection on main; </w:t>
            </w:r>
            <w:proofErr w:type="spellStart"/>
            <w:r>
              <w:rPr>
                <w:sz w:val="20"/>
                <w:szCs w:val="20"/>
              </w:rPr>
              <w:t>Gitleaks</w:t>
            </w:r>
            <w:proofErr w:type="spellEnd"/>
            <w:r>
              <w:rPr>
                <w:sz w:val="20"/>
                <w:szCs w:val="20"/>
              </w:rPr>
              <w:t xml:space="preserve"> secret scanning active from Week 1</w:t>
            </w:r>
          </w:p>
        </w:tc>
      </w:tr>
      <w:tr w:rsidR="0099574D">
        <w:tblPrEx>
          <w:tblCellMar>
            <w:top w:w="0" w:type="dxa"/>
            <w:bottom w:w="0" w:type="dxa"/>
          </w:tblCellMar>
        </w:tblPrEx>
        <w:trPr>
          <w:cantSplit/>
        </w:trPr>
        <w:tc>
          <w:tcPr>
            <w:tcW w:w="12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Alerting destination</w:t>
            </w:r>
          </w:p>
        </w:tc>
        <w:tc>
          <w:tcPr>
            <w:tcW w:w="38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 xml:space="preserve">Slack incoming </w:t>
            </w:r>
            <w:proofErr w:type="spellStart"/>
            <w:r>
              <w:rPr>
                <w:sz w:val="20"/>
                <w:szCs w:val="20"/>
              </w:rPr>
              <w:t>webhook</w:t>
            </w:r>
            <w:proofErr w:type="spellEnd"/>
            <w:r>
              <w:rPr>
                <w:sz w:val="20"/>
                <w:szCs w:val="20"/>
              </w:rPr>
              <w:t xml:space="preserve"> or an e-mail relay for </w:t>
            </w:r>
            <w:proofErr w:type="spellStart"/>
            <w:r>
              <w:rPr>
                <w:sz w:val="20"/>
                <w:szCs w:val="20"/>
              </w:rPr>
              <w:t>Alertmanager</w:t>
            </w:r>
            <w:proofErr w:type="spellEnd"/>
            <w:r>
              <w:rPr>
                <w:sz w:val="20"/>
                <w:szCs w:val="20"/>
              </w:rPr>
              <w:t xml:space="preserve"> routing (configured in WP2.5)</w:t>
            </w:r>
          </w:p>
        </w:tc>
      </w:tr>
      <w:tr w:rsidR="0099574D">
        <w:tblPrEx>
          <w:tblCellMar>
            <w:top w:w="0" w:type="dxa"/>
            <w:bottom w:w="0" w:type="dxa"/>
          </w:tblCellMar>
        </w:tblPrEx>
        <w:trPr>
          <w:cantSplit/>
        </w:trPr>
        <w:tc>
          <w:tcPr>
            <w:tcW w:w="12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Stage 3 additions (optional)</w:t>
            </w:r>
          </w:p>
        </w:tc>
        <w:tc>
          <w:tcPr>
            <w:tcW w:w="38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 xml:space="preserve">kind or </w:t>
            </w:r>
            <w:proofErr w:type="spellStart"/>
            <w:r>
              <w:rPr>
                <w:sz w:val="20"/>
                <w:szCs w:val="20"/>
              </w:rPr>
              <w:t>minikube</w:t>
            </w:r>
            <w:proofErr w:type="spellEnd"/>
            <w:r>
              <w:rPr>
                <w:sz w:val="20"/>
                <w:szCs w:val="20"/>
              </w:rPr>
              <w:t xml:space="preserve"> for local Kubernetes; a managed cloud cluster and DNS zone for the </w:t>
            </w:r>
            <w:proofErr w:type="spellStart"/>
            <w:r>
              <w:rPr>
                <w:sz w:val="20"/>
                <w:szCs w:val="20"/>
              </w:rPr>
              <w:t>GitOps</w:t>
            </w:r>
            <w:proofErr w:type="spellEnd"/>
            <w:r>
              <w:rPr>
                <w:sz w:val="20"/>
                <w:szCs w:val="20"/>
              </w:rPr>
              <w:t xml:space="preserve"> path; container registry credentials for release publishing</w:t>
            </w:r>
          </w:p>
        </w:tc>
      </w:tr>
    </w:tbl>
    <w:p w:rsidR="0099574D" w:rsidRDefault="00D6027F">
      <w:pPr>
        <w:pStyle w:val="Heading2"/>
      </w:pPr>
      <w:bookmarkStart w:id="32" w:name="_Toc100031"/>
      <w:r>
        <w:t>10.2 Effort Model</w:t>
      </w:r>
      <w:bookmarkEnd w:id="32"/>
    </w:p>
    <w:p w:rsidR="0099574D" w:rsidRDefault="00D6027F">
      <w:pPr>
        <w:spacing w:after="140"/>
        <w:jc w:val="both"/>
      </w:pPr>
      <w:r>
        <w:t xml:space="preserve">The </w:t>
      </w:r>
      <w:proofErr w:type="spellStart"/>
      <w:r>
        <w:t>programme</w:t>
      </w:r>
      <w:proofErr w:type="spellEnd"/>
      <w:r>
        <w:t xml:space="preserve"> is executed by a single platform engineer working full-time, matching the lifecycle estimate of roughly two weeks for the MVP, three for the final product and three to four for the optional commercial-ready stage. If execution proceeds part-t</w:t>
      </w:r>
      <w:r>
        <w:t>ime, the calendar scales proportionally while the gate order, exit criteria and scope-reduction rules remain unchanged; the dates in Chapter 5 are then re-baselined by plan revision rather than by silently stretching stages.</w:t>
      </w:r>
    </w:p>
    <w:p w:rsidR="0099574D" w:rsidRDefault="00D6027F">
      <w:pPr>
        <w:pStyle w:val="Heading1"/>
      </w:pPr>
      <w:bookmarkStart w:id="33" w:name="_Toc100032"/>
      <w:r>
        <w:lastRenderedPageBreak/>
        <w:t>11. Governance, Adopted Decisio</w:t>
      </w:r>
      <w:r>
        <w:t>ns and Change Control</w:t>
      </w:r>
      <w:bookmarkEnd w:id="33"/>
    </w:p>
    <w:p w:rsidR="0099574D" w:rsidRDefault="00D6027F">
      <w:pPr>
        <w:pStyle w:val="Heading2"/>
      </w:pPr>
      <w:bookmarkStart w:id="34" w:name="_Toc100033"/>
      <w:r>
        <w:t>11.1 Delivery Governance</w:t>
      </w:r>
      <w:bookmarkEnd w:id="34"/>
    </w:p>
    <w:p w:rsidR="0099574D" w:rsidRDefault="00D6027F">
      <w:pPr>
        <w:spacing w:after="140"/>
        <w:jc w:val="both"/>
      </w:pPr>
      <w:r>
        <w:t xml:space="preserve">Governance is lightweight but written, because a solo </w:t>
      </w:r>
      <w:proofErr w:type="spellStart"/>
      <w:r>
        <w:t>programme</w:t>
      </w:r>
      <w:proofErr w:type="spellEnd"/>
      <w:r>
        <w:t xml:space="preserve"> still needs an audit trail: a weekly self-review against the milestone register every Friday, with misses recorded and re-planned rather than abs</w:t>
      </w:r>
      <w:r>
        <w:t xml:space="preserve">orbed silently; ADRs for every consequential decision, using the Context, Decision, Consequences format; the </w:t>
      </w:r>
      <w:proofErr w:type="spellStart"/>
      <w:r>
        <w:t>ops_change_log</w:t>
      </w:r>
      <w:proofErr w:type="spellEnd"/>
      <w:r>
        <w:t xml:space="preserve"> PostgreSQL table recording every TOPIC, ACL, UPGRADE and CERT_ROTATION change with the performing principal and </w:t>
      </w:r>
      <w:proofErr w:type="spellStart"/>
      <w:r>
        <w:t>git</w:t>
      </w:r>
      <w:proofErr w:type="spellEnd"/>
      <w:r>
        <w:t xml:space="preserve"> commit; timestam</w:t>
      </w:r>
      <w:r>
        <w:t>ped drill evidence under chaos/results/ collected with collect-diagnostics.sh so that every root-cause analysis can reference a reproducible snapshot; and semantic versioning with tagged releases and a changelog from the first MVP release onward.</w:t>
      </w:r>
    </w:p>
    <w:p w:rsidR="0099574D" w:rsidRDefault="00D6027F">
      <w:pPr>
        <w:pStyle w:val="Heading2"/>
      </w:pPr>
      <w:bookmarkStart w:id="35" w:name="_Toc100034"/>
      <w:r>
        <w:t>11.2 Adop</w:t>
      </w:r>
      <w:r>
        <w:t>ted Decisions on Open Questions</w:t>
      </w:r>
      <w:bookmarkEnd w:id="35"/>
    </w:p>
    <w:p w:rsidR="0099574D" w:rsidRDefault="00D6027F">
      <w:pPr>
        <w:spacing w:after="140"/>
        <w:jc w:val="both"/>
      </w:pPr>
      <w:r>
        <w:t>The PRD leaves three questions open. This plan adopts the following positions so that execution can start without blocking; each is an assumption that can be overturned through Section 11.3, not a silent choice.</w:t>
      </w:r>
    </w:p>
    <w:p w:rsidR="0099574D" w:rsidRDefault="00D6027F">
      <w:pPr>
        <w:keepNext/>
        <w:spacing w:before="160" w:after="100"/>
      </w:pPr>
      <w:r>
        <w:rPr>
          <w:b/>
          <w:bCs/>
          <w:color w:val="1A2330"/>
          <w:sz w:val="21"/>
          <w:szCs w:val="21"/>
        </w:rPr>
        <w:t>Table 18 — A</w:t>
      </w:r>
      <w:r>
        <w:rPr>
          <w:b/>
          <w:bCs/>
          <w:color w:val="1A2330"/>
          <w:sz w:val="21"/>
          <w:szCs w:val="21"/>
        </w:rPr>
        <w:t>dopted positions on PRD open questions</w:t>
      </w:r>
    </w:p>
    <w:tbl>
      <w:tblPr>
        <w:tblW w:w="5000" w:type="pct"/>
        <w:tblBorders>
          <w:top w:val="single" w:sz="4" w:space="0" w:color="D4875A"/>
          <w:left w:val="none" w:sz="0" w:space="0" w:color="FFFFFF"/>
          <w:bottom w:val="single" w:sz="4" w:space="0" w:color="D4875A"/>
          <w:right w:val="none" w:sz="0" w:space="0" w:color="FFFFFF"/>
          <w:insideH w:val="single" w:sz="1" w:space="0" w:color="DDD0C8"/>
          <w:insideV w:val="none" w:sz="0" w:space="0" w:color="FFFFFF"/>
        </w:tblBorders>
        <w:tblLayout w:type="fixed"/>
        <w:tblCellMar>
          <w:left w:w="10" w:type="dxa"/>
          <w:right w:w="10" w:type="dxa"/>
        </w:tblCellMar>
        <w:tblLook w:val="04A0" w:firstRow="1" w:lastRow="0" w:firstColumn="1" w:lastColumn="0" w:noHBand="0" w:noVBand="1"/>
      </w:tblPr>
      <w:tblGrid>
        <w:gridCol w:w="2637"/>
        <w:gridCol w:w="3339"/>
        <w:gridCol w:w="2812"/>
      </w:tblGrid>
      <w:tr w:rsidR="0099574D">
        <w:tblPrEx>
          <w:tblCellMar>
            <w:top w:w="0" w:type="dxa"/>
            <w:bottom w:w="0" w:type="dxa"/>
          </w:tblCellMar>
        </w:tblPrEx>
        <w:trPr>
          <w:cantSplit/>
          <w:tblHeader/>
        </w:trPr>
        <w:tc>
          <w:tcPr>
            <w:tcW w:w="15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Open question (PRD §12)</w:t>
            </w:r>
          </w:p>
        </w:tc>
        <w:tc>
          <w:tcPr>
            <w:tcW w:w="19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Adopted position for this plan</w:t>
            </w:r>
          </w:p>
        </w:tc>
        <w:tc>
          <w:tcPr>
            <w:tcW w:w="1600" w:type="pct"/>
            <w:shd w:val="clear" w:color="auto" w:fill="D4875A"/>
            <w:tcMar>
              <w:top w:w="70" w:type="dxa"/>
              <w:left w:w="110" w:type="dxa"/>
              <w:bottom w:w="70" w:type="dxa"/>
              <w:right w:w="110" w:type="dxa"/>
            </w:tcMar>
            <w:vAlign w:val="center"/>
          </w:tcPr>
          <w:p w:rsidR="0099574D" w:rsidRDefault="00D6027F">
            <w:pPr>
              <w:spacing w:line="276" w:lineRule="auto"/>
            </w:pPr>
            <w:r>
              <w:rPr>
                <w:b/>
                <w:bCs/>
                <w:color w:val="FFFFFF"/>
                <w:sz w:val="20"/>
                <w:szCs w:val="20"/>
              </w:rPr>
              <w:t>Rationale</w:t>
            </w:r>
          </w:p>
        </w:tc>
      </w:tr>
      <w:tr w:rsidR="0099574D">
        <w:tblPrEx>
          <w:tblCellMar>
            <w:top w:w="0" w:type="dxa"/>
            <w:bottom w:w="0" w:type="dxa"/>
          </w:tblCellMar>
        </w:tblPrEx>
        <w:trPr>
          <w:cantSplit/>
        </w:trPr>
        <w:tc>
          <w:tcPr>
            <w:tcW w:w="15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Docker Compose only, or a managed cloud deployment?</w:t>
            </w:r>
          </w:p>
        </w:tc>
        <w:tc>
          <w:tcPr>
            <w:tcW w:w="1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Compose for Stages 0–2; managed cloud Kubernetes only inside the optional Stage 3.</w:t>
            </w:r>
          </w:p>
        </w:tc>
        <w:tc>
          <w:tcPr>
            <w:tcW w:w="1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Keeps early focus on platform operations rather than a Kubernetes learning curve; matches the lifecycle staging.</w:t>
            </w:r>
          </w:p>
        </w:tc>
      </w:tr>
      <w:tr w:rsidR="0099574D">
        <w:tblPrEx>
          <w:tblCellMar>
            <w:top w:w="0" w:type="dxa"/>
            <w:bottom w:w="0" w:type="dxa"/>
          </w:tblCellMar>
        </w:tblPrEx>
        <w:trPr>
          <w:cantSplit/>
        </w:trPr>
        <w:tc>
          <w:tcPr>
            <w:tcW w:w="15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Is Confluent Platform required, or is Apache Kafka with community Confluent components acceptable?</w:t>
            </w:r>
          </w:p>
        </w:tc>
        <w:tc>
          <w:tcPr>
            <w:tcW w:w="19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Apache Kafka plus community-licensed Schema</w:t>
            </w:r>
            <w:r>
              <w:rPr>
                <w:sz w:val="20"/>
                <w:szCs w:val="20"/>
              </w:rPr>
              <w:t xml:space="preserve"> Registry and Connect; commercial components only after a written </w:t>
            </w:r>
            <w:proofErr w:type="spellStart"/>
            <w:r>
              <w:rPr>
                <w:sz w:val="20"/>
                <w:szCs w:val="20"/>
              </w:rPr>
              <w:t>licence</w:t>
            </w:r>
            <w:proofErr w:type="spellEnd"/>
            <w:r>
              <w:rPr>
                <w:sz w:val="20"/>
                <w:szCs w:val="20"/>
              </w:rPr>
              <w:t xml:space="preserve"> check.</w:t>
            </w:r>
          </w:p>
        </w:tc>
        <w:tc>
          <w:tcPr>
            <w:tcW w:w="1600" w:type="pct"/>
            <w:shd w:val="clear" w:color="auto" w:fill="F8F0EB"/>
            <w:tcMar>
              <w:top w:w="70" w:type="dxa"/>
              <w:left w:w="110" w:type="dxa"/>
              <w:bottom w:w="70" w:type="dxa"/>
              <w:right w:w="110" w:type="dxa"/>
            </w:tcMar>
            <w:vAlign w:val="center"/>
          </w:tcPr>
          <w:p w:rsidR="0099574D" w:rsidRDefault="00D6027F">
            <w:pPr>
              <w:spacing w:line="276" w:lineRule="auto"/>
            </w:pPr>
            <w:r>
              <w:rPr>
                <w:sz w:val="20"/>
                <w:szCs w:val="20"/>
              </w:rPr>
              <w:t>Removes the trial-expiry risk (R3) and keeps every component reproducible by a reviewer.</w:t>
            </w:r>
          </w:p>
        </w:tc>
      </w:tr>
      <w:tr w:rsidR="0099574D">
        <w:tblPrEx>
          <w:tblCellMar>
            <w:top w:w="0" w:type="dxa"/>
            <w:bottom w:w="0" w:type="dxa"/>
          </w:tblCellMar>
        </w:tblPrEx>
        <w:trPr>
          <w:cantSplit/>
        </w:trPr>
        <w:tc>
          <w:tcPr>
            <w:tcW w:w="15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Is a second cluster (DR) in scope for the first release?</w:t>
            </w:r>
          </w:p>
        </w:tc>
        <w:tc>
          <w:tcPr>
            <w:tcW w:w="19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No. DR is a Stage 3 deliverable (WP3.4) behind gate G2.</w:t>
            </w:r>
          </w:p>
        </w:tc>
        <w:tc>
          <w:tcPr>
            <w:tcW w:w="1600" w:type="pct"/>
            <w:shd w:val="clear" w:color="auto" w:fill="FFFFFF"/>
            <w:tcMar>
              <w:top w:w="70" w:type="dxa"/>
              <w:left w:w="110" w:type="dxa"/>
              <w:bottom w:w="70" w:type="dxa"/>
              <w:right w:w="110" w:type="dxa"/>
            </w:tcMar>
            <w:vAlign w:val="center"/>
          </w:tcPr>
          <w:p w:rsidR="0099574D" w:rsidRDefault="00D6027F">
            <w:pPr>
              <w:spacing w:line="276" w:lineRule="auto"/>
            </w:pPr>
            <w:r>
              <w:rPr>
                <w:sz w:val="20"/>
                <w:szCs w:val="20"/>
              </w:rPr>
              <w:t>A Could item in the PRD; Stage 2 value is complete without it, and DR done before the failure evidence exists would be unproven.</w:t>
            </w:r>
          </w:p>
        </w:tc>
      </w:tr>
    </w:tbl>
    <w:p w:rsidR="0099574D" w:rsidRDefault="00D6027F">
      <w:pPr>
        <w:pStyle w:val="Heading2"/>
      </w:pPr>
      <w:bookmarkStart w:id="36" w:name="_Toc100035"/>
      <w:r>
        <w:t>11.3 Change Control</w:t>
      </w:r>
      <w:bookmarkEnd w:id="36"/>
    </w:p>
    <w:p w:rsidR="0099574D" w:rsidRDefault="00D6027F">
      <w:pPr>
        <w:spacing w:after="140"/>
        <w:jc w:val="both"/>
      </w:pPr>
      <w:r>
        <w:t>Scope changes at Must or Should level require three artefacts before work starts: an ADR recording the decision, an update to the traceability matrices in Chapter 6, and a gate-impact assessment stating which milestone or exit criterion moves. New ideas ar</w:t>
      </w:r>
      <w:r>
        <w:t xml:space="preserve">e parked in a Could backlog by default and are only considered for Stage 3 after gate G2. Date or duration </w:t>
      </w:r>
      <w:r>
        <w:lastRenderedPageBreak/>
        <w:t>changes re-baseline this plan by version increment; the superseded version stays in the repository history.</w:t>
      </w:r>
    </w:p>
    <w:p w:rsidR="0099574D" w:rsidRDefault="00D6027F">
      <w:pPr>
        <w:pStyle w:val="Heading1"/>
      </w:pPr>
      <w:bookmarkStart w:id="37" w:name="_Toc100036"/>
      <w:r>
        <w:t>12. Success Criteria and Concluding State</w:t>
      </w:r>
      <w:r>
        <w:t>ment</w:t>
      </w:r>
      <w:bookmarkEnd w:id="37"/>
    </w:p>
    <w:p w:rsidR="0099574D" w:rsidRDefault="00D6027F">
      <w:pPr>
        <w:spacing w:after="140"/>
        <w:jc w:val="both"/>
      </w:pPr>
      <w:r>
        <w:t xml:space="preserve">The </w:t>
      </w:r>
      <w:proofErr w:type="spellStart"/>
      <w:r>
        <w:t>programme</w:t>
      </w:r>
      <w:proofErr w:type="spellEnd"/>
      <w:r>
        <w:t xml:space="preserve"> succeeds when the following five criteria, taken verbatim from the PRD success metrics, are evidenced in the repository:</w:t>
      </w:r>
    </w:p>
    <w:p w:rsidR="0099574D" w:rsidRDefault="00D6027F">
      <w:pPr>
        <w:pStyle w:val="ListParagraph"/>
        <w:numPr>
          <w:ilvl w:val="0"/>
          <w:numId w:val="5"/>
        </w:numPr>
        <w:spacing w:after="80"/>
        <w:jc w:val="both"/>
      </w:pPr>
      <w:r>
        <w:t xml:space="preserve">Six of six failure drills completed with evidence, root-cause analysis and </w:t>
      </w:r>
      <w:proofErr w:type="spellStart"/>
      <w:r>
        <w:t>runbooks</w:t>
      </w:r>
      <w:proofErr w:type="spellEnd"/>
      <w:r>
        <w:t>.</w:t>
      </w:r>
    </w:p>
    <w:p w:rsidR="0099574D" w:rsidRDefault="00D6027F">
      <w:pPr>
        <w:pStyle w:val="ListParagraph"/>
        <w:numPr>
          <w:ilvl w:val="0"/>
          <w:numId w:val="5"/>
        </w:numPr>
        <w:spacing w:after="80"/>
        <w:jc w:val="both"/>
      </w:pPr>
      <w:r>
        <w:t>Zero lost or duplicated message</w:t>
      </w:r>
      <w:r>
        <w:t>s at the sink during the 30-minute single-broker-loss drill.</w:t>
      </w:r>
    </w:p>
    <w:p w:rsidR="0099574D" w:rsidRDefault="00D6027F">
      <w:pPr>
        <w:pStyle w:val="ListParagraph"/>
        <w:numPr>
          <w:ilvl w:val="0"/>
          <w:numId w:val="5"/>
        </w:numPr>
        <w:spacing w:after="80"/>
        <w:jc w:val="both"/>
      </w:pPr>
      <w:r>
        <w:t>Rolling upgrade executed with zero producer errors.</w:t>
      </w:r>
    </w:p>
    <w:p w:rsidR="0099574D" w:rsidRDefault="00D6027F">
      <w:pPr>
        <w:pStyle w:val="ListParagraph"/>
        <w:numPr>
          <w:ilvl w:val="0"/>
          <w:numId w:val="5"/>
        </w:numPr>
        <w:spacing w:after="80"/>
        <w:jc w:val="both"/>
      </w:pPr>
      <w:r>
        <w:t>Test suite green in CI with coverage thresholds met (70 percent overall; 90 percent on rule and idempotency logic).</w:t>
      </w:r>
    </w:p>
    <w:p w:rsidR="0099574D" w:rsidRDefault="00D6027F">
      <w:pPr>
        <w:pStyle w:val="ListParagraph"/>
        <w:numPr>
          <w:ilvl w:val="0"/>
          <w:numId w:val="5"/>
        </w:numPr>
        <w:spacing w:after="80"/>
        <w:jc w:val="both"/>
      </w:pPr>
      <w:r>
        <w:t>A reviewer clones the repos</w:t>
      </w:r>
      <w:r>
        <w:t>itory, runs make up, and reproduces drill D1 in under 30 minutes from the documentation alone.</w:t>
      </w:r>
    </w:p>
    <w:p w:rsidR="0099574D" w:rsidRDefault="00D6027F">
      <w:pPr>
        <w:spacing w:before="100" w:after="140"/>
        <w:jc w:val="both"/>
      </w:pPr>
      <w:r>
        <w:t xml:space="preserve">Meeting these criteria demonstrates the capabilities </w:t>
      </w:r>
      <w:proofErr w:type="spellStart"/>
      <w:r>
        <w:t>organisations</w:t>
      </w:r>
      <w:proofErr w:type="spellEnd"/>
      <w:r>
        <w:t xml:space="preserve"> actually pay for — deploying, securing, operating, troubleshooting and recovering a Kafka plat</w:t>
      </w:r>
      <w:r>
        <w:t xml:space="preserve">form — while every document produced by the </w:t>
      </w:r>
      <w:proofErr w:type="spellStart"/>
      <w:r>
        <w:t>programme</w:t>
      </w:r>
      <w:proofErr w:type="spellEnd"/>
      <w:r>
        <w:t xml:space="preserve"> remains explicit that the result is production-style, not certified production. The plan is executable as written: upon acceptance, the first action is WP0.1, the environment baseline measurement, comme</w:t>
      </w:r>
      <w:r>
        <w:t>ncing Monday, 12 October 2026, with milestone M0 due three days later.</w:t>
      </w:r>
    </w:p>
    <w:sectPr w:rsidR="0099574D">
      <w:headerReference w:type="default" r:id="rId9"/>
      <w:footerReference w:type="default" r:id="rId10"/>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7F" w:rsidRDefault="00D6027F">
      <w:pPr>
        <w:spacing w:line="240" w:lineRule="auto"/>
      </w:pPr>
      <w:r>
        <w:separator/>
      </w:r>
    </w:p>
  </w:endnote>
  <w:endnote w:type="continuationSeparator" w:id="0">
    <w:p w:rsidR="00D6027F" w:rsidRDefault="00D602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SimHei">
    <w:altName w:val="黑体"/>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74D" w:rsidRDefault="00D6027F">
    <w:pPr>
      <w:spacing w:line="240" w:lineRule="auto"/>
      <w:jc w:val="center"/>
    </w:pPr>
    <w:r>
      <w:rPr>
        <w:color w:val="808080"/>
        <w:sz w:val="18"/>
        <w:szCs w:val="18"/>
      </w:rPr>
      <w:fldChar w:fldCharType="begin"/>
    </w:r>
    <w:r>
      <w:rPr>
        <w:color w:val="808080"/>
        <w:sz w:val="18"/>
        <w:szCs w:val="18"/>
      </w:rPr>
      <w:instrText xml:space="preserve"> PAGE \* ROMAN \* MERGEFORMAT </w:instrText>
    </w:r>
    <w:r w:rsidR="001D095D">
      <w:rPr>
        <w:color w:val="808080"/>
        <w:sz w:val="18"/>
        <w:szCs w:val="18"/>
      </w:rPr>
      <w:fldChar w:fldCharType="separate"/>
    </w:r>
    <w:r w:rsidR="001D095D">
      <w:rPr>
        <w:noProof/>
        <w:color w:val="808080"/>
        <w:sz w:val="18"/>
        <w:szCs w:val="18"/>
      </w:rPr>
      <w:t>II</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74D" w:rsidRDefault="00D6027F">
    <w:pPr>
      <w:spacing w:line="240" w:lineRule="auto"/>
      <w:jc w:val="center"/>
    </w:pPr>
    <w:r>
      <w:rPr>
        <w:color w:val="808080"/>
        <w:sz w:val="18"/>
        <w:szCs w:val="18"/>
      </w:rPr>
      <w:fldChar w:fldCharType="begin"/>
    </w:r>
    <w:r>
      <w:rPr>
        <w:color w:val="808080"/>
        <w:sz w:val="18"/>
        <w:szCs w:val="18"/>
      </w:rPr>
      <w:instrText xml:space="preserve"> PAGE \* arabic \* MERGEFORMAT </w:instrText>
    </w:r>
    <w:r w:rsidR="001D095D">
      <w:rPr>
        <w:color w:val="808080"/>
        <w:sz w:val="18"/>
        <w:szCs w:val="18"/>
      </w:rPr>
      <w:fldChar w:fldCharType="separate"/>
    </w:r>
    <w:r w:rsidR="001D095D">
      <w:rPr>
        <w:noProof/>
        <w:color w:val="808080"/>
        <w:sz w:val="18"/>
        <w:szCs w:val="18"/>
      </w:rPr>
      <w:t>18</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7F" w:rsidRDefault="00D6027F">
      <w:pPr>
        <w:spacing w:line="240" w:lineRule="auto"/>
      </w:pPr>
      <w:r>
        <w:separator/>
      </w:r>
    </w:p>
  </w:footnote>
  <w:footnote w:type="continuationSeparator" w:id="0">
    <w:p w:rsidR="00D6027F" w:rsidRDefault="00D602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74D" w:rsidRDefault="00D6027F">
    <w:pPr>
      <w:spacing w:line="240" w:lineRule="auto"/>
      <w:jc w:val="right"/>
    </w:pPr>
    <w:proofErr w:type="spellStart"/>
    <w:r>
      <w:rPr>
        <w:color w:val="808080"/>
        <w:sz w:val="18"/>
        <w:szCs w:val="18"/>
      </w:rPr>
      <w:t>PayStream</w:t>
    </w:r>
    <w:proofErr w:type="spellEnd"/>
    <w:r>
      <w:rPr>
        <w:color w:val="808080"/>
        <w:sz w:val="18"/>
        <w:szCs w:val="18"/>
      </w:rPr>
      <w:t xml:space="preserve"> Reliability Lab — Implementation Plan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154EB"/>
    <w:multiLevelType w:val="hybridMultilevel"/>
    <w:tmpl w:val="1DAC95A4"/>
    <w:lvl w:ilvl="0" w:tplc="61C2E684">
      <w:start w:val="1"/>
      <w:numFmt w:val="decimal"/>
      <w:lvlText w:val="%1."/>
      <w:lvlJc w:val="left"/>
      <w:pPr>
        <w:ind w:left="640" w:hanging="360"/>
      </w:pPr>
    </w:lvl>
    <w:lvl w:ilvl="1" w:tplc="0D70E22A">
      <w:numFmt w:val="decimal"/>
      <w:lvlText w:val=""/>
      <w:lvlJc w:val="left"/>
    </w:lvl>
    <w:lvl w:ilvl="2" w:tplc="EDF44F74">
      <w:numFmt w:val="decimal"/>
      <w:lvlText w:val=""/>
      <w:lvlJc w:val="left"/>
    </w:lvl>
    <w:lvl w:ilvl="3" w:tplc="982E95F6">
      <w:numFmt w:val="decimal"/>
      <w:lvlText w:val=""/>
      <w:lvlJc w:val="left"/>
    </w:lvl>
    <w:lvl w:ilvl="4" w:tplc="81367DB4">
      <w:numFmt w:val="decimal"/>
      <w:lvlText w:val=""/>
      <w:lvlJc w:val="left"/>
    </w:lvl>
    <w:lvl w:ilvl="5" w:tplc="C23AAFEE">
      <w:numFmt w:val="decimal"/>
      <w:lvlText w:val=""/>
      <w:lvlJc w:val="left"/>
    </w:lvl>
    <w:lvl w:ilvl="6" w:tplc="EC507662">
      <w:numFmt w:val="decimal"/>
      <w:lvlText w:val=""/>
      <w:lvlJc w:val="left"/>
    </w:lvl>
    <w:lvl w:ilvl="7" w:tplc="2A4C342A">
      <w:numFmt w:val="decimal"/>
      <w:lvlText w:val=""/>
      <w:lvlJc w:val="left"/>
    </w:lvl>
    <w:lvl w:ilvl="8" w:tplc="80666B5E">
      <w:numFmt w:val="decimal"/>
      <w:lvlText w:val=""/>
      <w:lvlJc w:val="left"/>
    </w:lvl>
  </w:abstractNum>
  <w:abstractNum w:abstractNumId="1" w15:restartNumberingAfterBreak="0">
    <w:nsid w:val="32BB5AFC"/>
    <w:multiLevelType w:val="hybridMultilevel"/>
    <w:tmpl w:val="9468DA3C"/>
    <w:lvl w:ilvl="0" w:tplc="D4289576">
      <w:start w:val="1"/>
      <w:numFmt w:val="decimal"/>
      <w:lvlText w:val="%1."/>
      <w:lvlJc w:val="left"/>
      <w:pPr>
        <w:ind w:left="640" w:hanging="360"/>
      </w:pPr>
    </w:lvl>
    <w:lvl w:ilvl="1" w:tplc="56C061B0">
      <w:numFmt w:val="decimal"/>
      <w:lvlText w:val=""/>
      <w:lvlJc w:val="left"/>
    </w:lvl>
    <w:lvl w:ilvl="2" w:tplc="FD3C94D6">
      <w:numFmt w:val="decimal"/>
      <w:lvlText w:val=""/>
      <w:lvlJc w:val="left"/>
    </w:lvl>
    <w:lvl w:ilvl="3" w:tplc="6710337C">
      <w:numFmt w:val="decimal"/>
      <w:lvlText w:val=""/>
      <w:lvlJc w:val="left"/>
    </w:lvl>
    <w:lvl w:ilvl="4" w:tplc="9656DC6E">
      <w:numFmt w:val="decimal"/>
      <w:lvlText w:val=""/>
      <w:lvlJc w:val="left"/>
    </w:lvl>
    <w:lvl w:ilvl="5" w:tplc="03729A90">
      <w:numFmt w:val="decimal"/>
      <w:lvlText w:val=""/>
      <w:lvlJc w:val="left"/>
    </w:lvl>
    <w:lvl w:ilvl="6" w:tplc="EB4A0D42">
      <w:numFmt w:val="decimal"/>
      <w:lvlText w:val=""/>
      <w:lvlJc w:val="left"/>
    </w:lvl>
    <w:lvl w:ilvl="7" w:tplc="DFEE49AC">
      <w:numFmt w:val="decimal"/>
      <w:lvlText w:val=""/>
      <w:lvlJc w:val="left"/>
    </w:lvl>
    <w:lvl w:ilvl="8" w:tplc="AC0CCD0C">
      <w:numFmt w:val="decimal"/>
      <w:lvlText w:val=""/>
      <w:lvlJc w:val="left"/>
    </w:lvl>
  </w:abstractNum>
  <w:abstractNum w:abstractNumId="2" w15:restartNumberingAfterBreak="0">
    <w:nsid w:val="35AB217A"/>
    <w:multiLevelType w:val="hybridMultilevel"/>
    <w:tmpl w:val="01E025D0"/>
    <w:lvl w:ilvl="0" w:tplc="E2C2ADCC" w:tentative="1">
      <w:start w:val="1"/>
      <w:numFmt w:val="bullet"/>
      <w:lvlText w:val="●"/>
      <w:lvlJc w:val="left"/>
      <w:pPr>
        <w:ind w:left="720" w:hanging="360"/>
      </w:pPr>
    </w:lvl>
    <w:lvl w:ilvl="1" w:tplc="0DCA45C0" w:tentative="1">
      <w:start w:val="1"/>
      <w:numFmt w:val="bullet"/>
      <w:lvlText w:val="○"/>
      <w:lvlJc w:val="left"/>
      <w:pPr>
        <w:ind w:left="1440" w:hanging="360"/>
      </w:pPr>
    </w:lvl>
    <w:lvl w:ilvl="2" w:tplc="3A3A4738" w:tentative="1">
      <w:start w:val="1"/>
      <w:numFmt w:val="bullet"/>
      <w:lvlText w:val="■"/>
      <w:lvlJc w:val="left"/>
      <w:pPr>
        <w:ind w:left="2160" w:hanging="360"/>
      </w:pPr>
    </w:lvl>
    <w:lvl w:ilvl="3" w:tplc="C75A64C2" w:tentative="1">
      <w:start w:val="1"/>
      <w:numFmt w:val="bullet"/>
      <w:lvlText w:val="●"/>
      <w:lvlJc w:val="left"/>
      <w:pPr>
        <w:ind w:left="2880" w:hanging="360"/>
      </w:pPr>
    </w:lvl>
    <w:lvl w:ilvl="4" w:tplc="DF929400" w:tentative="1">
      <w:start w:val="1"/>
      <w:numFmt w:val="bullet"/>
      <w:lvlText w:val="○"/>
      <w:lvlJc w:val="left"/>
      <w:pPr>
        <w:ind w:left="3600" w:hanging="360"/>
      </w:pPr>
    </w:lvl>
    <w:lvl w:ilvl="5" w:tplc="43E06B7C" w:tentative="1">
      <w:start w:val="1"/>
      <w:numFmt w:val="bullet"/>
      <w:lvlText w:val="■"/>
      <w:lvlJc w:val="left"/>
      <w:pPr>
        <w:ind w:left="4320" w:hanging="360"/>
      </w:pPr>
    </w:lvl>
    <w:lvl w:ilvl="6" w:tplc="0E648968" w:tentative="1">
      <w:start w:val="1"/>
      <w:numFmt w:val="bullet"/>
      <w:lvlText w:val="●"/>
      <w:lvlJc w:val="left"/>
      <w:pPr>
        <w:ind w:left="5040" w:hanging="360"/>
      </w:pPr>
    </w:lvl>
    <w:lvl w:ilvl="7" w:tplc="C324F8BE" w:tentative="1">
      <w:start w:val="1"/>
      <w:numFmt w:val="bullet"/>
      <w:lvlText w:val="●"/>
      <w:lvlJc w:val="left"/>
      <w:pPr>
        <w:ind w:left="5760" w:hanging="360"/>
      </w:pPr>
    </w:lvl>
    <w:lvl w:ilvl="8" w:tplc="4DFAFEFA" w:tentative="1">
      <w:start w:val="1"/>
      <w:numFmt w:val="bullet"/>
      <w:lvlText w:val="●"/>
      <w:lvlJc w:val="left"/>
      <w:pPr>
        <w:ind w:left="6480" w:hanging="360"/>
      </w:pPr>
    </w:lvl>
  </w:abstractNum>
  <w:abstractNum w:abstractNumId="3" w15:restartNumberingAfterBreak="0">
    <w:nsid w:val="60F60B32"/>
    <w:multiLevelType w:val="hybridMultilevel"/>
    <w:tmpl w:val="653C3846"/>
    <w:lvl w:ilvl="0" w:tplc="43E8A96A">
      <w:start w:val="1"/>
      <w:numFmt w:val="decimal"/>
      <w:lvlText w:val="%1."/>
      <w:lvlJc w:val="left"/>
      <w:pPr>
        <w:ind w:left="640" w:hanging="360"/>
      </w:pPr>
    </w:lvl>
    <w:lvl w:ilvl="1" w:tplc="F85EE782">
      <w:numFmt w:val="decimal"/>
      <w:lvlText w:val=""/>
      <w:lvlJc w:val="left"/>
    </w:lvl>
    <w:lvl w:ilvl="2" w:tplc="16BED658">
      <w:numFmt w:val="decimal"/>
      <w:lvlText w:val=""/>
      <w:lvlJc w:val="left"/>
    </w:lvl>
    <w:lvl w:ilvl="3" w:tplc="75CA434E">
      <w:numFmt w:val="decimal"/>
      <w:lvlText w:val=""/>
      <w:lvlJc w:val="left"/>
    </w:lvl>
    <w:lvl w:ilvl="4" w:tplc="9C1EC770">
      <w:numFmt w:val="decimal"/>
      <w:lvlText w:val=""/>
      <w:lvlJc w:val="left"/>
    </w:lvl>
    <w:lvl w:ilvl="5" w:tplc="C43CD00E">
      <w:numFmt w:val="decimal"/>
      <w:lvlText w:val=""/>
      <w:lvlJc w:val="left"/>
    </w:lvl>
    <w:lvl w:ilvl="6" w:tplc="352052D8">
      <w:numFmt w:val="decimal"/>
      <w:lvlText w:val=""/>
      <w:lvlJc w:val="left"/>
    </w:lvl>
    <w:lvl w:ilvl="7" w:tplc="7F4E74B0">
      <w:numFmt w:val="decimal"/>
      <w:lvlText w:val=""/>
      <w:lvlJc w:val="left"/>
    </w:lvl>
    <w:lvl w:ilvl="8" w:tplc="12A212F0">
      <w:numFmt w:val="decimal"/>
      <w:lvlText w:val=""/>
      <w:lvlJc w:val="left"/>
    </w:lvl>
  </w:abstractNum>
  <w:abstractNum w:abstractNumId="4" w15:restartNumberingAfterBreak="0">
    <w:nsid w:val="666756A5"/>
    <w:multiLevelType w:val="hybridMultilevel"/>
    <w:tmpl w:val="993AB402"/>
    <w:lvl w:ilvl="0" w:tplc="693A61C6">
      <w:start w:val="1"/>
      <w:numFmt w:val="decimal"/>
      <w:lvlText w:val="%1."/>
      <w:lvlJc w:val="left"/>
      <w:pPr>
        <w:ind w:left="640" w:hanging="360"/>
      </w:pPr>
    </w:lvl>
    <w:lvl w:ilvl="1" w:tplc="868AFFD4">
      <w:numFmt w:val="decimal"/>
      <w:lvlText w:val=""/>
      <w:lvlJc w:val="left"/>
    </w:lvl>
    <w:lvl w:ilvl="2" w:tplc="0C3E02D8">
      <w:numFmt w:val="decimal"/>
      <w:lvlText w:val=""/>
      <w:lvlJc w:val="left"/>
    </w:lvl>
    <w:lvl w:ilvl="3" w:tplc="9192007A">
      <w:numFmt w:val="decimal"/>
      <w:lvlText w:val=""/>
      <w:lvlJc w:val="left"/>
    </w:lvl>
    <w:lvl w:ilvl="4" w:tplc="CABACA76">
      <w:numFmt w:val="decimal"/>
      <w:lvlText w:val=""/>
      <w:lvlJc w:val="left"/>
    </w:lvl>
    <w:lvl w:ilvl="5" w:tplc="B686AEC2">
      <w:numFmt w:val="decimal"/>
      <w:lvlText w:val=""/>
      <w:lvlJc w:val="left"/>
    </w:lvl>
    <w:lvl w:ilvl="6" w:tplc="BC10509A">
      <w:numFmt w:val="decimal"/>
      <w:lvlText w:val=""/>
      <w:lvlJc w:val="left"/>
    </w:lvl>
    <w:lvl w:ilvl="7" w:tplc="8DCE866A">
      <w:numFmt w:val="decimal"/>
      <w:lvlText w:val=""/>
      <w:lvlJc w:val="left"/>
    </w:lvl>
    <w:lvl w:ilvl="8" w:tplc="2FF891B2">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74D"/>
    <w:rsid w:val="001D095D"/>
    <w:rsid w:val="0099574D"/>
    <w:rsid w:val="00D6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AA8B6"/>
  <w15:docId w15:val="{0105CFE4-6524-49FD-8E3D-3B7F5637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420" w:after="200"/>
      <w:outlineLvl w:val="0"/>
    </w:pPr>
    <w:rPr>
      <w:rFonts w:eastAsia="SimHei"/>
      <w:b/>
      <w:bCs/>
      <w:color w:val="1A2330"/>
      <w:sz w:val="32"/>
      <w:szCs w:val="32"/>
    </w:rPr>
  </w:style>
  <w:style w:type="paragraph" w:styleId="Heading2">
    <w:name w:val="heading 2"/>
    <w:basedOn w:val="Normal"/>
    <w:next w:val="Normal"/>
    <w:qFormat/>
    <w:pPr>
      <w:spacing w:before="300" w:after="140"/>
      <w:outlineLvl w:val="1"/>
    </w:pPr>
    <w:rPr>
      <w:rFonts w:eastAsia="SimHei"/>
      <w:b/>
      <w:bCs/>
      <w:color w:val="1A2330"/>
      <w:sz w:val="28"/>
      <w:szCs w:val="28"/>
    </w:rPr>
  </w:style>
  <w:style w:type="paragraph" w:styleId="Heading3">
    <w:name w:val="heading 3"/>
    <w:basedOn w:val="Normal"/>
    <w:next w:val="Normal"/>
    <w:qFormat/>
    <w:pPr>
      <w:spacing w:before="220" w:after="100"/>
      <w:outlineLvl w:val="2"/>
    </w:pPr>
    <w:rPr>
      <w:rFonts w:eastAsia="SimHei"/>
      <w:b/>
      <w:bCs/>
      <w:color w:val="1A2330"/>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uiPriority w:val="39"/>
    <w:pPr>
      <w:tabs>
        <w:tab w:val="right" w:leader="dot" w:pos="9026"/>
      </w:tabs>
      <w:spacing w:before="120" w:after="60"/>
    </w:pPr>
    <w:rPr>
      <w:b/>
      <w:bCs/>
    </w:rPr>
  </w:style>
  <w:style w:type="paragraph" w:styleId="TOC2">
    <w:name w:val="toc 2"/>
    <w:basedOn w:val="Normal"/>
    <w:uiPriority w:val="39"/>
    <w:pPr>
      <w:tabs>
        <w:tab w:val="right" w:leader="dot" w:pos="9026"/>
      </w:tabs>
      <w:spacing w:before="60" w:after="40"/>
      <w:ind w:left="360"/>
    </w:pPr>
  </w:style>
  <w:style w:type="paragraph" w:styleId="TOC3">
    <w:name w:val="toc 3"/>
    <w:basedOn w:val="Normal"/>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7514</Words>
  <Characters>42834</Characters>
  <Application>Microsoft Office Word</Application>
  <DocSecurity>0</DocSecurity>
  <Lines>356</Lines>
  <Paragraphs>100</Paragraphs>
  <ScaleCrop>false</ScaleCrop>
  <Company/>
  <LinksUpToDate>false</LinksUpToDate>
  <CharactersWithSpaces>50248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PayStream Reliability Lab — Implementation Plan</dc:title>
  <dc:creator>Muhammad Ahsan</dc:creator>
  <dc:description>Stage-gated implementation plan for the PayStream Reliability Lab streaming platform</dc:description>
  <cp:lastModifiedBy>DELL</cp:lastModifiedBy>
  <cp:revision>2</cp:revision>
  <dcterms:created xsi:type="dcterms:W3CDTF">2026-10-06T04:51:00Z</dcterms:created>
  <dcterms:modified xsi:type="dcterms:W3CDTF">2026-10-06T04:59:00Z</dcterms:modified>
</cp:coreProperties>
</file>