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PayStream</w:t>
      </w:r>
      <w:r>
        <w:t xml:space="preserve"> </w:t>
      </w:r>
      <w:r>
        <w:t xml:space="preserve">Reliability</w:t>
      </w:r>
      <w:r>
        <w:t xml:space="preserve"> </w:t>
      </w:r>
      <w:r>
        <w:t xml:space="preserve">Lab:</w:t>
      </w:r>
      <w:r>
        <w:t xml:space="preserve"> </w:t>
      </w:r>
      <w:r>
        <w:t xml:space="preserve">Product</w:t>
      </w:r>
      <w:r>
        <w:t xml:space="preserve"> </w:t>
      </w:r>
      <w:r>
        <w:t xml:space="preserve">Requirements</w:t>
      </w:r>
      <w:r>
        <w:t xml:space="preserve"> </w:t>
      </w:r>
      <w:r>
        <w:t xml:space="preserve">Document</w:t>
      </w:r>
      <w:r>
        <w:t xml:space="preserve"> </w:t>
      </w:r>
      <w:r>
        <w:t xml:space="preserve">(PRD)</w:t>
      </w:r>
    </w:p>
    <w:p>
      <w:pPr>
        <w:pStyle w:val="Subtitle"/>
      </w:pPr>
      <w:r>
        <w:t xml:space="preserve">A</w:t>
      </w:r>
      <w:r>
        <w:t xml:space="preserve"> </w:t>
      </w:r>
      <w:r>
        <w:t xml:space="preserve">secure,</w:t>
      </w:r>
      <w:r>
        <w:t xml:space="preserve"> </w:t>
      </w:r>
      <w:r>
        <w:t xml:space="preserve">observable,</w:t>
      </w:r>
      <w:r>
        <w:t xml:space="preserve"> </w:t>
      </w:r>
      <w:r>
        <w:t xml:space="preserve">failure-tested</w:t>
      </w:r>
      <w:r>
        <w:t xml:space="preserve"> </w:t>
      </w:r>
      <w:r>
        <w:t xml:space="preserve">Confluent/Apache</w:t>
      </w:r>
      <w:r>
        <w:t xml:space="preserve"> </w:t>
      </w:r>
      <w:r>
        <w:t xml:space="preserve">Kafka</w:t>
      </w:r>
      <w:r>
        <w:t xml:space="preserve"> </w:t>
      </w:r>
      <w:r>
        <w:t xml:space="preserve">platform</w:t>
      </w:r>
      <w:r>
        <w:t xml:space="preserve"> </w:t>
      </w:r>
      <w:r>
        <w:t xml:space="preserve">running</w:t>
      </w:r>
      <w:r>
        <w:t xml:space="preserve"> </w:t>
      </w:r>
      <w:r>
        <w:t xml:space="preserve">a</w:t>
      </w:r>
      <w:r>
        <w:t xml:space="preserve"> </w:t>
      </w:r>
      <w:r>
        <w:t xml:space="preserve">mock</w:t>
      </w:r>
      <w:r>
        <w:t xml:space="preserve"> </w:t>
      </w:r>
      <w:r>
        <w:t xml:space="preserve">banking</w:t>
      </w:r>
      <w:r>
        <w:t xml:space="preserve"> </w:t>
      </w:r>
      <w:r>
        <w:t xml:space="preserve">event</w:t>
      </w:r>
      <w:r>
        <w:t xml:space="preserve"> </w:t>
      </w:r>
      <w:r>
        <w:t xml:space="preserve">workload</w:t>
      </w:r>
    </w:p>
    <w:p>
      <w:pPr>
        <w:pStyle w:val="BlockText"/>
      </w:pPr>
      <w:r>
        <w:rPr>
          <w:bCs/>
          <w:b/>
        </w:rPr>
        <w:t xml:space="preserve">Terminology note.</w:t>
      </w:r>
      <w:r>
        <w:t xml:space="preserve"> </w:t>
      </w:r>
      <w:r>
        <w:t xml:space="preserve">Everything in this project is</w:t>
      </w:r>
      <w:r>
        <w:t xml:space="preserve"> </w:t>
      </w:r>
      <w:r>
        <w:t xml:space="preserve">“</w:t>
      </w:r>
      <w:r>
        <w:t xml:space="preserve">production-style</w:t>
      </w:r>
      <w:r>
        <w:t xml:space="preserve">”</w:t>
      </w:r>
      <w:r>
        <w:t xml:space="preserve">: it follows production practices (security, HA, observability, runbooks). Running on a laptop or a small cloud project is not the same as running real production traffic, and the project should be described that way in a CV or interview. Stage 3 of the lifecycle closes most of that gap but cannot remove it entirely.</w:t>
      </w:r>
    </w:p>
    <w:bookmarkStart w:id="20" w:name="summary"/>
    <w:p>
      <w:pPr>
        <w:pStyle w:val="Heading1"/>
      </w:pPr>
      <w:r>
        <w:t xml:space="preserve">1. Summary</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shd w:val="clear" w:color="auto" w:fill="D9E2F3"/>
          </w:tcPr>
          <w:p>
            <w:pPr>
              <w:pStyle w:val="Compact"/>
              <w:jc w:val="left"/>
            </w:pPr>
            <w:r>
              <w:rPr>
                <w:b/>
                <w:sz w:val="18"/>
              </w:rPr>
              <w:t xml:space="preserve">Field</w:t>
            </w:r>
          </w:p>
        </w:tc>
        <w:tc>
          <w:tcPr>
            <w:shd w:val="clear" w:color="auto" w:fill="D9E2F3"/>
          </w:tcPr>
          <w:p>
            <w:pPr>
              <w:pStyle w:val="Compact"/>
              <w:jc w:val="left"/>
            </w:pPr>
            <w:r>
              <w:rPr>
                <w:b/>
                <w:sz w:val="18"/>
              </w:rPr>
              <w:t xml:space="preserve">Value</w:t>
            </w:r>
          </w:p>
        </w:tc>
      </w:tr>
      <w:tr>
        <w:tc>
          <w:tcPr/>
          <w:p>
            <w:pPr>
              <w:pStyle w:val="Compact"/>
              <w:jc w:val="left"/>
            </w:pPr>
            <w:r>
              <w:rPr>
                <w:sz w:val="18"/>
              </w:rPr>
              <w:t xml:space="preserve">Product name</w:t>
            </w:r>
          </w:p>
        </w:tc>
        <w:tc>
          <w:tcPr/>
          <w:p>
            <w:pPr>
              <w:pStyle w:val="Compact"/>
              <w:jc w:val="left"/>
            </w:pPr>
            <w:r>
              <w:rPr>
                <w:sz w:val="18"/>
              </w:rPr>
              <w:t xml:space="preserve">PayStream Reliability Lab</w:t>
            </w:r>
          </w:p>
        </w:tc>
      </w:tr>
      <w:tr>
        <w:tc>
          <w:tcPr/>
          <w:p>
            <w:pPr>
              <w:pStyle w:val="Compact"/>
              <w:jc w:val="left"/>
            </w:pPr>
            <w:r>
              <w:rPr>
                <w:sz w:val="18"/>
              </w:rPr>
              <w:t xml:space="preserve">Type</w:t>
            </w:r>
          </w:p>
        </w:tc>
        <w:tc>
          <w:tcPr/>
          <w:p>
            <w:pPr>
              <w:pStyle w:val="Compact"/>
              <w:jc w:val="left"/>
            </w:pPr>
            <w:r>
              <w:rPr>
                <w:sz w:val="18"/>
              </w:rPr>
              <w:t xml:space="preserve">Streaming platform reference implementation plus operations toolkit</w:t>
            </w:r>
          </w:p>
        </w:tc>
      </w:tr>
      <w:tr>
        <w:tc>
          <w:tcPr/>
          <w:p>
            <w:pPr>
              <w:pStyle w:val="Compact"/>
              <w:jc w:val="left"/>
            </w:pPr>
            <w:r>
              <w:rPr>
                <w:sz w:val="18"/>
              </w:rPr>
              <w:t xml:space="preserve">Domain story</w:t>
            </w:r>
          </w:p>
        </w:tc>
        <w:tc>
          <w:tcPr/>
          <w:p>
            <w:pPr>
              <w:pStyle w:val="Compact"/>
              <w:jc w:val="left"/>
            </w:pPr>
            <w:r>
              <w:rPr>
                <w:sz w:val="18"/>
              </w:rPr>
              <w:t xml:space="preserve">Mock retail bank: transactions, fraud alerts, notifications</w:t>
            </w:r>
          </w:p>
        </w:tc>
      </w:tr>
      <w:tr>
        <w:tc>
          <w:tcPr/>
          <w:p>
            <w:pPr>
              <w:pStyle w:val="Compact"/>
              <w:jc w:val="left"/>
            </w:pPr>
            <w:r>
              <w:rPr>
                <w:sz w:val="18"/>
              </w:rPr>
              <w:t xml:space="preserve">Real purpose</w:t>
            </w:r>
          </w:p>
        </w:tc>
        <w:tc>
          <w:tcPr/>
          <w:p>
            <w:pPr>
              <w:pStyle w:val="Compact"/>
              <w:jc w:val="left"/>
            </w:pPr>
            <w:r>
              <w:rPr>
                <w:sz w:val="18"/>
              </w:rPr>
              <w:t xml:space="preserve">Demonstrate deployment, security, operation, troubleshooting and recovery of a Kafka platform</w:t>
            </w:r>
          </w:p>
        </w:tc>
      </w:tr>
      <w:tr>
        <w:tc>
          <w:tcPr/>
          <w:p>
            <w:pPr>
              <w:pStyle w:val="Compact"/>
              <w:jc w:val="left"/>
            </w:pPr>
            <w:r>
              <w:rPr>
                <w:sz w:val="18"/>
              </w:rPr>
              <w:t xml:space="preserve">Target role alignment</w:t>
            </w:r>
          </w:p>
        </w:tc>
        <w:tc>
          <w:tcPr/>
          <w:p>
            <w:pPr>
              <w:pStyle w:val="Compact"/>
              <w:jc w:val="left"/>
            </w:pPr>
            <w:r>
              <w:rPr>
                <w:sz w:val="18"/>
              </w:rPr>
              <w:t xml:space="preserve">Lead/Senior Confluent Kafka Engineer (deploy, secure, upgrade, troubleshoot, document)</w:t>
            </w:r>
          </w:p>
        </w:tc>
      </w:tr>
      <w:tr>
        <w:tc>
          <w:tcPr/>
          <w:p>
            <w:pPr>
              <w:pStyle w:val="Compact"/>
              <w:jc w:val="left"/>
            </w:pPr>
            <w:r>
              <w:rPr>
                <w:sz w:val="18"/>
              </w:rPr>
              <w:t xml:space="preserve">Owner</w:t>
            </w:r>
          </w:p>
        </w:tc>
        <w:tc>
          <w:tcPr/>
          <w:p>
            <w:pPr>
              <w:pStyle w:val="Compact"/>
              <w:jc w:val="left"/>
            </w:pPr>
            <w:r>
              <w:rPr>
                <w:sz w:val="18"/>
              </w:rPr>
              <w:t xml:space="preserve">Platform engineer (solo)</w:t>
            </w:r>
          </w:p>
        </w:tc>
      </w:tr>
      <w:tr>
        <w:tc>
          <w:tcPr/>
          <w:p>
            <w:pPr>
              <w:pStyle w:val="Compact"/>
              <w:jc w:val="left"/>
            </w:pPr>
            <w:r>
              <w:rPr>
                <w:sz w:val="18"/>
              </w:rPr>
              <w:t xml:space="preserve">Status</w:t>
            </w:r>
          </w:p>
        </w:tc>
        <w:tc>
          <w:tcPr/>
          <w:p>
            <w:pPr>
              <w:pStyle w:val="Compact"/>
              <w:jc w:val="left"/>
            </w:pPr>
            <w:r>
              <w:rPr>
                <w:sz w:val="18"/>
              </w:rPr>
              <w:t xml:space="preserve">Draft v1.0</w:t>
            </w:r>
          </w:p>
        </w:tc>
      </w:tr>
    </w:tbl>
    <w:bookmarkEnd w:id="20"/>
    <w:bookmarkStart w:id="21" w:name="problem-statement"/>
    <w:p>
      <w:pPr>
        <w:pStyle w:val="Heading1"/>
      </w:pPr>
      <w:r>
        <w:t xml:space="preserve">2. Problem Statement</w:t>
      </w:r>
    </w:p>
    <w:p>
      <w:pPr>
        <w:pStyle w:val="FirstParagraph"/>
      </w:pPr>
      <w:r>
        <w:t xml:space="preserve">Kafka application code is easy to demo. What organisations actually pay for is a Kafka platform that stays up, stays secure, can be upgraded without downtime, and can be diagnosed quickly when it breaks. Most portfolio projects show only producers and consumers and say nothing about operations.</w:t>
      </w:r>
    </w:p>
    <w:p>
      <w:pPr>
        <w:pStyle w:val="BodyText"/>
      </w:pPr>
      <w:r>
        <w:t xml:space="preserve">PayStream Reliability Lab fills that gap: a small but realistic platform with security, monitoring, upgrade procedures and documented, repeatable failure drills with root-cause analyses and runbooks.</w:t>
      </w:r>
    </w:p>
    <w:bookmarkEnd w:id="21"/>
    <w:bookmarkStart w:id="24" w:name="goals-and-non-goals"/>
    <w:p>
      <w:pPr>
        <w:pStyle w:val="Heading1"/>
      </w:pPr>
      <w:r>
        <w:t xml:space="preserve">3. Goals and Non-Goals</w:t>
      </w:r>
    </w:p>
    <w:bookmarkStart w:id="22" w:name="goals"/>
    <w:p>
      <w:pPr>
        <w:pStyle w:val="Heading2"/>
      </w:pPr>
      <w:r>
        <w:t xml:space="preserve">3.1 Goals</w:t>
      </w:r>
    </w:p>
    <w:p>
      <w:pPr>
        <w:numPr>
          <w:ilvl w:val="0"/>
          <w:numId w:val="1001"/>
        </w:numPr>
        <w:pStyle w:val="Compact"/>
      </w:pPr>
      <w:r>
        <w:rPr>
          <w:bCs/>
          <w:b/>
        </w:rPr>
        <w:t xml:space="preserve">G1.</w:t>
      </w:r>
      <w:r>
        <w:t xml:space="preserve"> </w:t>
      </w:r>
      <w:r>
        <w:t xml:space="preserve">Run a 3-broker Kafka cluster (KRaft) with Schema Registry and Kafka Connect, reproducible with one command.</w:t>
      </w:r>
    </w:p>
    <w:p>
      <w:pPr>
        <w:numPr>
          <w:ilvl w:val="0"/>
          <w:numId w:val="1001"/>
        </w:numPr>
        <w:pStyle w:val="Compact"/>
      </w:pPr>
      <w:r>
        <w:rPr>
          <w:bCs/>
          <w:b/>
        </w:rPr>
        <w:t xml:space="preserve">G2.</w:t>
      </w:r>
      <w:r>
        <w:t xml:space="preserve"> </w:t>
      </w:r>
      <w:r>
        <w:t xml:space="preserve">Secure it: TLS/mTLS, SASL/SCRAM, default-deny ACLs, certificate rotation procedure.</w:t>
      </w:r>
    </w:p>
    <w:p>
      <w:pPr>
        <w:numPr>
          <w:ilvl w:val="0"/>
          <w:numId w:val="1001"/>
        </w:numPr>
        <w:pStyle w:val="Compact"/>
      </w:pPr>
      <w:r>
        <w:rPr>
          <w:bCs/>
          <w:b/>
        </w:rPr>
        <w:t xml:space="preserve">G3.</w:t>
      </w:r>
      <w:r>
        <w:t xml:space="preserve"> </w:t>
      </w:r>
      <w:r>
        <w:t xml:space="preserve">Run a realistic event workload through it using Java/Spring Boot services.</w:t>
      </w:r>
    </w:p>
    <w:p>
      <w:pPr>
        <w:numPr>
          <w:ilvl w:val="0"/>
          <w:numId w:val="1001"/>
        </w:numPr>
        <w:pStyle w:val="Compact"/>
      </w:pPr>
      <w:r>
        <w:rPr>
          <w:bCs/>
          <w:b/>
        </w:rPr>
        <w:t xml:space="preserve">G4.</w:t>
      </w:r>
      <w:r>
        <w:t xml:space="preserve"> </w:t>
      </w:r>
      <w:r>
        <w:t xml:space="preserve">Provide monitoring and alerting good enough to detect each of the six failure drills.</w:t>
      </w:r>
    </w:p>
    <w:p>
      <w:pPr>
        <w:numPr>
          <w:ilvl w:val="0"/>
          <w:numId w:val="1001"/>
        </w:numPr>
        <w:pStyle w:val="Compact"/>
      </w:pPr>
      <w:r>
        <w:rPr>
          <w:bCs/>
          <w:b/>
        </w:rPr>
        <w:t xml:space="preserve">G5.</w:t>
      </w:r>
      <w:r>
        <w:t xml:space="preserve"> </w:t>
      </w:r>
      <w:r>
        <w:t xml:space="preserve">Execute six failure drills; for each produce evidence, RCA and a runbook.</w:t>
      </w:r>
    </w:p>
    <w:p>
      <w:pPr>
        <w:numPr>
          <w:ilvl w:val="0"/>
          <w:numId w:val="1001"/>
        </w:numPr>
        <w:pStyle w:val="Compact"/>
      </w:pPr>
      <w:r>
        <w:rPr>
          <w:bCs/>
          <w:b/>
        </w:rPr>
        <w:t xml:space="preserve">G6.</w:t>
      </w:r>
      <w:r>
        <w:t xml:space="preserve"> </w:t>
      </w:r>
      <w:r>
        <w:t xml:space="preserve">Provide a tested rolling-upgrade and broker-expansion procedure.</w:t>
      </w:r>
    </w:p>
    <w:p>
      <w:pPr>
        <w:numPr>
          <w:ilvl w:val="0"/>
          <w:numId w:val="1001"/>
        </w:numPr>
        <w:pStyle w:val="Compact"/>
      </w:pPr>
      <w:r>
        <w:rPr>
          <w:bCs/>
          <w:b/>
        </w:rPr>
        <w:t xml:space="preserve">G7.</w:t>
      </w:r>
      <w:r>
        <w:t xml:space="preserve"> </w:t>
      </w:r>
      <w:r>
        <w:t xml:space="preserve">Provide CI/CD that builds, tests and promotes the platform configuration across environments.</w:t>
      </w:r>
    </w:p>
    <w:bookmarkEnd w:id="22"/>
    <w:bookmarkStart w:id="23" w:name="non-goals"/>
    <w:p>
      <w:pPr>
        <w:pStyle w:val="Heading2"/>
      </w:pPr>
      <w:r>
        <w:t xml:space="preserve">3.2 Non-Goals</w:t>
      </w:r>
    </w:p>
    <w:p>
      <w:pPr>
        <w:numPr>
          <w:ilvl w:val="0"/>
          <w:numId w:val="1002"/>
        </w:numPr>
        <w:pStyle w:val="Compact"/>
      </w:pPr>
      <w:r>
        <w:t xml:space="preserve">Real payments, real customer data or any real financial processing.</w:t>
      </w:r>
    </w:p>
    <w:p>
      <w:pPr>
        <w:numPr>
          <w:ilvl w:val="0"/>
          <w:numId w:val="1002"/>
        </w:numPr>
        <w:pStyle w:val="Compact"/>
      </w:pPr>
      <w:r>
        <w:t xml:space="preserve">A user-facing UI or mobile app.</w:t>
      </w:r>
    </w:p>
    <w:p>
      <w:pPr>
        <w:numPr>
          <w:ilvl w:val="0"/>
          <w:numId w:val="1002"/>
        </w:numPr>
        <w:pStyle w:val="Compact"/>
      </w:pPr>
      <w:r>
        <w:t xml:space="preserve">Machine-learning fraud detection (simple rules are sufficient).</w:t>
      </w:r>
    </w:p>
    <w:p>
      <w:pPr>
        <w:numPr>
          <w:ilvl w:val="0"/>
          <w:numId w:val="1002"/>
        </w:numPr>
        <w:pStyle w:val="Compact"/>
      </w:pPr>
      <w:r>
        <w:t xml:space="preserve">Claiming certified compliance (PCI-DSS, SOC 2, etc.). Controls may be mapped to such frameworks in Stage 3, not certified.</w:t>
      </w:r>
    </w:p>
    <w:bookmarkEnd w:id="23"/>
    <w:bookmarkEnd w:id="24"/>
    <w:bookmarkStart w:id="25" w:name="personas"/>
    <w:p>
      <w:pPr>
        <w:pStyle w:val="Heading1"/>
      </w:pPr>
      <w:r>
        <w:t xml:space="preserve">4. Personas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shd w:val="clear" w:color="auto" w:fill="D9E2F3"/>
          </w:tcPr>
          <w:p>
            <w:pPr>
              <w:pStyle w:val="Compact"/>
              <w:jc w:val="left"/>
            </w:pPr>
            <w:r>
              <w:rPr>
                <w:b/>
                <w:sz w:val="18"/>
              </w:rPr>
              <w:t xml:space="preserve">Persona</w:t>
            </w:r>
          </w:p>
        </w:tc>
        <w:tc>
          <w:tcPr>
            <w:shd w:val="clear" w:color="auto" w:fill="D9E2F3"/>
          </w:tcPr>
          <w:p>
            <w:pPr>
              <w:pStyle w:val="Compact"/>
              <w:jc w:val="left"/>
            </w:pPr>
            <w:r>
              <w:rPr>
                <w:b/>
                <w:sz w:val="18"/>
              </w:rPr>
              <w:t xml:space="preserve">Needs</w:t>
            </w:r>
          </w:p>
        </w:tc>
      </w:tr>
      <w:tr>
        <w:tc>
          <w:tcPr/>
          <w:p>
            <w:pPr>
              <w:pStyle w:val="Compact"/>
              <w:jc w:val="left"/>
            </w:pPr>
            <w:r>
              <w:rPr>
                <w:sz w:val="18"/>
              </w:rPr>
              <w:t xml:space="preserve">Platform Engineer (primary)</w:t>
            </w:r>
          </w:p>
        </w:tc>
        <w:tc>
          <w:tcPr/>
          <w:p>
            <w:pPr>
              <w:pStyle w:val="Compact"/>
              <w:jc w:val="left"/>
            </w:pPr>
            <w:r>
              <w:rPr>
                <w:sz w:val="18"/>
              </w:rPr>
              <w:t xml:space="preserve">Deploy, upgrade, monitor and recover the cluster; keep standards enforced</w:t>
            </w:r>
          </w:p>
        </w:tc>
      </w:tr>
      <w:tr>
        <w:tc>
          <w:tcPr/>
          <w:p>
            <w:pPr>
              <w:pStyle w:val="Compact"/>
              <w:jc w:val="left"/>
            </w:pPr>
            <w:r>
              <w:rPr>
                <w:sz w:val="18"/>
              </w:rPr>
              <w:t xml:space="preserve">Application Developer</w:t>
            </w:r>
          </w:p>
        </w:tc>
        <w:tc>
          <w:tcPr/>
          <w:p>
            <w:pPr>
              <w:pStyle w:val="Compact"/>
              <w:jc w:val="left"/>
            </w:pPr>
            <w:r>
              <w:rPr>
                <w:sz w:val="18"/>
              </w:rPr>
              <w:t xml:space="preserve">Onboard a topic, get credentials, produce/consume with a clear config template</w:t>
            </w:r>
          </w:p>
        </w:tc>
      </w:tr>
      <w:tr>
        <w:tc>
          <w:tcPr/>
          <w:p>
            <w:pPr>
              <w:pStyle w:val="Compact"/>
              <w:jc w:val="left"/>
            </w:pPr>
            <w:r>
              <w:rPr>
                <w:sz w:val="18"/>
              </w:rPr>
              <w:t xml:space="preserve">Security Auditor</w:t>
            </w:r>
          </w:p>
        </w:tc>
        <w:tc>
          <w:tcPr/>
          <w:p>
            <w:pPr>
              <w:pStyle w:val="Compact"/>
              <w:jc w:val="left"/>
            </w:pPr>
            <w:r>
              <w:rPr>
                <w:sz w:val="18"/>
              </w:rPr>
              <w:t xml:space="preserve">Verify encryption, authentication, least-privilege ACLs, certificate lifecycle</w:t>
            </w:r>
          </w:p>
        </w:tc>
      </w:tr>
      <w:tr>
        <w:tc>
          <w:tcPr/>
          <w:p>
            <w:pPr>
              <w:pStyle w:val="Compact"/>
              <w:jc w:val="left"/>
            </w:pPr>
            <w:r>
              <w:rPr>
                <w:sz w:val="18"/>
              </w:rPr>
              <w:t xml:space="preserve">Reviewer / Interviewer</w:t>
            </w:r>
          </w:p>
        </w:tc>
        <w:tc>
          <w:tcPr/>
          <w:p>
            <w:pPr>
              <w:pStyle w:val="Compact"/>
              <w:jc w:val="left"/>
            </w:pPr>
            <w:r>
              <w:rPr>
                <w:sz w:val="18"/>
              </w:rPr>
              <w:t xml:space="preserve">Understand the design quickly, reproduce it, and see evidence it works under failure</w:t>
            </w:r>
          </w:p>
        </w:tc>
      </w:tr>
    </w:tbl>
    <w:bookmarkEnd w:id="25"/>
    <w:bookmarkStart w:id="26" w:name="scope-moscow"/>
    <w:p>
      <w:pPr>
        <w:pStyle w:val="Heading1"/>
      </w:pPr>
      <w:r>
        <w:t xml:space="preserve">5. Scope (MoSCoW)</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shd w:val="clear" w:color="auto" w:fill="D9E2F3"/>
          </w:tcPr>
          <w:p>
            <w:pPr>
              <w:pStyle w:val="Compact"/>
              <w:jc w:val="left"/>
            </w:pPr>
            <w:r>
              <w:rPr>
                <w:b/>
                <w:sz w:val="18"/>
              </w:rPr>
              <w:t xml:space="preserve">Priority</w:t>
            </w:r>
          </w:p>
        </w:tc>
        <w:tc>
          <w:tcPr>
            <w:shd w:val="clear" w:color="auto" w:fill="D9E2F3"/>
          </w:tcPr>
          <w:p>
            <w:pPr>
              <w:pStyle w:val="Compact"/>
              <w:jc w:val="left"/>
            </w:pPr>
            <w:r>
              <w:rPr>
                <w:b/>
                <w:sz w:val="18"/>
              </w:rPr>
              <w:t xml:space="preserve">Item</w:t>
            </w:r>
          </w:p>
        </w:tc>
      </w:tr>
      <w:tr>
        <w:tc>
          <w:tcPr/>
          <w:p>
            <w:pPr>
              <w:pStyle w:val="Compact"/>
              <w:jc w:val="left"/>
            </w:pPr>
            <w:r>
              <w:rPr>
                <w:sz w:val="18"/>
              </w:rPr>
              <w:t xml:space="preserve">Must</w:t>
            </w:r>
          </w:p>
        </w:tc>
        <w:tc>
          <w:tcPr/>
          <w:p>
            <w:pPr>
              <w:pStyle w:val="Compact"/>
              <w:jc w:val="left"/>
            </w:pPr>
            <w:r>
              <w:rPr>
                <w:sz w:val="18"/>
              </w:rPr>
              <w:t xml:space="preserve">3-broker KRaft cluster, Schema Registry, 3 Spring Boot services, mTLS + SASL/SCRAM + ACLs, Prometheus/Grafana/alerts, 6 failure drills, runbooks, CI pipeline, automated tests</w:t>
            </w:r>
          </w:p>
        </w:tc>
      </w:tr>
      <w:tr>
        <w:tc>
          <w:tcPr/>
          <w:p>
            <w:pPr>
              <w:pStyle w:val="Compact"/>
              <w:jc w:val="left"/>
            </w:pPr>
            <w:r>
              <w:rPr>
                <w:sz w:val="18"/>
              </w:rPr>
              <w:t xml:space="preserve">Should</w:t>
            </w:r>
          </w:p>
        </w:tc>
        <w:tc>
          <w:tcPr/>
          <w:p>
            <w:pPr>
              <w:pStyle w:val="Compact"/>
              <w:jc w:val="left"/>
            </w:pPr>
            <w:r>
              <w:rPr>
                <w:sz w:val="18"/>
              </w:rPr>
              <w:t xml:space="preserve">Kafka Connect with Postgres CDC, rolling upgrade test, broker expansion with partition reassignment, topic/ACL as code</w:t>
            </w:r>
          </w:p>
        </w:tc>
      </w:tr>
      <w:tr>
        <w:tc>
          <w:tcPr/>
          <w:p>
            <w:pPr>
              <w:pStyle w:val="Compact"/>
              <w:jc w:val="left"/>
            </w:pPr>
            <w:r>
              <w:rPr>
                <w:sz w:val="18"/>
              </w:rPr>
              <w:t xml:space="preserve">Could</w:t>
            </w:r>
          </w:p>
        </w:tc>
        <w:tc>
          <w:tcPr/>
          <w:p>
            <w:pPr>
              <w:pStyle w:val="Compact"/>
              <w:jc w:val="left"/>
            </w:pPr>
            <w:r>
              <w:rPr>
                <w:sz w:val="18"/>
              </w:rPr>
              <w:t xml:space="preserve">Kubernetes/Helm deployment, second cluster with replication (DR), Control Center</w:t>
            </w:r>
          </w:p>
        </w:tc>
      </w:tr>
      <w:tr>
        <w:tc>
          <w:tcPr/>
          <w:p>
            <w:pPr>
              <w:pStyle w:val="Compact"/>
              <w:jc w:val="left"/>
            </w:pPr>
            <w:r>
              <w:rPr>
                <w:sz w:val="18"/>
              </w:rPr>
              <w:t xml:space="preserve">Won’t (v1)</w:t>
            </w:r>
          </w:p>
        </w:tc>
        <w:tc>
          <w:tcPr/>
          <w:p>
            <w:pPr>
              <w:pStyle w:val="Compact"/>
              <w:jc w:val="left"/>
            </w:pPr>
            <w:r>
              <w:rPr>
                <w:sz w:val="18"/>
              </w:rPr>
              <w:t xml:space="preserve">Custom GitHub bot for topic onboarding, multi-region active-active, ML fraud scoring</w:t>
            </w:r>
          </w:p>
        </w:tc>
      </w:tr>
    </w:tbl>
    <w:bookmarkEnd w:id="26"/>
    <w:bookmarkStart w:id="27" w:name="functional-requirements"/>
    <w:p>
      <w:pPr>
        <w:pStyle w:val="Heading1"/>
      </w:pPr>
      <w:r>
        <w:t xml:space="preserve">6. Functional Requirements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Requirement</w:t>
            </w:r>
          </w:p>
        </w:tc>
        <w:tc>
          <w:tcPr>
            <w:shd w:val="clear" w:color="auto" w:fill="D9E2F3"/>
          </w:tcPr>
          <w:p>
            <w:pPr>
              <w:pStyle w:val="Compact"/>
              <w:jc w:val="left"/>
            </w:pPr>
            <w:r>
              <w:rPr>
                <w:b/>
                <w:sz w:val="18"/>
              </w:rPr>
              <w:t xml:space="preserve">Priority</w:t>
            </w:r>
          </w:p>
        </w:tc>
        <w:tc>
          <w:tcPr>
            <w:shd w:val="clear" w:color="auto" w:fill="D9E2F3"/>
          </w:tcPr>
          <w:p>
            <w:pPr>
              <w:pStyle w:val="Compact"/>
              <w:jc w:val="left"/>
            </w:pPr>
            <w:r>
              <w:rPr>
                <w:b/>
                <w:sz w:val="18"/>
              </w:rPr>
              <w:t xml:space="preserve">Acceptance criteria</w:t>
            </w:r>
          </w:p>
        </w:tc>
      </w:tr>
      <w:tr>
        <w:tc>
          <w:tcPr/>
          <w:p>
            <w:pPr>
              <w:pStyle w:val="Compact"/>
              <w:jc w:val="left"/>
            </w:pPr>
            <w:r>
              <w:rPr>
                <w:sz w:val="18"/>
              </w:rPr>
              <w:t xml:space="preserve">FR-01</w:t>
            </w:r>
          </w:p>
        </w:tc>
        <w:tc>
          <w:tcPr/>
          <w:p>
            <w:pPr>
              <w:pStyle w:val="Compact"/>
              <w:jc w:val="left"/>
            </w:pPr>
            <w:r>
              <w:rPr>
                <w:sz w:val="18"/>
              </w:rPr>
              <w:t xml:space="preserve">Cluster with 3 brokers in KRaft mode</w:t>
            </w:r>
          </w:p>
        </w:tc>
        <w:tc>
          <w:tcPr/>
          <w:p>
            <w:pPr>
              <w:pStyle w:val="Compact"/>
              <w:jc w:val="left"/>
            </w:pPr>
            <w:r>
              <w:rPr>
                <w:sz w:val="18"/>
              </w:rPr>
              <w:t xml:space="preserve">Must</w:t>
            </w:r>
          </w:p>
        </w:tc>
        <w:tc>
          <w:tcPr/>
          <w:p>
            <w:pPr>
              <w:pStyle w:val="Compact"/>
              <w:jc w:val="left"/>
            </w:pPr>
            <w:r>
              <w:rPr>
                <w:sz w:val="18"/>
              </w:rPr>
              <w:t xml:space="preserve">kafka-metadata-quorum shows quorum healthy; all brokers in ISR for all partitions</w:t>
            </w:r>
          </w:p>
        </w:tc>
      </w:tr>
      <w:tr>
        <w:tc>
          <w:tcPr/>
          <w:p>
            <w:pPr>
              <w:pStyle w:val="Compact"/>
              <w:jc w:val="left"/>
            </w:pPr>
            <w:r>
              <w:rPr>
                <w:sz w:val="18"/>
              </w:rPr>
              <w:t xml:space="preserve">FR-02</w:t>
            </w:r>
          </w:p>
        </w:tc>
        <w:tc>
          <w:tcPr/>
          <w:p>
            <w:pPr>
              <w:pStyle w:val="Compact"/>
              <w:jc w:val="left"/>
            </w:pPr>
            <w:r>
              <w:rPr>
                <w:sz w:val="18"/>
              </w:rPr>
              <w:t xml:space="preserve">Topic standard:</w:t>
            </w:r>
            <w:r>
              <w:rPr>
                <w:sz w:val="18"/>
              </w:rPr>
              <w:t xml:space="preserve"> </w:t>
            </w:r>
            <w:r>
              <w:rPr>
                <w:rStyle w:val="VerbatimChar"/>
                <w:sz w:val="18"/>
              </w:rPr>
              <w:t xml:space="preserve">&lt;domain&gt;.&lt;entity&gt;.v&lt;N&gt;</w:t>
            </w:r>
            <w:r>
              <w:rPr>
                <w:sz w:val="18"/>
              </w:rPr>
              <w:t xml:space="preserve">, RF=3, min.insync.replicas=2, no auto-creation</w:t>
            </w:r>
          </w:p>
        </w:tc>
        <w:tc>
          <w:tcPr/>
          <w:p>
            <w:pPr>
              <w:pStyle w:val="Compact"/>
              <w:jc w:val="left"/>
            </w:pPr>
            <w:r>
              <w:rPr>
                <w:sz w:val="18"/>
              </w:rPr>
              <w:t xml:space="preserve">Must</w:t>
            </w:r>
          </w:p>
        </w:tc>
        <w:tc>
          <w:tcPr/>
          <w:p>
            <w:pPr>
              <w:pStyle w:val="Compact"/>
              <w:jc w:val="left"/>
            </w:pPr>
            <w:r>
              <w:rPr>
                <w:sz w:val="18"/>
              </w:rPr>
              <w:t xml:space="preserve">Creating a topic outside the standard fails in CI; auto topic creation disabled on brokers</w:t>
            </w:r>
          </w:p>
        </w:tc>
      </w:tr>
      <w:tr>
        <w:tc>
          <w:tcPr/>
          <w:p>
            <w:pPr>
              <w:pStyle w:val="Compact"/>
              <w:jc w:val="left"/>
            </w:pPr>
            <w:r>
              <w:rPr>
                <w:sz w:val="18"/>
              </w:rPr>
              <w:t xml:space="preserve">FR-03</w:t>
            </w:r>
          </w:p>
        </w:tc>
        <w:tc>
          <w:tcPr/>
          <w:p>
            <w:pPr>
              <w:pStyle w:val="Compact"/>
              <w:jc w:val="left"/>
            </w:pPr>
            <w:r>
              <w:rPr>
                <w:sz w:val="18"/>
              </w:rPr>
              <w:t xml:space="preserve">Schema Registry with Avro and BACKWARD compatibility</w:t>
            </w:r>
          </w:p>
        </w:tc>
        <w:tc>
          <w:tcPr/>
          <w:p>
            <w:pPr>
              <w:pStyle w:val="Compact"/>
              <w:jc w:val="left"/>
            </w:pPr>
            <w:r>
              <w:rPr>
                <w:sz w:val="18"/>
              </w:rPr>
              <w:t xml:space="preserve">Must</w:t>
            </w:r>
          </w:p>
        </w:tc>
        <w:tc>
          <w:tcPr/>
          <w:p>
            <w:pPr>
              <w:pStyle w:val="Compact"/>
              <w:jc w:val="left"/>
            </w:pPr>
            <w:r>
              <w:rPr>
                <w:sz w:val="18"/>
              </w:rPr>
              <w:t xml:space="preserve">Incompatible schema rejected; compatible evolution succeeds</w:t>
            </w:r>
          </w:p>
        </w:tc>
      </w:tr>
      <w:tr>
        <w:tc>
          <w:tcPr/>
          <w:p>
            <w:pPr>
              <w:pStyle w:val="Compact"/>
              <w:jc w:val="left"/>
            </w:pPr>
            <w:r>
              <w:rPr>
                <w:sz w:val="18"/>
              </w:rPr>
              <w:t xml:space="preserve">FR-04</w:t>
            </w:r>
          </w:p>
        </w:tc>
        <w:tc>
          <w:tcPr/>
          <w:p>
            <w:pPr>
              <w:pStyle w:val="Compact"/>
              <w:jc w:val="left"/>
            </w:pPr>
            <w:r>
              <w:rPr>
                <w:sz w:val="18"/>
              </w:rPr>
              <w:t xml:space="preserve">Transaction Producer service emitting synthetic transactions at configurable rate</w:t>
            </w:r>
          </w:p>
        </w:tc>
        <w:tc>
          <w:tcPr/>
          <w:p>
            <w:pPr>
              <w:pStyle w:val="Compact"/>
              <w:jc w:val="left"/>
            </w:pPr>
            <w:r>
              <w:rPr>
                <w:sz w:val="18"/>
              </w:rPr>
              <w:t xml:space="preserve">Must</w:t>
            </w:r>
          </w:p>
        </w:tc>
        <w:tc>
          <w:tcPr/>
          <w:p>
            <w:pPr>
              <w:pStyle w:val="Compact"/>
              <w:jc w:val="left"/>
            </w:pPr>
            <w:r>
              <w:rPr>
                <w:sz w:val="18"/>
              </w:rPr>
              <w:t xml:space="preserve">Rate configurable 1 to 5,000 msg/s; messages keyed by account_id</w:t>
            </w:r>
          </w:p>
        </w:tc>
      </w:tr>
      <w:tr>
        <w:tc>
          <w:tcPr/>
          <w:p>
            <w:pPr>
              <w:pStyle w:val="Compact"/>
              <w:jc w:val="left"/>
            </w:pPr>
            <w:r>
              <w:rPr>
                <w:sz w:val="18"/>
              </w:rPr>
              <w:t xml:space="preserve">FR-05</w:t>
            </w:r>
          </w:p>
        </w:tc>
        <w:tc>
          <w:tcPr/>
          <w:p>
            <w:pPr>
              <w:pStyle w:val="Compact"/>
              <w:jc w:val="left"/>
            </w:pPr>
            <w:r>
              <w:rPr>
                <w:sz w:val="18"/>
              </w:rPr>
              <w:t xml:space="preserve">Fraud Detector service (Kafka Streams) applying amount and velocity rules, emitting alerts</w:t>
            </w:r>
          </w:p>
        </w:tc>
        <w:tc>
          <w:tcPr/>
          <w:p>
            <w:pPr>
              <w:pStyle w:val="Compact"/>
              <w:jc w:val="left"/>
            </w:pPr>
            <w:r>
              <w:rPr>
                <w:sz w:val="18"/>
              </w:rPr>
              <w:t xml:space="preserve">Must</w:t>
            </w:r>
          </w:p>
        </w:tc>
        <w:tc>
          <w:tcPr/>
          <w:p>
            <w:pPr>
              <w:pStyle w:val="Compact"/>
              <w:jc w:val="left"/>
            </w:pPr>
            <w:r>
              <w:rPr>
                <w:sz w:val="18"/>
              </w:rPr>
              <w:t xml:space="preserve">Known fraudulent test patterns produce alerts within 2 s; no alert for normal patterns</w:t>
            </w:r>
          </w:p>
        </w:tc>
      </w:tr>
      <w:tr>
        <w:tc>
          <w:tcPr/>
          <w:p>
            <w:pPr>
              <w:pStyle w:val="Compact"/>
              <w:jc w:val="left"/>
            </w:pPr>
            <w:r>
              <w:rPr>
                <w:sz w:val="18"/>
              </w:rPr>
              <w:t xml:space="preserve">FR-06</w:t>
            </w:r>
          </w:p>
        </w:tc>
        <w:tc>
          <w:tcPr/>
          <w:p>
            <w:pPr>
              <w:pStyle w:val="Compact"/>
              <w:jc w:val="left"/>
            </w:pPr>
            <w:r>
              <w:rPr>
                <w:sz w:val="18"/>
              </w:rPr>
              <w:t xml:space="preserve">Notifier service consuming alerts, writing to Postgres, idempotent</w:t>
            </w:r>
          </w:p>
        </w:tc>
        <w:tc>
          <w:tcPr/>
          <w:p>
            <w:pPr>
              <w:pStyle w:val="Compact"/>
              <w:jc w:val="left"/>
            </w:pPr>
            <w:r>
              <w:rPr>
                <w:sz w:val="18"/>
              </w:rPr>
              <w:t xml:space="preserve">Must</w:t>
            </w:r>
          </w:p>
        </w:tc>
        <w:tc>
          <w:tcPr/>
          <w:p>
            <w:pPr>
              <w:pStyle w:val="Compact"/>
              <w:jc w:val="left"/>
            </w:pPr>
            <w:r>
              <w:rPr>
                <w:sz w:val="18"/>
              </w:rPr>
              <w:t xml:space="preserve">Replaying the same alert 10 times produces exactly one notification row</w:t>
            </w:r>
          </w:p>
        </w:tc>
      </w:tr>
      <w:tr>
        <w:tc>
          <w:tcPr/>
          <w:p>
            <w:pPr>
              <w:pStyle w:val="Compact"/>
              <w:jc w:val="left"/>
            </w:pPr>
            <w:r>
              <w:rPr>
                <w:sz w:val="18"/>
              </w:rPr>
              <w:t xml:space="preserve">FR-07</w:t>
            </w:r>
          </w:p>
        </w:tc>
        <w:tc>
          <w:tcPr/>
          <w:p>
            <w:pPr>
              <w:pStyle w:val="Compact"/>
              <w:jc w:val="left"/>
            </w:pPr>
            <w:r>
              <w:rPr>
                <w:sz w:val="18"/>
              </w:rPr>
              <w:t xml:space="preserve">Poison-message handling with DLQ and retry topic</w:t>
            </w:r>
          </w:p>
        </w:tc>
        <w:tc>
          <w:tcPr/>
          <w:p>
            <w:pPr>
              <w:pStyle w:val="Compact"/>
              <w:jc w:val="left"/>
            </w:pPr>
            <w:r>
              <w:rPr>
                <w:sz w:val="18"/>
              </w:rPr>
              <w:t xml:space="preserve">Must</w:t>
            </w:r>
          </w:p>
        </w:tc>
        <w:tc>
          <w:tcPr/>
          <w:p>
            <w:pPr>
              <w:pStyle w:val="Compact"/>
              <w:jc w:val="left"/>
            </w:pPr>
            <w:r>
              <w:rPr>
                <w:sz w:val="18"/>
              </w:rPr>
              <w:t xml:space="preserve">Malformed record lands in DLQ with error headers; consumer keeps running</w:t>
            </w:r>
          </w:p>
        </w:tc>
      </w:tr>
      <w:tr>
        <w:tc>
          <w:tcPr/>
          <w:p>
            <w:pPr>
              <w:pStyle w:val="Compact"/>
              <w:jc w:val="left"/>
            </w:pPr>
            <w:r>
              <w:rPr>
                <w:sz w:val="18"/>
              </w:rPr>
              <w:t xml:space="preserve">FR-08</w:t>
            </w:r>
          </w:p>
        </w:tc>
        <w:tc>
          <w:tcPr/>
          <w:p>
            <w:pPr>
              <w:pStyle w:val="Compact"/>
              <w:jc w:val="left"/>
            </w:pPr>
            <w:r>
              <w:rPr>
                <w:sz w:val="18"/>
              </w:rPr>
              <w:t xml:space="preserve">Transport security: TLS on all listeners; mTLS between brokers; SASL/SCRAM for clients</w:t>
            </w:r>
          </w:p>
        </w:tc>
        <w:tc>
          <w:tcPr/>
          <w:p>
            <w:pPr>
              <w:pStyle w:val="Compact"/>
              <w:jc w:val="left"/>
            </w:pPr>
            <w:r>
              <w:rPr>
                <w:sz w:val="18"/>
              </w:rPr>
              <w:t xml:space="preserve">Must</w:t>
            </w:r>
          </w:p>
        </w:tc>
        <w:tc>
          <w:tcPr/>
          <w:p>
            <w:pPr>
              <w:pStyle w:val="Compact"/>
              <w:jc w:val="left"/>
            </w:pPr>
            <w:r>
              <w:rPr>
                <w:sz w:val="18"/>
              </w:rPr>
              <w:t xml:space="preserve">Plaintext refused; wrong credentials refused; expired cert refused</w:t>
            </w:r>
          </w:p>
        </w:tc>
      </w:tr>
      <w:tr>
        <w:tc>
          <w:tcPr/>
          <w:p>
            <w:pPr>
              <w:pStyle w:val="Compact"/>
              <w:jc w:val="left"/>
            </w:pPr>
            <w:r>
              <w:rPr>
                <w:sz w:val="18"/>
              </w:rPr>
              <w:t xml:space="preserve">FR-09</w:t>
            </w:r>
          </w:p>
        </w:tc>
        <w:tc>
          <w:tcPr/>
          <w:p>
            <w:pPr>
              <w:pStyle w:val="Compact"/>
              <w:jc w:val="left"/>
            </w:pPr>
            <w:r>
              <w:rPr>
                <w:sz w:val="18"/>
              </w:rPr>
              <w:t xml:space="preserve">Authorisation: ACLs per service, default deny, no wildcard principals</w:t>
            </w:r>
          </w:p>
        </w:tc>
        <w:tc>
          <w:tcPr/>
          <w:p>
            <w:pPr>
              <w:pStyle w:val="Compact"/>
              <w:jc w:val="left"/>
            </w:pPr>
            <w:r>
              <w:rPr>
                <w:sz w:val="18"/>
              </w:rPr>
              <w:t xml:space="preserve">Must</w:t>
            </w:r>
          </w:p>
        </w:tc>
        <w:tc>
          <w:tcPr/>
          <w:p>
            <w:pPr>
              <w:pStyle w:val="Compact"/>
              <w:jc w:val="left"/>
            </w:pPr>
            <w:r>
              <w:rPr>
                <w:sz w:val="18"/>
              </w:rPr>
              <w:t xml:space="preserve">Each service can do only what the ACL matrix grants; negative tests pass</w:t>
            </w:r>
          </w:p>
        </w:tc>
      </w:tr>
      <w:tr>
        <w:tc>
          <w:tcPr/>
          <w:p>
            <w:pPr>
              <w:pStyle w:val="Compact"/>
              <w:jc w:val="left"/>
            </w:pPr>
            <w:r>
              <w:rPr>
                <w:sz w:val="18"/>
              </w:rPr>
              <w:t xml:space="preserve">FR-10</w:t>
            </w:r>
          </w:p>
        </w:tc>
        <w:tc>
          <w:tcPr/>
          <w:p>
            <w:pPr>
              <w:pStyle w:val="Compact"/>
              <w:jc w:val="left"/>
            </w:pPr>
            <w:r>
              <w:rPr>
                <w:sz w:val="18"/>
              </w:rPr>
              <w:t xml:space="preserve">Monitoring: broker, topic, consumer-group and JVM metrics in Grafana</w:t>
            </w:r>
          </w:p>
        </w:tc>
        <w:tc>
          <w:tcPr/>
          <w:p>
            <w:pPr>
              <w:pStyle w:val="Compact"/>
              <w:jc w:val="left"/>
            </w:pPr>
            <w:r>
              <w:rPr>
                <w:sz w:val="18"/>
              </w:rPr>
              <w:t xml:space="preserve">Must</w:t>
            </w:r>
          </w:p>
        </w:tc>
        <w:tc>
          <w:tcPr/>
          <w:p>
            <w:pPr>
              <w:pStyle w:val="Compact"/>
              <w:jc w:val="left"/>
            </w:pPr>
            <w:r>
              <w:rPr>
                <w:sz w:val="18"/>
              </w:rPr>
              <w:t xml:space="preserve">Dashboards show under-replicated partitions, ISR shrink rate, consumer lag, disk, request latency</w:t>
            </w:r>
          </w:p>
        </w:tc>
      </w:tr>
      <w:tr>
        <w:tc>
          <w:tcPr/>
          <w:p>
            <w:pPr>
              <w:pStyle w:val="Compact"/>
              <w:jc w:val="left"/>
            </w:pPr>
            <w:r>
              <w:rPr>
                <w:sz w:val="18"/>
              </w:rPr>
              <w:t xml:space="preserve">FR-11</w:t>
            </w:r>
          </w:p>
        </w:tc>
        <w:tc>
          <w:tcPr/>
          <w:p>
            <w:pPr>
              <w:pStyle w:val="Compact"/>
              <w:jc w:val="left"/>
            </w:pPr>
            <w:r>
              <w:rPr>
                <w:sz w:val="18"/>
              </w:rPr>
              <w:t xml:space="preserve">Alerting: lag, URP &gt; 0, offline partitions, disk &gt; 70%, cert expiry &lt; 14 days</w:t>
            </w:r>
          </w:p>
        </w:tc>
        <w:tc>
          <w:tcPr/>
          <w:p>
            <w:pPr>
              <w:pStyle w:val="Compact"/>
              <w:jc w:val="left"/>
            </w:pPr>
            <w:r>
              <w:rPr>
                <w:sz w:val="18"/>
              </w:rPr>
              <w:t xml:space="preserve">Must</w:t>
            </w:r>
          </w:p>
        </w:tc>
        <w:tc>
          <w:tcPr/>
          <w:p>
            <w:pPr>
              <w:pStyle w:val="Compact"/>
              <w:jc w:val="left"/>
            </w:pPr>
            <w:r>
              <w:rPr>
                <w:sz w:val="18"/>
              </w:rPr>
              <w:t xml:space="preserve">Each alert fires in the corresponding drill within its target time</w:t>
            </w:r>
          </w:p>
        </w:tc>
      </w:tr>
      <w:tr>
        <w:tc>
          <w:tcPr/>
          <w:p>
            <w:pPr>
              <w:pStyle w:val="Compact"/>
              <w:jc w:val="left"/>
            </w:pPr>
            <w:r>
              <w:rPr>
                <w:sz w:val="18"/>
              </w:rPr>
              <w:t xml:space="preserve">FR-12</w:t>
            </w:r>
          </w:p>
        </w:tc>
        <w:tc>
          <w:tcPr/>
          <w:p>
            <w:pPr>
              <w:pStyle w:val="Compact"/>
              <w:jc w:val="left"/>
            </w:pPr>
            <w:r>
              <w:rPr>
                <w:sz w:val="18"/>
              </w:rPr>
              <w:t xml:space="preserve">Six failure drills with evidence, RCA and runbook</w:t>
            </w:r>
          </w:p>
        </w:tc>
        <w:tc>
          <w:tcPr/>
          <w:p>
            <w:pPr>
              <w:pStyle w:val="Compact"/>
              <w:jc w:val="left"/>
            </w:pPr>
            <w:r>
              <w:rPr>
                <w:sz w:val="18"/>
              </w:rPr>
              <w:t xml:space="preserve">Must</w:t>
            </w:r>
          </w:p>
        </w:tc>
        <w:tc>
          <w:tcPr/>
          <w:p>
            <w:pPr>
              <w:pStyle w:val="Compact"/>
              <w:jc w:val="left"/>
            </w:pPr>
            <w:r>
              <w:rPr>
                <w:sz w:val="18"/>
              </w:rPr>
              <w:t xml:space="preserve">See section 7</w:t>
            </w:r>
          </w:p>
        </w:tc>
      </w:tr>
      <w:tr>
        <w:tc>
          <w:tcPr/>
          <w:p>
            <w:pPr>
              <w:pStyle w:val="Compact"/>
              <w:jc w:val="left"/>
            </w:pPr>
            <w:r>
              <w:rPr>
                <w:sz w:val="18"/>
              </w:rPr>
              <w:t xml:space="preserve">FR-13</w:t>
            </w:r>
          </w:p>
        </w:tc>
        <w:tc>
          <w:tcPr/>
          <w:p>
            <w:pPr>
              <w:pStyle w:val="Compact"/>
              <w:jc w:val="left"/>
            </w:pPr>
            <w:r>
              <w:rPr>
                <w:sz w:val="18"/>
              </w:rPr>
              <w:t xml:space="preserve">Rolling restart and rolling upgrade with no client-visible downtime</w:t>
            </w:r>
          </w:p>
        </w:tc>
        <w:tc>
          <w:tcPr/>
          <w:p>
            <w:pPr>
              <w:pStyle w:val="Compact"/>
              <w:jc w:val="left"/>
            </w:pPr>
            <w:r>
              <w:rPr>
                <w:sz w:val="18"/>
              </w:rPr>
              <w:t xml:space="preserve">Should</w:t>
            </w:r>
          </w:p>
        </w:tc>
        <w:tc>
          <w:tcPr/>
          <w:p>
            <w:pPr>
              <w:pStyle w:val="Compact"/>
              <w:jc w:val="left"/>
            </w:pPr>
            <w:r>
              <w:rPr>
                <w:sz w:val="18"/>
              </w:rPr>
              <w:t xml:space="preserve">Producer error count stays 0 during upgrade test; no consumer lag spike beyond threshold</w:t>
            </w:r>
          </w:p>
        </w:tc>
      </w:tr>
      <w:tr>
        <w:tc>
          <w:tcPr/>
          <w:p>
            <w:pPr>
              <w:pStyle w:val="Compact"/>
              <w:jc w:val="left"/>
            </w:pPr>
            <w:r>
              <w:rPr>
                <w:sz w:val="18"/>
              </w:rPr>
              <w:t xml:space="preserve">FR-14</w:t>
            </w:r>
          </w:p>
        </w:tc>
        <w:tc>
          <w:tcPr/>
          <w:p>
            <w:pPr>
              <w:pStyle w:val="Compact"/>
              <w:jc w:val="left"/>
            </w:pPr>
            <w:r>
              <w:rPr>
                <w:sz w:val="18"/>
              </w:rPr>
              <w:t xml:space="preserve">Add a 4th broker and rebalance partitions</w:t>
            </w:r>
          </w:p>
        </w:tc>
        <w:tc>
          <w:tcPr/>
          <w:p>
            <w:pPr>
              <w:pStyle w:val="Compact"/>
              <w:jc w:val="left"/>
            </w:pPr>
            <w:r>
              <w:rPr>
                <w:sz w:val="18"/>
              </w:rPr>
              <w:t xml:space="preserve">Should</w:t>
            </w:r>
          </w:p>
        </w:tc>
        <w:tc>
          <w:tcPr/>
          <w:p>
            <w:pPr>
              <w:pStyle w:val="Compact"/>
              <w:jc w:val="left"/>
            </w:pPr>
            <w:r>
              <w:rPr>
                <w:sz w:val="18"/>
              </w:rPr>
              <w:t xml:space="preserve">Reassignment completes; load distribution measured before and after</w:t>
            </w:r>
          </w:p>
        </w:tc>
      </w:tr>
      <w:tr>
        <w:tc>
          <w:tcPr/>
          <w:p>
            <w:pPr>
              <w:pStyle w:val="Compact"/>
              <w:jc w:val="left"/>
            </w:pPr>
            <w:r>
              <w:rPr>
                <w:sz w:val="18"/>
              </w:rPr>
              <w:t xml:space="preserve">FR-15</w:t>
            </w:r>
          </w:p>
        </w:tc>
        <w:tc>
          <w:tcPr/>
          <w:p>
            <w:pPr>
              <w:pStyle w:val="Compact"/>
              <w:jc w:val="left"/>
            </w:pPr>
            <w:r>
              <w:rPr>
                <w:sz w:val="18"/>
              </w:rPr>
              <w:t xml:space="preserve">Kafka Connect: Postgres CDC source connector (Debezium)</w:t>
            </w:r>
          </w:p>
        </w:tc>
        <w:tc>
          <w:tcPr/>
          <w:p>
            <w:pPr>
              <w:pStyle w:val="Compact"/>
              <w:jc w:val="left"/>
            </w:pPr>
            <w:r>
              <w:rPr>
                <w:sz w:val="18"/>
              </w:rPr>
              <w:t xml:space="preserve">Should</w:t>
            </w:r>
          </w:p>
        </w:tc>
        <w:tc>
          <w:tcPr/>
          <w:p>
            <w:pPr>
              <w:pStyle w:val="Compact"/>
              <w:jc w:val="left"/>
            </w:pPr>
            <w:r>
              <w:rPr>
                <w:sz w:val="18"/>
              </w:rPr>
              <w:t xml:space="preserve">Row changes in accounts appear on pg.public.accounts</w:t>
            </w:r>
          </w:p>
        </w:tc>
      </w:tr>
      <w:tr>
        <w:tc>
          <w:tcPr/>
          <w:p>
            <w:pPr>
              <w:pStyle w:val="Compact"/>
              <w:jc w:val="left"/>
            </w:pPr>
            <w:r>
              <w:rPr>
                <w:sz w:val="18"/>
              </w:rPr>
              <w:t xml:space="preserve">FR-16</w:t>
            </w:r>
          </w:p>
        </w:tc>
        <w:tc>
          <w:tcPr/>
          <w:p>
            <w:pPr>
              <w:pStyle w:val="Compact"/>
              <w:jc w:val="left"/>
            </w:pPr>
            <w:r>
              <w:rPr>
                <w:sz w:val="18"/>
              </w:rPr>
              <w:t xml:space="preserve">Topic and ACL definitions stored as code and applied by CI</w:t>
            </w:r>
          </w:p>
        </w:tc>
        <w:tc>
          <w:tcPr/>
          <w:p>
            <w:pPr>
              <w:pStyle w:val="Compact"/>
              <w:jc w:val="left"/>
            </w:pPr>
            <w:r>
              <w:rPr>
                <w:sz w:val="18"/>
              </w:rPr>
              <w:t xml:space="preserve">Should</w:t>
            </w:r>
          </w:p>
        </w:tc>
        <w:tc>
          <w:tcPr/>
          <w:p>
            <w:pPr>
              <w:pStyle w:val="Compact"/>
              <w:jc w:val="left"/>
            </w:pPr>
            <w:r>
              <w:rPr>
                <w:sz w:val="18"/>
              </w:rPr>
              <w:t xml:space="preserve">Merge to main applies changes to dev; drift check reports manual changes</w:t>
            </w:r>
          </w:p>
        </w:tc>
      </w:tr>
      <w:tr>
        <w:tc>
          <w:tcPr/>
          <w:p>
            <w:pPr>
              <w:pStyle w:val="Compact"/>
              <w:jc w:val="left"/>
            </w:pPr>
            <w:r>
              <w:rPr>
                <w:sz w:val="18"/>
              </w:rPr>
              <w:t xml:space="preserve">FR-17</w:t>
            </w:r>
          </w:p>
        </w:tc>
        <w:tc>
          <w:tcPr/>
          <w:p>
            <w:pPr>
              <w:pStyle w:val="Compact"/>
              <w:jc w:val="left"/>
            </w:pPr>
            <w:r>
              <w:rPr>
                <w:sz w:val="18"/>
              </w:rPr>
              <w:t xml:space="preserve">CI pipeline: build, unit tests, integration tests, config lint, image scan</w:t>
            </w:r>
          </w:p>
        </w:tc>
        <w:tc>
          <w:tcPr/>
          <w:p>
            <w:pPr>
              <w:pStyle w:val="Compact"/>
              <w:jc w:val="left"/>
            </w:pPr>
            <w:r>
              <w:rPr>
                <w:sz w:val="18"/>
              </w:rPr>
              <w:t xml:space="preserve">Must</w:t>
            </w:r>
          </w:p>
        </w:tc>
        <w:tc>
          <w:tcPr/>
          <w:p>
            <w:pPr>
              <w:pStyle w:val="Compact"/>
              <w:jc w:val="left"/>
            </w:pPr>
            <w:r>
              <w:rPr>
                <w:sz w:val="18"/>
              </w:rPr>
              <w:t xml:space="preserve">Pipeline fails on any failing test or lint violation</w:t>
            </w:r>
          </w:p>
        </w:tc>
      </w:tr>
      <w:tr>
        <w:tc>
          <w:tcPr/>
          <w:p>
            <w:pPr>
              <w:pStyle w:val="Compact"/>
              <w:jc w:val="left"/>
            </w:pPr>
            <w:r>
              <w:rPr>
                <w:sz w:val="18"/>
              </w:rPr>
              <w:t xml:space="preserve">FR-18</w:t>
            </w:r>
          </w:p>
        </w:tc>
        <w:tc>
          <w:tcPr/>
          <w:p>
            <w:pPr>
              <w:pStyle w:val="Compact"/>
              <w:jc w:val="left"/>
            </w:pPr>
            <w:r>
              <w:rPr>
                <w:sz w:val="18"/>
              </w:rPr>
              <w:t xml:space="preserve">Operational documentation: deployment guide, config standards, runbooks, DR plan</w:t>
            </w:r>
          </w:p>
        </w:tc>
        <w:tc>
          <w:tcPr/>
          <w:p>
            <w:pPr>
              <w:pStyle w:val="Compact"/>
              <w:jc w:val="left"/>
            </w:pPr>
            <w:r>
              <w:rPr>
                <w:sz w:val="18"/>
              </w:rPr>
              <w:t xml:space="preserve">Must</w:t>
            </w:r>
          </w:p>
        </w:tc>
        <w:tc>
          <w:tcPr/>
          <w:p>
            <w:pPr>
              <w:pStyle w:val="Compact"/>
              <w:jc w:val="left"/>
            </w:pPr>
            <w:r>
              <w:rPr>
                <w:sz w:val="18"/>
              </w:rPr>
              <w:t xml:space="preserve">A new reader can bring up the stack and execute any runbook from docs alone</w:t>
            </w:r>
          </w:p>
        </w:tc>
      </w:tr>
      <w:tr>
        <w:tc>
          <w:tcPr/>
          <w:p>
            <w:pPr>
              <w:pStyle w:val="Compact"/>
              <w:jc w:val="left"/>
            </w:pPr>
            <w:r>
              <w:rPr>
                <w:sz w:val="18"/>
              </w:rPr>
              <w:t xml:space="preserve">FR-19</w:t>
            </w:r>
          </w:p>
        </w:tc>
        <w:tc>
          <w:tcPr/>
          <w:p>
            <w:pPr>
              <w:pStyle w:val="Compact"/>
              <w:jc w:val="left"/>
            </w:pPr>
            <w:r>
              <w:rPr>
                <w:sz w:val="18"/>
              </w:rPr>
              <w:t xml:space="preserve">Cross-cluster replication (MirrorMaker 2 or Cluster Linking) and failover test</w:t>
            </w:r>
          </w:p>
        </w:tc>
        <w:tc>
          <w:tcPr/>
          <w:p>
            <w:pPr>
              <w:pStyle w:val="Compact"/>
              <w:jc w:val="left"/>
            </w:pPr>
            <w:r>
              <w:rPr>
                <w:sz w:val="18"/>
              </w:rPr>
              <w:t xml:space="preserve">Could</w:t>
            </w:r>
          </w:p>
        </w:tc>
        <w:tc>
          <w:tcPr/>
          <w:p>
            <w:pPr>
              <w:pStyle w:val="Compact"/>
              <w:jc w:val="left"/>
            </w:pPr>
            <w:r>
              <w:rPr>
                <w:sz w:val="18"/>
              </w:rPr>
              <w:t xml:space="preserve">Failover completes; RPO and RTO measured and recorded</w:t>
            </w:r>
          </w:p>
        </w:tc>
      </w:tr>
      <w:tr>
        <w:tc>
          <w:tcPr/>
          <w:p>
            <w:pPr>
              <w:pStyle w:val="Compact"/>
              <w:jc w:val="left"/>
            </w:pPr>
            <w:r>
              <w:rPr>
                <w:sz w:val="18"/>
              </w:rPr>
              <w:t xml:space="preserve">FR-20</w:t>
            </w:r>
          </w:p>
        </w:tc>
        <w:tc>
          <w:tcPr/>
          <w:p>
            <w:pPr>
              <w:pStyle w:val="Compact"/>
              <w:jc w:val="left"/>
            </w:pPr>
            <w:r>
              <w:rPr>
                <w:sz w:val="18"/>
              </w:rPr>
              <w:t xml:space="preserve">Kubernetes deployment with Helm or operator</w:t>
            </w:r>
          </w:p>
        </w:tc>
        <w:tc>
          <w:tcPr/>
          <w:p>
            <w:pPr>
              <w:pStyle w:val="Compact"/>
              <w:jc w:val="left"/>
            </w:pPr>
            <w:r>
              <w:rPr>
                <w:sz w:val="18"/>
              </w:rPr>
              <w:t xml:space="preserve">Could</w:t>
            </w:r>
          </w:p>
        </w:tc>
        <w:tc>
          <w:tcPr/>
          <w:p>
            <w:pPr>
              <w:pStyle w:val="Compact"/>
              <w:jc w:val="left"/>
            </w:pPr>
            <w:r>
              <w:rPr>
                <w:sz w:val="18"/>
              </w:rPr>
              <w:t xml:space="preserve">Same workload runs on K8s with equivalent security and monitoring</w:t>
            </w:r>
          </w:p>
        </w:tc>
      </w:tr>
    </w:tbl>
    <w:bookmarkEnd w:id="27"/>
    <w:bookmarkStart w:id="28" w:name="X4284b38267b2d494e3c3316abed2db2b601c3d5"/>
    <w:p>
      <w:pPr>
        <w:pStyle w:val="Heading1"/>
      </w:pPr>
      <w:r>
        <w:t xml:space="preserve">7. The Six Failure Drills (required deliverable)</w:t>
      </w:r>
    </w:p>
    <w:p>
      <w:pPr>
        <w:pStyle w:val="FirstParagraph"/>
      </w:pPr>
      <w:r>
        <w:t xml:space="preserve">Each drill is delivered as a document with: hypothesis, setup, fault injection steps, observed behaviour (metrics screenshots/logs), root cause, fix, prevention, and the alert that should have fired.</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Drill</w:t>
            </w:r>
          </w:p>
        </w:tc>
        <w:tc>
          <w:tcPr>
            <w:shd w:val="clear" w:color="auto" w:fill="D9E2F3"/>
          </w:tcPr>
          <w:p>
            <w:pPr>
              <w:pStyle w:val="Compact"/>
              <w:jc w:val="left"/>
            </w:pPr>
            <w:r>
              <w:rPr>
                <w:b/>
                <w:sz w:val="18"/>
              </w:rPr>
              <w:t xml:space="preserve">Fault injected</w:t>
            </w:r>
          </w:p>
        </w:tc>
        <w:tc>
          <w:tcPr>
            <w:shd w:val="clear" w:color="auto" w:fill="D9E2F3"/>
          </w:tcPr>
          <w:p>
            <w:pPr>
              <w:pStyle w:val="Compact"/>
              <w:jc w:val="left"/>
            </w:pPr>
            <w:r>
              <w:rPr>
                <w:b/>
                <w:sz w:val="18"/>
              </w:rPr>
              <w:t xml:space="preserve">Expected learning</w:t>
            </w:r>
          </w:p>
        </w:tc>
      </w:tr>
      <w:tr>
        <w:tc>
          <w:tcPr/>
          <w:p>
            <w:pPr>
              <w:pStyle w:val="Compact"/>
              <w:jc w:val="left"/>
            </w:pPr>
            <w:r>
              <w:rPr>
                <w:sz w:val="18"/>
              </w:rPr>
              <w:t xml:space="preserve">D1</w:t>
            </w:r>
          </w:p>
        </w:tc>
        <w:tc>
          <w:tcPr/>
          <w:p>
            <w:pPr>
              <w:pStyle w:val="Compact"/>
              <w:jc w:val="left"/>
            </w:pPr>
            <w:r>
              <w:rPr>
                <w:sz w:val="18"/>
              </w:rPr>
              <w:t xml:space="preserve">Single broker loss</w:t>
            </w:r>
          </w:p>
        </w:tc>
        <w:tc>
          <w:tcPr/>
          <w:p>
            <w:pPr>
              <w:pStyle w:val="Compact"/>
              <w:jc w:val="left"/>
            </w:pPr>
            <w:r>
              <w:rPr>
                <w:sz w:val="18"/>
              </w:rPr>
              <w:t xml:space="preserve">Stop one broker mid-traffic</w:t>
            </w:r>
          </w:p>
        </w:tc>
        <w:tc>
          <w:tcPr/>
          <w:p>
            <w:pPr>
              <w:pStyle w:val="Compact"/>
              <w:jc w:val="left"/>
            </w:pPr>
            <w:r>
              <w:rPr>
                <w:sz w:val="18"/>
              </w:rPr>
              <w:t xml:space="preserve">Leader election, client retries, no data loss, recovery and catch-up</w:t>
            </w:r>
          </w:p>
        </w:tc>
      </w:tr>
      <w:tr>
        <w:tc>
          <w:tcPr/>
          <w:p>
            <w:pPr>
              <w:pStyle w:val="Compact"/>
              <w:jc w:val="left"/>
            </w:pPr>
            <w:r>
              <w:rPr>
                <w:sz w:val="18"/>
              </w:rPr>
              <w:t xml:space="preserve">D2</w:t>
            </w:r>
          </w:p>
        </w:tc>
        <w:tc>
          <w:tcPr/>
          <w:p>
            <w:pPr>
              <w:pStyle w:val="Compact"/>
              <w:jc w:val="left"/>
            </w:pPr>
            <w:r>
              <w:rPr>
                <w:sz w:val="18"/>
              </w:rPr>
              <w:t xml:space="preserve">ISR shrink / quorum loss</w:t>
            </w:r>
          </w:p>
        </w:tc>
        <w:tc>
          <w:tcPr/>
          <w:p>
            <w:pPr>
              <w:pStyle w:val="Compact"/>
              <w:jc w:val="left"/>
            </w:pPr>
            <w:r>
              <w:rPr>
                <w:sz w:val="18"/>
              </w:rPr>
              <w:t xml:space="preserve">Stop two brokers</w:t>
            </w:r>
          </w:p>
        </w:tc>
        <w:tc>
          <w:tcPr/>
          <w:p>
            <w:pPr>
              <w:pStyle w:val="Compact"/>
              <w:jc w:val="left"/>
            </w:pPr>
            <w:r>
              <w:rPr>
                <w:sz w:val="18"/>
              </w:rPr>
              <w:t xml:space="preserve">Producers with acks=all block as designed (min.insync.replicas=2); consumers on remaining partitions behave; recovery order</w:t>
            </w:r>
          </w:p>
        </w:tc>
      </w:tr>
      <w:tr>
        <w:tc>
          <w:tcPr/>
          <w:p>
            <w:pPr>
              <w:pStyle w:val="Compact"/>
              <w:jc w:val="left"/>
            </w:pPr>
            <w:r>
              <w:rPr>
                <w:sz w:val="18"/>
              </w:rPr>
              <w:t xml:space="preserve">D3</w:t>
            </w:r>
          </w:p>
        </w:tc>
        <w:tc>
          <w:tcPr/>
          <w:p>
            <w:pPr>
              <w:pStyle w:val="Compact"/>
              <w:jc w:val="left"/>
            </w:pPr>
            <w:r>
              <w:rPr>
                <w:sz w:val="18"/>
              </w:rPr>
              <w:t xml:space="preserve">Consumer lag and rebalance storm</w:t>
            </w:r>
          </w:p>
        </w:tc>
        <w:tc>
          <w:tcPr/>
          <w:p>
            <w:pPr>
              <w:pStyle w:val="Compact"/>
              <w:jc w:val="left"/>
            </w:pPr>
            <w:r>
              <w:rPr>
                <w:sz w:val="18"/>
              </w:rPr>
              <w:t xml:space="preserve">Slow consumer, misconfigured max.poll.interval.ms</w:t>
            </w:r>
          </w:p>
        </w:tc>
        <w:tc>
          <w:tcPr/>
          <w:p>
            <w:pPr>
              <w:pStyle w:val="Compact"/>
              <w:jc w:val="left"/>
            </w:pPr>
            <w:r>
              <w:rPr>
                <w:sz w:val="18"/>
              </w:rPr>
              <w:t xml:space="preserve">Lag growth, repeated rebalances, cooperative rebalancing fix</w:t>
            </w:r>
          </w:p>
        </w:tc>
      </w:tr>
      <w:tr>
        <w:tc>
          <w:tcPr/>
          <w:p>
            <w:pPr>
              <w:pStyle w:val="Compact"/>
              <w:jc w:val="left"/>
            </w:pPr>
            <w:r>
              <w:rPr>
                <w:sz w:val="18"/>
              </w:rPr>
              <w:t xml:space="preserve">D4</w:t>
            </w:r>
          </w:p>
        </w:tc>
        <w:tc>
          <w:tcPr/>
          <w:p>
            <w:pPr>
              <w:pStyle w:val="Compact"/>
              <w:jc w:val="left"/>
            </w:pPr>
            <w:r>
              <w:rPr>
                <w:sz w:val="18"/>
              </w:rPr>
              <w:t xml:space="preserve">Disk exhaustion</w:t>
            </w:r>
          </w:p>
        </w:tc>
        <w:tc>
          <w:tcPr/>
          <w:p>
            <w:pPr>
              <w:pStyle w:val="Compact"/>
              <w:jc w:val="left"/>
            </w:pPr>
            <w:r>
              <w:rPr>
                <w:sz w:val="18"/>
              </w:rPr>
              <w:t xml:space="preserve">Fill broker log volume</w:t>
            </w:r>
          </w:p>
        </w:tc>
        <w:tc>
          <w:tcPr/>
          <w:p>
            <w:pPr>
              <w:pStyle w:val="Compact"/>
              <w:jc w:val="left"/>
            </w:pPr>
            <w:r>
              <w:rPr>
                <w:sz w:val="18"/>
              </w:rPr>
              <w:t xml:space="preserve">Broker failure behaviour, retention/segment tuning, alert thresholds</w:t>
            </w:r>
          </w:p>
        </w:tc>
      </w:tr>
      <w:tr>
        <w:tc>
          <w:tcPr/>
          <w:p>
            <w:pPr>
              <w:pStyle w:val="Compact"/>
              <w:jc w:val="left"/>
            </w:pPr>
            <w:r>
              <w:rPr>
                <w:sz w:val="18"/>
              </w:rPr>
              <w:t xml:space="preserve">D5</w:t>
            </w:r>
          </w:p>
        </w:tc>
        <w:tc>
          <w:tcPr/>
          <w:p>
            <w:pPr>
              <w:pStyle w:val="Compact"/>
              <w:jc w:val="left"/>
            </w:pPr>
            <w:r>
              <w:rPr>
                <w:sz w:val="18"/>
              </w:rPr>
              <w:t xml:space="preserve">Certificate expiry</w:t>
            </w:r>
          </w:p>
        </w:tc>
        <w:tc>
          <w:tcPr/>
          <w:p>
            <w:pPr>
              <w:pStyle w:val="Compact"/>
              <w:jc w:val="left"/>
            </w:pPr>
            <w:r>
              <w:rPr>
                <w:sz w:val="18"/>
              </w:rPr>
              <w:t xml:space="preserve">Let a client or broker cert expire</w:t>
            </w:r>
          </w:p>
        </w:tc>
        <w:tc>
          <w:tcPr/>
          <w:p>
            <w:pPr>
              <w:pStyle w:val="Compact"/>
              <w:jc w:val="left"/>
            </w:pPr>
            <w:r>
              <w:rPr>
                <w:sz w:val="18"/>
              </w:rPr>
              <w:t xml:space="preserve">Handshake failures, detection, rotation procedure</w:t>
            </w:r>
          </w:p>
        </w:tc>
      </w:tr>
      <w:tr>
        <w:tc>
          <w:tcPr/>
          <w:p>
            <w:pPr>
              <w:pStyle w:val="Compact"/>
              <w:jc w:val="left"/>
            </w:pPr>
            <w:r>
              <w:rPr>
                <w:sz w:val="18"/>
              </w:rPr>
              <w:t xml:space="preserve">D6</w:t>
            </w:r>
          </w:p>
        </w:tc>
        <w:tc>
          <w:tcPr/>
          <w:p>
            <w:pPr>
              <w:pStyle w:val="Compact"/>
              <w:jc w:val="left"/>
            </w:pPr>
            <w:r>
              <w:rPr>
                <w:sz w:val="18"/>
              </w:rPr>
              <w:t xml:space="preserve">Poison message</w:t>
            </w:r>
          </w:p>
        </w:tc>
        <w:tc>
          <w:tcPr/>
          <w:p>
            <w:pPr>
              <w:pStyle w:val="Compact"/>
              <w:jc w:val="left"/>
            </w:pPr>
            <w:r>
              <w:rPr>
                <w:sz w:val="18"/>
              </w:rPr>
              <w:t xml:space="preserve">Publish malformed/incompatible record</w:t>
            </w:r>
          </w:p>
        </w:tc>
        <w:tc>
          <w:tcPr/>
          <w:p>
            <w:pPr>
              <w:pStyle w:val="Compact"/>
              <w:jc w:val="left"/>
            </w:pPr>
            <w:r>
              <w:rPr>
                <w:sz w:val="18"/>
              </w:rPr>
              <w:t xml:space="preserve">Deserialization failure, DLQ routing, replay procedure</w:t>
            </w:r>
          </w:p>
        </w:tc>
      </w:tr>
    </w:tbl>
    <w:bookmarkEnd w:id="28"/>
    <w:bookmarkStart w:id="29" w:name="non-functional-requirements"/>
    <w:p>
      <w:pPr>
        <w:pStyle w:val="Heading1"/>
      </w:pPr>
      <w:r>
        <w:t xml:space="preserve">8. Non-Functional Requirements</w:t>
      </w:r>
    </w:p>
    <w:p>
      <w:pPr>
        <w:pStyle w:val="FirstParagraph"/>
      </w:pPr>
      <w:r>
        <w:t xml:space="preserve">Targets below are design targets to be validated on the reference environment and recorded in</w:t>
      </w:r>
      <w:r>
        <w:t xml:space="preserve"> </w:t>
      </w:r>
      <w:r>
        <w:rPr>
          <w:rStyle w:val="VerbatimChar"/>
        </w:rPr>
        <w:t xml:space="preserve">docs/performance/baseline.md</w:t>
      </w:r>
      <w:r>
        <w:t xml:space="preserve">. They are not claims until measured.</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shd w:val="clear" w:color="auto" w:fill="D9E2F3"/>
          </w:tcPr>
          <w:p>
            <w:pPr>
              <w:pStyle w:val="Compact"/>
              <w:jc w:val="left"/>
            </w:pPr>
            <w:r>
              <w:rPr>
                <w:b/>
                <w:sz w:val="18"/>
              </w:rPr>
              <w:t xml:space="preserve">Category</w:t>
            </w:r>
          </w:p>
        </w:tc>
        <w:tc>
          <w:tcPr>
            <w:shd w:val="clear" w:color="auto" w:fill="D9E2F3"/>
          </w:tcPr>
          <w:p>
            <w:pPr>
              <w:pStyle w:val="Compact"/>
              <w:jc w:val="left"/>
            </w:pPr>
            <w:r>
              <w:rPr>
                <w:b/>
                <w:sz w:val="18"/>
              </w:rPr>
              <w:t xml:space="preserve">Requirement</w:t>
            </w:r>
          </w:p>
        </w:tc>
      </w:tr>
      <w:tr>
        <w:tc>
          <w:tcPr/>
          <w:p>
            <w:pPr>
              <w:pStyle w:val="Compact"/>
              <w:jc w:val="left"/>
            </w:pPr>
            <w:r>
              <w:rPr>
                <w:sz w:val="18"/>
              </w:rPr>
              <w:t xml:space="preserve">Durability</w:t>
            </w:r>
          </w:p>
        </w:tc>
        <w:tc>
          <w:tcPr/>
          <w:p>
            <w:pPr>
              <w:pStyle w:val="Compact"/>
              <w:jc w:val="left"/>
            </w:pPr>
            <w:r>
              <w:rPr>
                <w:sz w:val="18"/>
              </w:rPr>
              <w:t xml:space="preserve">Zero acknowledged-message loss under single broker failure (acks=all, RF=3, min.insync.replicas=2, unclean leader election disabled)</w:t>
            </w:r>
          </w:p>
        </w:tc>
      </w:tr>
      <w:tr>
        <w:tc>
          <w:tcPr/>
          <w:p>
            <w:pPr>
              <w:pStyle w:val="Compact"/>
              <w:jc w:val="left"/>
            </w:pPr>
            <w:r>
              <w:rPr>
                <w:sz w:val="18"/>
              </w:rPr>
              <w:t xml:space="preserve">Availability</w:t>
            </w:r>
          </w:p>
        </w:tc>
        <w:tc>
          <w:tcPr/>
          <w:p>
            <w:pPr>
              <w:pStyle w:val="Compact"/>
              <w:jc w:val="left"/>
            </w:pPr>
            <w:r>
              <w:rPr>
                <w:sz w:val="18"/>
              </w:rPr>
              <w:t xml:space="preserve">Reads and writes continue through any single broker failure; write unavailability under double failure is intentional and documented</w:t>
            </w:r>
          </w:p>
        </w:tc>
      </w:tr>
      <w:tr>
        <w:tc>
          <w:tcPr/>
          <w:p>
            <w:pPr>
              <w:pStyle w:val="Compact"/>
              <w:jc w:val="left"/>
            </w:pPr>
            <w:r>
              <w:rPr>
                <w:sz w:val="18"/>
              </w:rPr>
              <w:t xml:space="preserve">Latency</w:t>
            </w:r>
          </w:p>
        </w:tc>
        <w:tc>
          <w:tcPr/>
          <w:p>
            <w:pPr>
              <w:pStyle w:val="Compact"/>
              <w:jc w:val="left"/>
            </w:pPr>
            <w:r>
              <w:rPr>
                <w:sz w:val="18"/>
              </w:rPr>
              <w:t xml:space="preserve">p99 produce-to-consume latency under 200 ms at 1,000 msg/s on the reference environment (re-baselined per hardware)</w:t>
            </w:r>
          </w:p>
        </w:tc>
      </w:tr>
      <w:tr>
        <w:tc>
          <w:tcPr/>
          <w:p>
            <w:pPr>
              <w:pStyle w:val="Compact"/>
              <w:jc w:val="left"/>
            </w:pPr>
            <w:r>
              <w:rPr>
                <w:sz w:val="18"/>
              </w:rPr>
              <w:t xml:space="preserve">Throughput</w:t>
            </w:r>
          </w:p>
        </w:tc>
        <w:tc>
          <w:tcPr/>
          <w:p>
            <w:pPr>
              <w:pStyle w:val="Compact"/>
              <w:jc w:val="left"/>
            </w:pPr>
            <w:r>
              <w:rPr>
                <w:sz w:val="18"/>
              </w:rPr>
              <w:t xml:space="preserve">Sustain at least 5,000 msg/s on the reference environment; record the actual ceiling and bottleneck</w:t>
            </w:r>
          </w:p>
        </w:tc>
      </w:tr>
      <w:tr>
        <w:tc>
          <w:tcPr/>
          <w:p>
            <w:pPr>
              <w:pStyle w:val="Compact"/>
              <w:jc w:val="left"/>
            </w:pPr>
            <w:r>
              <w:rPr>
                <w:sz w:val="18"/>
              </w:rPr>
              <w:t xml:space="preserve">Security</w:t>
            </w:r>
          </w:p>
        </w:tc>
        <w:tc>
          <w:tcPr/>
          <w:p>
            <w:pPr>
              <w:pStyle w:val="Compact"/>
              <w:jc w:val="left"/>
            </w:pPr>
            <w:r>
              <w:rPr>
                <w:sz w:val="18"/>
              </w:rPr>
              <w:t xml:space="preserve">All traffic encrypted; all principals authenticated; least-privilege ACLs; no secrets in Git</w:t>
            </w:r>
          </w:p>
        </w:tc>
      </w:tr>
      <w:tr>
        <w:tc>
          <w:tcPr/>
          <w:p>
            <w:pPr>
              <w:pStyle w:val="Compact"/>
              <w:jc w:val="left"/>
            </w:pPr>
            <w:r>
              <w:rPr>
                <w:sz w:val="18"/>
              </w:rPr>
              <w:t xml:space="preserve">Recoverability</w:t>
            </w:r>
          </w:p>
        </w:tc>
        <w:tc>
          <w:tcPr/>
          <w:p>
            <w:pPr>
              <w:pStyle w:val="Compact"/>
              <w:jc w:val="left"/>
            </w:pPr>
            <w:r>
              <w:rPr>
                <w:sz w:val="18"/>
              </w:rPr>
              <w:t xml:space="preserve">Documented RTO/RPO for single-broker loss, full-cluster restart, and (if built) DR failover</w:t>
            </w:r>
          </w:p>
        </w:tc>
      </w:tr>
      <w:tr>
        <w:tc>
          <w:tcPr/>
          <w:p>
            <w:pPr>
              <w:pStyle w:val="Compact"/>
              <w:jc w:val="left"/>
            </w:pPr>
            <w:r>
              <w:rPr>
                <w:sz w:val="18"/>
              </w:rPr>
              <w:t xml:space="preserve">Observability</w:t>
            </w:r>
          </w:p>
        </w:tc>
        <w:tc>
          <w:tcPr/>
          <w:p>
            <w:pPr>
              <w:pStyle w:val="Compact"/>
              <w:jc w:val="left"/>
            </w:pPr>
            <w:r>
              <w:rPr>
                <w:sz w:val="18"/>
              </w:rPr>
              <w:t xml:space="preserve">Every Must-level failure mode has at least one metric and one alert</w:t>
            </w:r>
          </w:p>
        </w:tc>
      </w:tr>
      <w:tr>
        <w:tc>
          <w:tcPr/>
          <w:p>
            <w:pPr>
              <w:pStyle w:val="Compact"/>
              <w:jc w:val="left"/>
            </w:pPr>
            <w:r>
              <w:rPr>
                <w:sz w:val="18"/>
              </w:rPr>
              <w:t xml:space="preserve">Reproducibility</w:t>
            </w:r>
          </w:p>
        </w:tc>
        <w:tc>
          <w:tcPr/>
          <w:p>
            <w:pPr>
              <w:pStyle w:val="Compact"/>
              <w:jc w:val="left"/>
            </w:pPr>
            <w:r>
              <w:rPr>
                <w:sz w:val="18"/>
              </w:rPr>
              <w:t xml:space="preserve">Cold start to working platform in one command (</w:t>
            </w:r>
            <w:r>
              <w:rPr>
                <w:rStyle w:val="VerbatimChar"/>
                <w:sz w:val="18"/>
              </w:rPr>
              <w:t xml:space="preserve">make up</w:t>
            </w:r>
            <w:r>
              <w:rPr>
                <w:sz w:val="18"/>
              </w:rPr>
              <w:t xml:space="preserve">)</w:t>
            </w:r>
          </w:p>
        </w:tc>
      </w:tr>
      <w:tr>
        <w:tc>
          <w:tcPr/>
          <w:p>
            <w:pPr>
              <w:pStyle w:val="Compact"/>
              <w:jc w:val="left"/>
            </w:pPr>
            <w:r>
              <w:rPr>
                <w:sz w:val="18"/>
              </w:rPr>
              <w:t xml:space="preserve">Maintainability</w:t>
            </w:r>
          </w:p>
        </w:tc>
        <w:tc>
          <w:tcPr/>
          <w:p>
            <w:pPr>
              <w:pStyle w:val="Compact"/>
              <w:jc w:val="left"/>
            </w:pPr>
            <w:r>
              <w:rPr>
                <w:sz w:val="18"/>
              </w:rPr>
              <w:t xml:space="preserve">Config in Git, versions pinned, upgrade procedure tested</w:t>
            </w:r>
          </w:p>
        </w:tc>
      </w:tr>
      <w:tr>
        <w:tc>
          <w:tcPr/>
          <w:p>
            <w:pPr>
              <w:pStyle w:val="Compact"/>
              <w:jc w:val="left"/>
            </w:pPr>
            <w:r>
              <w:rPr>
                <w:sz w:val="18"/>
              </w:rPr>
              <w:t xml:space="preserve">Portability</w:t>
            </w:r>
          </w:p>
        </w:tc>
        <w:tc>
          <w:tcPr/>
          <w:p>
            <w:pPr>
              <w:pStyle w:val="Compact"/>
              <w:jc w:val="left"/>
            </w:pPr>
            <w:r>
              <w:rPr>
                <w:sz w:val="18"/>
              </w:rPr>
              <w:t xml:space="preserve">Same service images run in Docker Compose and Kubernetes</w:t>
            </w:r>
          </w:p>
        </w:tc>
      </w:tr>
    </w:tbl>
    <w:bookmarkEnd w:id="29"/>
    <w:bookmarkStart w:id="30" w:name="success-metrics"/>
    <w:p>
      <w:pPr>
        <w:pStyle w:val="Heading1"/>
      </w:pPr>
      <w:r>
        <w:t xml:space="preserve">9. Success Metrics</w:t>
      </w:r>
    </w:p>
    <w:p>
      <w:pPr>
        <w:numPr>
          <w:ilvl w:val="0"/>
          <w:numId w:val="1003"/>
        </w:numPr>
        <w:pStyle w:val="Compact"/>
      </w:pPr>
      <w:r>
        <w:t xml:space="preserve">6 of 6 drills completed with evidence and runbooks.</w:t>
      </w:r>
    </w:p>
    <w:p>
      <w:pPr>
        <w:numPr>
          <w:ilvl w:val="0"/>
          <w:numId w:val="1003"/>
        </w:numPr>
        <w:pStyle w:val="Compact"/>
      </w:pPr>
      <w:r>
        <w:t xml:space="preserve">0 failed messages (lost or duplicated at sink) in the single-broker-loss test over a 30-minute run.</w:t>
      </w:r>
    </w:p>
    <w:p>
      <w:pPr>
        <w:numPr>
          <w:ilvl w:val="0"/>
          <w:numId w:val="1003"/>
        </w:numPr>
        <w:pStyle w:val="Compact"/>
      </w:pPr>
      <w:r>
        <w:t xml:space="preserve">Rolling upgrade executed with 0 producer errors.</w:t>
      </w:r>
    </w:p>
    <w:p>
      <w:pPr>
        <w:numPr>
          <w:ilvl w:val="0"/>
          <w:numId w:val="1003"/>
        </w:numPr>
        <w:pStyle w:val="Compact"/>
      </w:pPr>
      <w:r>
        <w:t xml:space="preserve">Test suite green in CI; coverage thresholds met.</w:t>
      </w:r>
    </w:p>
    <w:p>
      <w:pPr>
        <w:numPr>
          <w:ilvl w:val="0"/>
          <w:numId w:val="1003"/>
        </w:numPr>
        <w:pStyle w:val="Compact"/>
      </w:pPr>
      <w:r>
        <w:t xml:space="preserve">A reviewer can clone, run</w:t>
      </w:r>
      <w:r>
        <w:t xml:space="preserve"> </w:t>
      </w:r>
      <w:r>
        <w:rPr>
          <w:rStyle w:val="VerbatimChar"/>
        </w:rPr>
        <w:t xml:space="preserve">make up</w:t>
      </w:r>
      <w:r>
        <w:t xml:space="preserve">, and reproduce drill D1 in under 30 minutes.</w:t>
      </w:r>
    </w:p>
    <w:bookmarkEnd w:id="30"/>
    <w:bookmarkStart w:id="31" w:name="assumptions-and-dependencies"/>
    <w:p>
      <w:pPr>
        <w:pStyle w:val="Heading1"/>
      </w:pPr>
      <w:r>
        <w:t xml:space="preserve">10. Assumptions and Dependencies</w:t>
      </w:r>
    </w:p>
    <w:p>
      <w:pPr>
        <w:numPr>
          <w:ilvl w:val="0"/>
          <w:numId w:val="1004"/>
        </w:numPr>
        <w:pStyle w:val="Compact"/>
      </w:pPr>
      <w:r>
        <w:t xml:space="preserve">Reference environment: a machine with 16 GB RAM or a small cloud VM. Smaller hardware requires reduced broker heap and message rates.</w:t>
      </w:r>
    </w:p>
    <w:p>
      <w:pPr>
        <w:numPr>
          <w:ilvl w:val="0"/>
          <w:numId w:val="1004"/>
        </w:numPr>
        <w:pStyle w:val="Compact"/>
      </w:pPr>
      <w:r>
        <w:t xml:space="preserve">Docker/Compose available. Kubernetes optional.</w:t>
      </w:r>
    </w:p>
    <w:p>
      <w:pPr>
        <w:numPr>
          <w:ilvl w:val="0"/>
          <w:numId w:val="1004"/>
        </w:numPr>
        <w:pStyle w:val="Compact"/>
      </w:pPr>
      <w:r>
        <w:t xml:space="preserve">Confluent Platform licensing for commercial components (for example Control Center, Cluster Linking) must be checked against Confluent’s current terms before relying on them. Time-limited trials can break a multi-week plan. The design therefore keeps Apache Kafka plus community-licensed components as the default and treats commercial components as optional add-ons.</w:t>
      </w:r>
    </w:p>
    <w:bookmarkEnd w:id="31"/>
    <w:bookmarkStart w:id="32" w:name="risks"/>
    <w:p>
      <w:pPr>
        <w:pStyle w:val="Heading1"/>
      </w:pPr>
      <w:r>
        <w:t xml:space="preserve">11. Risks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shd w:val="clear" w:color="auto" w:fill="D9E2F3"/>
          </w:tcPr>
          <w:p>
            <w:pPr>
              <w:pStyle w:val="Compact"/>
              <w:jc w:val="left"/>
            </w:pPr>
            <w:r>
              <w:rPr>
                <w:b/>
                <w:sz w:val="18"/>
              </w:rPr>
              <w:t xml:space="preserve">Risk</w:t>
            </w:r>
          </w:p>
        </w:tc>
        <w:tc>
          <w:tcPr>
            <w:shd w:val="clear" w:color="auto" w:fill="D9E2F3"/>
          </w:tcPr>
          <w:p>
            <w:pPr>
              <w:pStyle w:val="Compact"/>
              <w:jc w:val="left"/>
            </w:pPr>
            <w:r>
              <w:rPr>
                <w:b/>
                <w:sz w:val="18"/>
              </w:rPr>
              <w:t xml:space="preserve">Likelihood</w:t>
            </w:r>
          </w:p>
        </w:tc>
        <w:tc>
          <w:tcPr>
            <w:shd w:val="clear" w:color="auto" w:fill="D9E2F3"/>
          </w:tcPr>
          <w:p>
            <w:pPr>
              <w:pStyle w:val="Compact"/>
              <w:jc w:val="left"/>
            </w:pPr>
            <w:r>
              <w:rPr>
                <w:b/>
                <w:sz w:val="18"/>
              </w:rPr>
              <w:t xml:space="preserve">Impact</w:t>
            </w:r>
          </w:p>
        </w:tc>
        <w:tc>
          <w:tcPr>
            <w:shd w:val="clear" w:color="auto" w:fill="D9E2F3"/>
          </w:tcPr>
          <w:p>
            <w:pPr>
              <w:pStyle w:val="Compact"/>
              <w:jc w:val="left"/>
            </w:pPr>
            <w:r>
              <w:rPr>
                <w:b/>
                <w:sz w:val="18"/>
              </w:rPr>
              <w:t xml:space="preserve">Mitigation</w:t>
            </w:r>
          </w:p>
        </w:tc>
      </w:tr>
      <w:tr>
        <w:tc>
          <w:tcPr/>
          <w:p>
            <w:pPr>
              <w:pStyle w:val="Compact"/>
              <w:jc w:val="left"/>
            </w:pPr>
            <w:r>
              <w:rPr>
                <w:sz w:val="18"/>
              </w:rPr>
              <w:t xml:space="preserve">Scope creep (bot, K8s, DR all at once)</w:t>
            </w:r>
          </w:p>
        </w:tc>
        <w:tc>
          <w:tcPr/>
          <w:p>
            <w:pPr>
              <w:pStyle w:val="Compact"/>
              <w:jc w:val="left"/>
            </w:pPr>
            <w:r>
              <w:rPr>
                <w:sz w:val="18"/>
              </w:rPr>
              <w:t xml:space="preserve">High</w:t>
            </w:r>
          </w:p>
        </w:tc>
        <w:tc>
          <w:tcPr/>
          <w:p>
            <w:pPr>
              <w:pStyle w:val="Compact"/>
              <w:jc w:val="left"/>
            </w:pPr>
            <w:r>
              <w:rPr>
                <w:sz w:val="18"/>
              </w:rPr>
              <w:t xml:space="preserve">High</w:t>
            </w:r>
          </w:p>
        </w:tc>
        <w:tc>
          <w:tcPr/>
          <w:p>
            <w:pPr>
              <w:pStyle w:val="Compact"/>
              <w:jc w:val="left"/>
            </w:pPr>
            <w:r>
              <w:rPr>
                <w:sz w:val="18"/>
              </w:rPr>
              <w:t xml:space="preserve">MoSCoW; stage gates; Could items only after Stage 2 exit</w:t>
            </w:r>
          </w:p>
        </w:tc>
      </w:tr>
      <w:tr>
        <w:tc>
          <w:tcPr/>
          <w:p>
            <w:pPr>
              <w:pStyle w:val="Compact"/>
              <w:jc w:val="left"/>
            </w:pPr>
            <w:r>
              <w:rPr>
                <w:sz w:val="18"/>
              </w:rPr>
              <w:t xml:space="preserve">Hardware too small for full stack</w:t>
            </w:r>
          </w:p>
        </w:tc>
        <w:tc>
          <w:tcPr/>
          <w:p>
            <w:pPr>
              <w:pStyle w:val="Compact"/>
              <w:jc w:val="left"/>
            </w:pPr>
            <w:r>
              <w:rPr>
                <w:sz w:val="18"/>
              </w:rPr>
              <w:t xml:space="preserve">Medium</w:t>
            </w:r>
          </w:p>
        </w:tc>
        <w:tc>
          <w:tcPr/>
          <w:p>
            <w:pPr>
              <w:pStyle w:val="Compact"/>
              <w:jc w:val="left"/>
            </w:pPr>
            <w:r>
              <w:rPr>
                <w:sz w:val="18"/>
              </w:rPr>
              <w:t xml:space="preserve">Medium</w:t>
            </w:r>
          </w:p>
        </w:tc>
        <w:tc>
          <w:tcPr/>
          <w:p>
            <w:pPr>
              <w:pStyle w:val="Compact"/>
              <w:jc w:val="left"/>
            </w:pPr>
            <w:r>
              <w:rPr>
                <w:sz w:val="18"/>
              </w:rPr>
              <w:t xml:space="preserve">Reduced heaps, lower rates, cloud VM fallback</w:t>
            </w:r>
          </w:p>
        </w:tc>
      </w:tr>
      <w:tr>
        <w:tc>
          <w:tcPr/>
          <w:p>
            <w:pPr>
              <w:pStyle w:val="Compact"/>
              <w:jc w:val="left"/>
            </w:pPr>
            <w:r>
              <w:rPr>
                <w:sz w:val="18"/>
              </w:rPr>
              <w:t xml:space="preserve">Licensing trial expiry</w:t>
            </w:r>
          </w:p>
        </w:tc>
        <w:tc>
          <w:tcPr/>
          <w:p>
            <w:pPr>
              <w:pStyle w:val="Compact"/>
              <w:jc w:val="left"/>
            </w:pPr>
            <w:r>
              <w:rPr>
                <w:sz w:val="18"/>
              </w:rPr>
              <w:t xml:space="preserve">Medium</w:t>
            </w:r>
          </w:p>
        </w:tc>
        <w:tc>
          <w:tcPr/>
          <w:p>
            <w:pPr>
              <w:pStyle w:val="Compact"/>
              <w:jc w:val="left"/>
            </w:pPr>
            <w:r>
              <w:rPr>
                <w:sz w:val="18"/>
              </w:rPr>
              <w:t xml:space="preserve">Medium</w:t>
            </w:r>
          </w:p>
        </w:tc>
        <w:tc>
          <w:tcPr/>
          <w:p>
            <w:pPr>
              <w:pStyle w:val="Compact"/>
              <w:jc w:val="left"/>
            </w:pPr>
            <w:r>
              <w:rPr>
                <w:sz w:val="18"/>
              </w:rPr>
              <w:t xml:space="preserve">Default to open-source components; isolate commercial ones</w:t>
            </w:r>
          </w:p>
        </w:tc>
      </w:tr>
      <w:tr>
        <w:tc>
          <w:tcPr/>
          <w:p>
            <w:pPr>
              <w:pStyle w:val="Compact"/>
              <w:jc w:val="left"/>
            </w:pPr>
            <w:r>
              <w:rPr>
                <w:sz w:val="18"/>
              </w:rPr>
              <w:t xml:space="preserve">Certificate/ACL misconfiguration blocks progress</w:t>
            </w:r>
          </w:p>
        </w:tc>
        <w:tc>
          <w:tcPr/>
          <w:p>
            <w:pPr>
              <w:pStyle w:val="Compact"/>
              <w:jc w:val="left"/>
            </w:pPr>
            <w:r>
              <w:rPr>
                <w:sz w:val="18"/>
              </w:rPr>
              <w:t xml:space="preserve">High</w:t>
            </w:r>
          </w:p>
        </w:tc>
        <w:tc>
          <w:tcPr/>
          <w:p>
            <w:pPr>
              <w:pStyle w:val="Compact"/>
              <w:jc w:val="left"/>
            </w:pPr>
            <w:r>
              <w:rPr>
                <w:sz w:val="18"/>
              </w:rPr>
              <w:t xml:space="preserve">Low</w:t>
            </w:r>
          </w:p>
        </w:tc>
        <w:tc>
          <w:tcPr/>
          <w:p>
            <w:pPr>
              <w:pStyle w:val="Compact"/>
              <w:jc w:val="left"/>
            </w:pPr>
            <w:r>
              <w:rPr>
                <w:sz w:val="18"/>
              </w:rPr>
              <w:t xml:space="preserve">Scripted cert generation, security tests early, ADR log</w:t>
            </w:r>
          </w:p>
        </w:tc>
      </w:tr>
      <w:tr>
        <w:tc>
          <w:tcPr/>
          <w:p>
            <w:pPr>
              <w:pStyle w:val="Compact"/>
              <w:jc w:val="left"/>
            </w:pPr>
            <w:r>
              <w:rPr>
                <w:sz w:val="18"/>
              </w:rPr>
              <w:t xml:space="preserve">Drills not reproducible</w:t>
            </w:r>
          </w:p>
        </w:tc>
        <w:tc>
          <w:tcPr/>
          <w:p>
            <w:pPr>
              <w:pStyle w:val="Compact"/>
              <w:jc w:val="left"/>
            </w:pPr>
            <w:r>
              <w:rPr>
                <w:sz w:val="18"/>
              </w:rPr>
              <w:t xml:space="preserve">Medium</w:t>
            </w:r>
          </w:p>
        </w:tc>
        <w:tc>
          <w:tcPr/>
          <w:p>
            <w:pPr>
              <w:pStyle w:val="Compact"/>
              <w:jc w:val="left"/>
            </w:pPr>
            <w:r>
              <w:rPr>
                <w:sz w:val="18"/>
              </w:rPr>
              <w:t xml:space="preserve">High</w:t>
            </w:r>
          </w:p>
        </w:tc>
        <w:tc>
          <w:tcPr/>
          <w:p>
            <w:pPr>
              <w:pStyle w:val="Compact"/>
              <w:jc w:val="left"/>
            </w:pPr>
            <w:r>
              <w:rPr>
                <w:sz w:val="18"/>
              </w:rPr>
              <w:t xml:space="preserve">Every drill is a script plus a doc; run it twice before claiming it</w:t>
            </w:r>
          </w:p>
        </w:tc>
      </w:tr>
      <w:tr>
        <w:tc>
          <w:tcPr/>
          <w:p>
            <w:pPr>
              <w:pStyle w:val="Compact"/>
              <w:jc w:val="left"/>
            </w:pPr>
            <w:r>
              <w:rPr>
                <w:sz w:val="18"/>
              </w:rPr>
              <w:t xml:space="preserve">Overclaiming</w:t>
            </w:r>
            <w:r>
              <w:rPr>
                <w:sz w:val="18"/>
              </w:rPr>
              <w:t xml:space="preserve"> </w:t>
            </w:r>
            <w:r>
              <w:rPr>
                <w:sz w:val="18"/>
              </w:rPr>
              <w:t xml:space="preserve">“</w:t>
            </w:r>
            <w:r>
              <w:rPr>
                <w:sz w:val="18"/>
              </w:rPr>
              <w:t xml:space="preserve">production-ready</w:t>
            </w:r>
            <w:r>
              <w:rPr>
                <w:sz w:val="18"/>
              </w:rPr>
              <w:t xml:space="preserve">”</w:t>
            </w:r>
          </w:p>
        </w:tc>
        <w:tc>
          <w:tcPr/>
          <w:p>
            <w:pPr>
              <w:pStyle w:val="Compact"/>
              <w:jc w:val="left"/>
            </w:pPr>
            <w:r>
              <w:rPr>
                <w:sz w:val="18"/>
              </w:rPr>
              <w:t xml:space="preserve">Medium</w:t>
            </w:r>
          </w:p>
        </w:tc>
        <w:tc>
          <w:tcPr/>
          <w:p>
            <w:pPr>
              <w:pStyle w:val="Compact"/>
              <w:jc w:val="left"/>
            </w:pPr>
            <w:r>
              <w:rPr>
                <w:sz w:val="18"/>
              </w:rPr>
              <w:t xml:space="preserve">High</w:t>
            </w:r>
          </w:p>
        </w:tc>
        <w:tc>
          <w:tcPr/>
          <w:p>
            <w:pPr>
              <w:pStyle w:val="Compact"/>
              <w:jc w:val="left"/>
            </w:pPr>
            <w:r>
              <w:rPr>
                <w:sz w:val="18"/>
              </w:rPr>
              <w:t xml:space="preserve">Use</w:t>
            </w:r>
            <w:r>
              <w:rPr>
                <w:sz w:val="18"/>
              </w:rPr>
              <w:t xml:space="preserve"> </w:t>
            </w:r>
            <w:r>
              <w:rPr>
                <w:sz w:val="18"/>
              </w:rPr>
              <w:t xml:space="preserve">“</w:t>
            </w:r>
            <w:r>
              <w:rPr>
                <w:sz w:val="18"/>
              </w:rPr>
              <w:t xml:space="preserve">production-style</w:t>
            </w:r>
            <w:r>
              <w:rPr>
                <w:sz w:val="18"/>
              </w:rPr>
              <w:t xml:space="preserve">”</w:t>
            </w:r>
            <w:r>
              <w:rPr>
                <w:sz w:val="18"/>
              </w:rPr>
              <w:t xml:space="preserve">; publish limitations section</w:t>
            </w:r>
          </w:p>
        </w:tc>
      </w:tr>
    </w:tbl>
    <w:bookmarkEnd w:id="32"/>
    <w:bookmarkStart w:id="33" w:name="open-questions"/>
    <w:p>
      <w:pPr>
        <w:pStyle w:val="Heading1"/>
      </w:pPr>
      <w:r>
        <w:t xml:space="preserve">12. Open Questions</w:t>
      </w:r>
    </w:p>
    <w:p>
      <w:pPr>
        <w:numPr>
          <w:ilvl w:val="0"/>
          <w:numId w:val="1005"/>
        </w:numPr>
        <w:pStyle w:val="Compact"/>
      </w:pPr>
      <w:r>
        <w:t xml:space="preserve">Is the target environment Docker Compose only, or must Stage 3 deploy to a managed cloud?</w:t>
      </w:r>
    </w:p>
    <w:p>
      <w:pPr>
        <w:numPr>
          <w:ilvl w:val="0"/>
          <w:numId w:val="1005"/>
        </w:numPr>
        <w:pStyle w:val="Compact"/>
      </w:pPr>
      <w:r>
        <w:t xml:space="preserve">Is Confluent Platform specifically required (for the CV), or is Apache Kafka plus Confluent Schema Registry/Connect acceptable?</w:t>
      </w:r>
    </w:p>
    <w:p>
      <w:pPr>
        <w:numPr>
          <w:ilvl w:val="0"/>
          <w:numId w:val="1005"/>
        </w:numPr>
        <w:pStyle w:val="Compact"/>
      </w:pPr>
      <w:r>
        <w:t xml:space="preserve">Is a second cluster (DR) in scope for the first release?</w:t>
      </w:r>
    </w:p>
    <w:bookmarkEnd w:id="33"/>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PayStream Reliability Lab: Product Requirements Document (PRD)</dc:title>
  <dc:creator/>
  <cp:keywords/>
  <dcterms:created xsi:type="dcterms:W3CDTF">2026-10-05T17:33:00Z</dcterms:created>
  <dcterms:modified xsi:type="dcterms:W3CDTF">2026-10-05T17:33:00Z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secure, observable, failure-tested Confluent/Apache Kafka platform running a mock banking event workload</vt:lpwstr>
  </property>
</Properties>
</file>