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SOC DETECTION LAB</w:t>
      </w:r>
    </w:p>
    <w:p>
      <w:pPr>
        <w:jc w:val="center"/>
      </w:pPr>
      <w:r>
        <w:rPr>
          <w:b/>
          <w:color w:val="2F75B5"/>
          <w:sz w:val="32"/>
        </w:rPr>
        <w:t>Commercial-Ready Product Requirements, Technical Architecture</w:t>
        <w:br/>
        <w:t>&amp; Security Operations Blueprint</w:t>
      </w:r>
    </w:p>
    <w:p>
      <w:pPr>
        <w:jc w:val="center"/>
      </w:pPr>
      <w:r>
        <w:rPr>
          <w:sz w:val="22"/>
        </w:rPr>
        <w:br/>
        <w:t>A production-inspired, self-contained SOC platform for detection engineering,</w:t>
        <w:br/>
        <w:t>incident investigation, threat hunting, response automation and audit-ready reporting.</w:t>
      </w:r>
    </w:p>
    <w:p>
      <w:r>
        <w:br/>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8"/>
          </w:tcPr>
          <w:p>
            <w:r>
              <w:rPr>
                <w:color w:val="FFFFFF"/>
              </w:rPr>
            </w:r>
            <w:r>
              <w:rPr>
                <w:b/>
                <w:color w:val="FFFFFF"/>
                <w:sz w:val="18"/>
              </w:rPr>
              <w:t>Document Attribute</w:t>
            </w:r>
          </w:p>
        </w:tc>
        <w:tc>
          <w:tcPr>
            <w:tcW w:type="dxa" w:w="6480"/>
            <w:vAlign w:val="center"/>
            <w:shd w:fill="1F4E78"/>
          </w:tcPr>
          <w:p>
            <w:r>
              <w:rPr>
                <w:color w:val="FFFFFF"/>
              </w:rPr>
            </w:r>
            <w:r>
              <w:rPr>
                <w:b/>
                <w:color w:val="FFFFFF"/>
                <w:sz w:val="18"/>
              </w:rPr>
              <w:t>Value</w:t>
            </w:r>
          </w:p>
        </w:tc>
      </w:tr>
      <w:tr>
        <w:tc>
          <w:tcPr>
            <w:tcW w:type="dxa" w:w="2880"/>
            <w:vAlign w:val="center"/>
          </w:tcPr>
          <w:p>
            <w:r/>
            <w:r>
              <w:rPr>
                <w:b w:val="0"/>
                <w:sz w:val="17"/>
              </w:rPr>
              <w:t>Document Type</w:t>
            </w:r>
          </w:p>
        </w:tc>
        <w:tc>
          <w:tcPr>
            <w:tcW w:type="dxa" w:w="6480"/>
            <w:vAlign w:val="center"/>
          </w:tcPr>
          <w:p>
            <w:r/>
            <w:r>
              <w:rPr>
                <w:b w:val="0"/>
                <w:sz w:val="17"/>
              </w:rPr>
              <w:t>PRD + TRD + Architecture + Security Design + Implementation Roadmap</w:t>
            </w:r>
          </w:p>
        </w:tc>
      </w:tr>
      <w:tr>
        <w:tc>
          <w:tcPr>
            <w:tcW w:type="dxa" w:w="2880"/>
            <w:vAlign w:val="center"/>
          </w:tcPr>
          <w:p>
            <w:r/>
            <w:r>
              <w:rPr>
                <w:b w:val="0"/>
                <w:sz w:val="17"/>
              </w:rPr>
              <w:t>Product Name</w:t>
            </w:r>
          </w:p>
        </w:tc>
        <w:tc>
          <w:tcPr>
            <w:tcW w:type="dxa" w:w="6480"/>
            <w:vAlign w:val="center"/>
          </w:tcPr>
          <w:p>
            <w:r/>
            <w:r>
              <w:rPr>
                <w:b w:val="0"/>
                <w:sz w:val="17"/>
              </w:rPr>
              <w:t>SOC Detection Lab</w:t>
            </w:r>
          </w:p>
        </w:tc>
      </w:tr>
      <w:tr>
        <w:tc>
          <w:tcPr>
            <w:tcW w:type="dxa" w:w="2880"/>
            <w:vAlign w:val="center"/>
          </w:tcPr>
          <w:p>
            <w:r/>
            <w:r>
              <w:rPr>
                <w:b w:val="0"/>
                <w:sz w:val="17"/>
              </w:rPr>
              <w:t>Edition</w:t>
            </w:r>
          </w:p>
        </w:tc>
        <w:tc>
          <w:tcPr>
            <w:tcW w:type="dxa" w:w="6480"/>
            <w:vAlign w:val="center"/>
          </w:tcPr>
          <w:p>
            <w:r/>
            <w:r>
              <w:rPr>
                <w:b w:val="0"/>
                <w:sz w:val="17"/>
              </w:rPr>
              <w:t>Commercial-Ready Reference Product</w:t>
            </w:r>
          </w:p>
        </w:tc>
      </w:tr>
      <w:tr>
        <w:tc>
          <w:tcPr>
            <w:tcW w:type="dxa" w:w="2880"/>
            <w:vAlign w:val="center"/>
          </w:tcPr>
          <w:p>
            <w:r/>
            <w:r>
              <w:rPr>
                <w:b w:val="0"/>
                <w:sz w:val="17"/>
              </w:rPr>
              <w:t>Version</w:t>
            </w:r>
          </w:p>
        </w:tc>
        <w:tc>
          <w:tcPr>
            <w:tcW w:type="dxa" w:w="6480"/>
            <w:vAlign w:val="center"/>
          </w:tcPr>
          <w:p>
            <w:r/>
            <w:r>
              <w:rPr>
                <w:b w:val="0"/>
                <w:sz w:val="17"/>
              </w:rPr>
              <w:t>1.0</w:t>
            </w:r>
          </w:p>
        </w:tc>
      </w:tr>
      <w:tr>
        <w:tc>
          <w:tcPr>
            <w:tcW w:type="dxa" w:w="2880"/>
            <w:vAlign w:val="center"/>
          </w:tcPr>
          <w:p>
            <w:r/>
            <w:r>
              <w:rPr>
                <w:b w:val="0"/>
                <w:sz w:val="17"/>
              </w:rPr>
              <w:t>Status</w:t>
            </w:r>
          </w:p>
        </w:tc>
        <w:tc>
          <w:tcPr>
            <w:tcW w:type="dxa" w:w="6480"/>
            <w:vAlign w:val="center"/>
          </w:tcPr>
          <w:p>
            <w:r/>
            <w:r>
              <w:rPr>
                <w:b w:val="0"/>
                <w:sz w:val="17"/>
              </w:rPr>
              <w:t>Target Architecture / Build Specification</w:t>
            </w:r>
          </w:p>
        </w:tc>
      </w:tr>
      <w:tr>
        <w:tc>
          <w:tcPr>
            <w:tcW w:type="dxa" w:w="2880"/>
            <w:vAlign w:val="center"/>
          </w:tcPr>
          <w:p>
            <w:r/>
            <w:r>
              <w:rPr>
                <w:b w:val="0"/>
                <w:sz w:val="17"/>
              </w:rPr>
              <w:t>Primary Model</w:t>
            </w:r>
          </w:p>
        </w:tc>
        <w:tc>
          <w:tcPr>
            <w:tcW w:type="dxa" w:w="6480"/>
            <w:vAlign w:val="center"/>
          </w:tcPr>
          <w:p>
            <w:r/>
            <w:r>
              <w:rPr>
                <w:b w:val="0"/>
                <w:sz w:val="17"/>
              </w:rPr>
              <w:t>Single-tenant lab → deployable SOC platform</w:t>
            </w:r>
          </w:p>
        </w:tc>
      </w:tr>
      <w:tr>
        <w:tc>
          <w:tcPr>
            <w:tcW w:type="dxa" w:w="2880"/>
            <w:vAlign w:val="center"/>
          </w:tcPr>
          <w:p>
            <w:r/>
            <w:r>
              <w:rPr>
                <w:b w:val="0"/>
                <w:sz w:val="17"/>
              </w:rPr>
              <w:t>Deployment</w:t>
            </w:r>
          </w:p>
        </w:tc>
        <w:tc>
          <w:tcPr>
            <w:tcW w:type="dxa" w:w="6480"/>
            <w:vAlign w:val="center"/>
          </w:tcPr>
          <w:p>
            <w:r/>
            <w:r>
              <w:rPr>
                <w:b w:val="0"/>
                <w:sz w:val="17"/>
              </w:rPr>
              <w:t>Docker Compose for lab; Kubernetes-ready target architecture</w:t>
            </w:r>
          </w:p>
        </w:tc>
      </w:tr>
      <w:tr>
        <w:tc>
          <w:tcPr>
            <w:tcW w:type="dxa" w:w="2880"/>
            <w:vAlign w:val="center"/>
          </w:tcPr>
          <w:p>
            <w:r/>
            <w:r>
              <w:rPr>
                <w:b w:val="0"/>
                <w:sz w:val="17"/>
              </w:rPr>
              <w:t>Core SIEM</w:t>
            </w:r>
          </w:p>
        </w:tc>
        <w:tc>
          <w:tcPr>
            <w:tcW w:type="dxa" w:w="6480"/>
            <w:vAlign w:val="center"/>
          </w:tcPr>
          <w:p>
            <w:r/>
            <w:r>
              <w:rPr>
                <w:b w:val="0"/>
                <w:sz w:val="17"/>
              </w:rPr>
              <w:t>Wazuh Manager + Indexer + Dashboard</w:t>
            </w:r>
          </w:p>
        </w:tc>
      </w:tr>
      <w:tr>
        <w:tc>
          <w:tcPr>
            <w:tcW w:type="dxa" w:w="2880"/>
            <w:vAlign w:val="center"/>
          </w:tcPr>
          <w:p>
            <w:r/>
            <w:r>
              <w:rPr>
                <w:b w:val="0"/>
                <w:sz w:val="17"/>
              </w:rPr>
              <w:t>Primary Targets</w:t>
            </w:r>
          </w:p>
        </w:tc>
        <w:tc>
          <w:tcPr>
            <w:tcW w:type="dxa" w:w="6480"/>
            <w:vAlign w:val="center"/>
          </w:tcPr>
          <w:p>
            <w:r/>
            <w:r>
              <w:rPr>
                <w:b w:val="0"/>
                <w:sz w:val="17"/>
              </w:rPr>
              <w:t>Linux hosts, web applications, IoT/network telemetry; Windows/Sysmon extensible</w:t>
            </w:r>
          </w:p>
        </w:tc>
      </w:tr>
      <w:tr>
        <w:tc>
          <w:tcPr>
            <w:tcW w:type="dxa" w:w="2880"/>
            <w:vAlign w:val="center"/>
          </w:tcPr>
          <w:p>
            <w:r/>
            <w:r>
              <w:rPr>
                <w:b w:val="0"/>
                <w:sz w:val="17"/>
              </w:rPr>
              <w:t>Detection Standard</w:t>
            </w:r>
          </w:p>
        </w:tc>
        <w:tc>
          <w:tcPr>
            <w:tcW w:type="dxa" w:w="6480"/>
            <w:vAlign w:val="center"/>
          </w:tcPr>
          <w:p>
            <w:r/>
            <w:r>
              <w:rPr>
                <w:b w:val="0"/>
                <w:sz w:val="17"/>
              </w:rPr>
              <w:t>MITRE ATT&amp;CK + Wazuh rules + Sigma-compatible engineering</w:t>
            </w:r>
          </w:p>
        </w:tc>
      </w:tr>
      <w:tr>
        <w:tc>
          <w:tcPr>
            <w:tcW w:type="dxa" w:w="2880"/>
            <w:vAlign w:val="center"/>
          </w:tcPr>
          <w:p>
            <w:r/>
            <w:r>
              <w:rPr>
                <w:b w:val="0"/>
                <w:sz w:val="17"/>
              </w:rPr>
              <w:t>Response</w:t>
            </w:r>
          </w:p>
        </w:tc>
        <w:tc>
          <w:tcPr>
            <w:tcW w:type="dxa" w:w="6480"/>
            <w:vAlign w:val="center"/>
          </w:tcPr>
          <w:p>
            <w:r/>
            <w:r>
              <w:rPr>
                <w:b w:val="0"/>
                <w:sz w:val="17"/>
              </w:rPr>
              <w:t>SOAR-style playbooks with approval and rollback controls</w:t>
            </w:r>
          </w:p>
        </w:tc>
      </w:tr>
    </w:tbl>
    <w:p/>
    <w:p>
      <w:pPr>
        <w:jc w:val="center"/>
      </w:pPr>
      <w:r>
        <w:rPr>
          <w:i/>
          <w:sz w:val="17"/>
        </w:rPr>
        <w:br/>
        <w:t>Prepared as the master product specification derived from the supplied Containerized Attack-Detection Lab proposal.</w:t>
      </w:r>
    </w:p>
    <w:p>
      <w:r>
        <w:br w:type="page"/>
      </w:r>
    </w:p>
    <w:p>
      <w:pPr>
        <w:pStyle w:val="Heading1"/>
      </w:pPr>
      <w:r>
        <w:t>Document Control &amp; Product Positioning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color w:val="FFFFFF"/>
              </w:rPr>
            </w:r>
            <w:r>
              <w:rPr>
                <w:b/>
                <w:color w:val="FFFFFF"/>
                <w:sz w:val="18"/>
              </w:rPr>
              <w:t>Area</w:t>
            </w:r>
          </w:p>
        </w:tc>
        <w:tc>
          <w:tcPr>
            <w:tcW w:type="dxa" w:w="5112"/>
            <w:vAlign w:val="center"/>
            <w:shd w:fill="1F4E78"/>
          </w:tcPr>
          <w:p>
            <w:r>
              <w:rPr>
                <w:color w:val="FFFFFF"/>
              </w:rPr>
            </w:r>
            <w:r>
              <w:rPr>
                <w:b/>
                <w:color w:val="FFFFFF"/>
                <w:sz w:val="18"/>
              </w:rPr>
              <w:t>Decision</w:t>
            </w:r>
          </w:p>
        </w:tc>
      </w:tr>
      <w:tr>
        <w:tc>
          <w:tcPr>
            <w:tcW w:type="dxa" w:w="5112"/>
            <w:vAlign w:val="center"/>
          </w:tcPr>
          <w:p>
            <w:r/>
            <w:r>
              <w:rPr>
                <w:b w:val="0"/>
                <w:sz w:val="17"/>
              </w:rPr>
              <w:t>Product category</w:t>
            </w:r>
          </w:p>
        </w:tc>
        <w:tc>
          <w:tcPr>
            <w:tcW w:type="dxa" w:w="5112"/>
            <w:vAlign w:val="center"/>
          </w:tcPr>
          <w:p>
            <w:r/>
            <w:r>
              <w:rPr>
                <w:b w:val="0"/>
                <w:sz w:val="17"/>
              </w:rPr>
              <w:t>Security Operations / Detection Engineering / DFIR Lab Platform</w:t>
            </w:r>
          </w:p>
        </w:tc>
      </w:tr>
      <w:tr>
        <w:tc>
          <w:tcPr>
            <w:tcW w:type="dxa" w:w="5112"/>
            <w:vAlign w:val="center"/>
          </w:tcPr>
          <w:p>
            <w:r/>
            <w:r>
              <w:rPr>
                <w:b w:val="0"/>
                <w:sz w:val="17"/>
              </w:rPr>
              <w:t>Primary value</w:t>
            </w:r>
          </w:p>
        </w:tc>
        <w:tc>
          <w:tcPr>
            <w:tcW w:type="dxa" w:w="5112"/>
            <w:vAlign w:val="center"/>
          </w:tcPr>
          <w:p>
            <w:r/>
            <w:r>
              <w:rPr>
                <w:b w:val="0"/>
                <w:sz w:val="17"/>
              </w:rPr>
              <w:t>Turn controlled attack activity into telemetry, detections, analyst workflows, response actions and evidence.</w:t>
            </w:r>
          </w:p>
        </w:tc>
      </w:tr>
      <w:tr>
        <w:tc>
          <w:tcPr>
            <w:tcW w:type="dxa" w:w="5112"/>
            <w:vAlign w:val="center"/>
          </w:tcPr>
          <w:p>
            <w:r/>
            <w:r>
              <w:rPr>
                <w:b w:val="0"/>
                <w:sz w:val="17"/>
              </w:rPr>
              <w:t>MVP basis</w:t>
            </w:r>
          </w:p>
        </w:tc>
        <w:tc>
          <w:tcPr>
            <w:tcW w:type="dxa" w:w="5112"/>
            <w:vAlign w:val="center"/>
          </w:tcPr>
          <w:p>
            <w:r/>
            <w:r>
              <w:rPr>
                <w:b w:val="0"/>
                <w:sz w:val="17"/>
              </w:rPr>
              <w:t>Existing Docker + Wazuh + DVWA + monitored-host architecture.</w:t>
            </w:r>
          </w:p>
        </w:tc>
      </w:tr>
      <w:tr>
        <w:tc>
          <w:tcPr>
            <w:tcW w:type="dxa" w:w="5112"/>
            <w:vAlign w:val="center"/>
          </w:tcPr>
          <w:p>
            <w:r/>
            <w:r>
              <w:rPr>
                <w:b w:val="0"/>
                <w:sz w:val="17"/>
              </w:rPr>
              <w:t>Commercial evolution</w:t>
            </w:r>
          </w:p>
        </w:tc>
        <w:tc>
          <w:tcPr>
            <w:tcW w:type="dxa" w:w="5112"/>
            <w:vAlign w:val="center"/>
          </w:tcPr>
          <w:p>
            <w:r/>
            <w:r>
              <w:rPr>
                <w:b w:val="0"/>
                <w:sz w:val="17"/>
              </w:rPr>
              <w:t>Add multi-source ingestion, RBAC, cases, threat intelligence, dashboards, API layer, SOAR controls, reporting, health monitoring and scalable deployment.</w:t>
            </w:r>
          </w:p>
        </w:tc>
      </w:tr>
      <w:tr>
        <w:tc>
          <w:tcPr>
            <w:tcW w:type="dxa" w:w="5112"/>
            <w:vAlign w:val="center"/>
          </w:tcPr>
          <w:p>
            <w:r/>
            <w:r>
              <w:rPr>
                <w:b w:val="0"/>
                <w:sz w:val="17"/>
              </w:rPr>
              <w:t>Design principle</w:t>
            </w:r>
          </w:p>
        </w:tc>
        <w:tc>
          <w:tcPr>
            <w:tcW w:type="dxa" w:w="5112"/>
            <w:vAlign w:val="center"/>
          </w:tcPr>
          <w:p>
            <w:r/>
            <w:r>
              <w:rPr>
                <w:b w:val="0"/>
                <w:sz w:val="17"/>
              </w:rPr>
              <w:t>Detection and operational evidence are the product; exploitation is only the controlled stimulus.</w:t>
            </w:r>
          </w:p>
        </w:tc>
      </w:tr>
      <w:tr>
        <w:tc>
          <w:tcPr>
            <w:tcW w:type="dxa" w:w="5112"/>
            <w:vAlign w:val="center"/>
          </w:tcPr>
          <w:p>
            <w:r/>
            <w:r>
              <w:rPr>
                <w:b w:val="0"/>
                <w:sz w:val="17"/>
              </w:rPr>
              <w:t>Safety boundary</w:t>
            </w:r>
          </w:p>
        </w:tc>
        <w:tc>
          <w:tcPr>
            <w:tcW w:type="dxa" w:w="5112"/>
            <w:vAlign w:val="center"/>
          </w:tcPr>
          <w:p>
            <w:r/>
            <w:r>
              <w:rPr>
                <w:b w:val="0"/>
                <w:sz w:val="17"/>
              </w:rPr>
              <w:t>All offensive activity remains inside explicitly authorized lab/test environments.</w:t>
            </w:r>
          </w:p>
        </w:tc>
      </w:tr>
    </w:tbl>
    <w:p/>
    <w:p>
      <w:pPr>
        <w:pStyle w:val="Heading1"/>
      </w:pPr>
      <w:r>
        <w:t>Executive Product Statement</w:t>
      </w:r>
    </w:p>
    <w:p>
      <w:r>
        <w:t>SOC Detection Lab is a security operations platform and reproducible cyber range designed to demonstrate, validate and operationalize the full defensive lifecycle: telemetry collection → normalization → detection → alert triage → investigation → threat hunting → containment → recovery → reporting → detection improvement. The initial implementation is deliberately lightweight and zero-cost, while the target architecture is structured so that the same concepts can be evolved into a commercial internal SOC platform, managed security service foundation, or training and validation environment.</w:t>
      </w:r>
    </w:p>
    <w:p>
      <w:r>
        <w:rPr>
          <w:b/>
          <w:color w:val="1F4E79"/>
        </w:rPr>
        <w:t xml:space="preserve">Source baseline: </w:t>
      </w:r>
      <w:r>
        <w:t>The supplied proposal defines a containerized, single-host Wazuh/DVWA lab, ≥8 ATT&amp;CK techniques, ≥80% detection coverage, ≥3 custom rules, a capstone chain, an incident report and a reproducible GitHub repository. fileciteturn0file0L97-L118</w:t>
      </w:r>
    </w:p>
    <w:p>
      <w:pPr>
        <w:pStyle w:val="Heading1"/>
      </w:pPr>
      <w:r>
        <w:t>Table of Contents</w:t>
      </w:r>
    </w:p>
    <w:p>
      <w:pPr>
        <w:pStyle w:val="ListNumber"/>
      </w:pPr>
      <w:r>
        <w:t>1. Product Vision and Scope</w:t>
      </w:r>
    </w:p>
    <w:p>
      <w:pPr>
        <w:pStyle w:val="ListNumber"/>
      </w:pPr>
      <w:r>
        <w:t>2. Business &amp; Operational Problem</w:t>
      </w:r>
    </w:p>
    <w:p>
      <w:pPr>
        <w:pStyle w:val="ListNumber"/>
      </w:pPr>
      <w:r>
        <w:t>3. Product Goals and Success Metrics</w:t>
      </w:r>
    </w:p>
    <w:p>
      <w:pPr>
        <w:pStyle w:val="ListNumber"/>
      </w:pPr>
      <w:r>
        <w:t>4. Personas and User Roles</w:t>
      </w:r>
    </w:p>
    <w:p>
      <w:pPr>
        <w:pStyle w:val="ListNumber"/>
      </w:pPr>
      <w:r>
        <w:t>5. Product Capability Map</w:t>
      </w:r>
    </w:p>
    <w:p>
      <w:pPr>
        <w:pStyle w:val="ListNumber"/>
      </w:pPr>
      <w:r>
        <w:t>6. Target Commercial Architecture</w:t>
      </w:r>
    </w:p>
    <w:p>
      <w:pPr>
        <w:pStyle w:val="ListNumber"/>
      </w:pPr>
      <w:r>
        <w:t>7. Data &amp; Telemetry Architecture</w:t>
      </w:r>
    </w:p>
    <w:p>
      <w:pPr>
        <w:pStyle w:val="ListNumber"/>
      </w:pPr>
      <w:r>
        <w:t>8. Detection Engineering</w:t>
      </w:r>
    </w:p>
    <w:p>
      <w:pPr>
        <w:pStyle w:val="ListNumber"/>
      </w:pPr>
      <w:r>
        <w:t>9. Alert Management and Triage</w:t>
      </w:r>
    </w:p>
    <w:p>
      <w:pPr>
        <w:pStyle w:val="ListNumber"/>
      </w:pPr>
      <w:r>
        <w:t>10. Investigation &amp; Threat Hunting</w:t>
      </w:r>
    </w:p>
    <w:p>
      <w:pPr>
        <w:pStyle w:val="ListNumber"/>
      </w:pPr>
      <w:r>
        <w:t>11. Case Management / DFIR</w:t>
      </w:r>
    </w:p>
    <w:p>
      <w:pPr>
        <w:pStyle w:val="ListNumber"/>
      </w:pPr>
      <w:r>
        <w:t>12. SOAR &amp; Response Automation</w:t>
      </w:r>
    </w:p>
    <w:p>
      <w:pPr>
        <w:pStyle w:val="ListNumber"/>
      </w:pPr>
      <w:r>
        <w:t>13. Threat Intelligence</w:t>
      </w:r>
    </w:p>
    <w:p>
      <w:pPr>
        <w:pStyle w:val="ListNumber"/>
      </w:pPr>
      <w:r>
        <w:t>14. Asset, Identity &amp; Risk Context</w:t>
      </w:r>
    </w:p>
    <w:p>
      <w:pPr>
        <w:pStyle w:val="ListNumber"/>
      </w:pPr>
      <w:r>
        <w:t>15. MITRE ATT&amp;CK Coverage</w:t>
      </w:r>
    </w:p>
    <w:p>
      <w:pPr>
        <w:pStyle w:val="ListNumber"/>
      </w:pPr>
      <w:r>
        <w:t>16. Dashboards &amp; SOC UX</w:t>
      </w:r>
    </w:p>
    <w:p>
      <w:pPr>
        <w:pStyle w:val="ListNumber"/>
      </w:pPr>
      <w:r>
        <w:t>17. API &amp; Integration Contract</w:t>
      </w:r>
    </w:p>
    <w:p>
      <w:pPr>
        <w:pStyle w:val="ListNumber"/>
      </w:pPr>
      <w:r>
        <w:t>18. Data Model</w:t>
      </w:r>
    </w:p>
    <w:p>
      <w:pPr>
        <w:pStyle w:val="ListNumber"/>
      </w:pPr>
      <w:r>
        <w:t>19. Security Architecture</w:t>
      </w:r>
    </w:p>
    <w:p>
      <w:pPr>
        <w:pStyle w:val="ListNumber"/>
      </w:pPr>
      <w:r>
        <w:t>20. Reliability, Performance &amp; Scalability</w:t>
      </w:r>
    </w:p>
    <w:p>
      <w:pPr>
        <w:pStyle w:val="ListNumber"/>
      </w:pPr>
      <w:r>
        <w:t>21. Deployment &amp; DevSecOps</w:t>
      </w:r>
    </w:p>
    <w:p>
      <w:pPr>
        <w:pStyle w:val="ListNumber"/>
      </w:pPr>
      <w:r>
        <w:t>22. Product Configuration</w:t>
      </w:r>
    </w:p>
    <w:p>
      <w:pPr>
        <w:pStyle w:val="ListNumber"/>
      </w:pPr>
      <w:r>
        <w:t>23. Testing &amp; Validation</w:t>
      </w:r>
    </w:p>
    <w:p>
      <w:pPr>
        <w:pStyle w:val="ListNumber"/>
      </w:pPr>
      <w:r>
        <w:t>24. Acceptance Criteria</w:t>
      </w:r>
    </w:p>
    <w:p>
      <w:pPr>
        <w:pStyle w:val="ListNumber"/>
      </w:pPr>
      <w:r>
        <w:t>25. Commercial Readiness</w:t>
      </w:r>
    </w:p>
    <w:p>
      <w:pPr>
        <w:pStyle w:val="ListNumber"/>
      </w:pPr>
      <w:r>
        <w:t>26. Licensing &amp; Packaging Strategy</w:t>
      </w:r>
    </w:p>
    <w:p>
      <w:pPr>
        <w:pStyle w:val="ListNumber"/>
      </w:pPr>
      <w:r>
        <w:t>27. Implementation Roadmap</w:t>
      </w:r>
    </w:p>
    <w:p>
      <w:pPr>
        <w:pStyle w:val="ListNumber"/>
      </w:pPr>
      <w:r>
        <w:t>28. Risk Register</w:t>
      </w:r>
    </w:p>
    <w:p>
      <w:pPr>
        <w:pStyle w:val="ListNumber"/>
      </w:pPr>
      <w:r>
        <w:t>29. Future Roadmap</w:t>
      </w:r>
    </w:p>
    <w:p>
      <w:pPr>
        <w:pStyle w:val="ListNumber"/>
      </w:pPr>
      <w:r>
        <w:t>30. Appendix: Reference Attack-to-Detection Matrix</w:t>
      </w:r>
    </w:p>
    <w:p>
      <w:pPr>
        <w:pStyle w:val="ListNumber"/>
      </w:pPr>
      <w:r>
        <w:t>31. Appendix: Suggested Repository Structure</w:t>
      </w:r>
    </w:p>
    <w:p>
      <w:r>
        <w:br w:type="page"/>
      </w:r>
    </w:p>
    <w:p>
      <w:pPr>
        <w:pStyle w:val="Heading1"/>
      </w:pPr>
      <w:r>
        <w:t>1. Product Vision and Scope</w:t>
      </w:r>
    </w:p>
    <w:p>
      <w:pPr>
        <w:pStyle w:val="Heading2"/>
      </w:pPr>
      <w:r>
        <w:t>1.1 Vision</w:t>
      </w:r>
    </w:p>
    <w:p>
      <w:r>
        <w:t>Build a professional SOC platform that can ingest security telemetry from controlled lab assets, identify suspicious behavior using deterministic and behavioral detections, enrich alerts with context, guide an analyst through investigation, execute controlled response playbooks, and preserve an auditable evidence trail.</w:t>
      </w:r>
    </w:p>
    <w:p>
      <w:pPr>
        <w:pStyle w:val="Heading2"/>
      </w:pPr>
      <w:r>
        <w:t>1.2 Product Boundary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color w:val="FFFFFF"/>
              </w:rPr>
            </w:r>
            <w:r>
              <w:rPr>
                <w:b/>
                <w:color w:val="FFFFFF"/>
                <w:sz w:val="18"/>
              </w:rPr>
              <w:t>Included</w:t>
            </w:r>
          </w:p>
        </w:tc>
        <w:tc>
          <w:tcPr>
            <w:tcW w:type="dxa" w:w="5112"/>
            <w:vAlign w:val="center"/>
            <w:shd w:fill="1F4E78"/>
          </w:tcPr>
          <w:p>
            <w:r>
              <w:rPr>
                <w:color w:val="FFFFFF"/>
              </w:rPr>
            </w:r>
            <w:r>
              <w:rPr>
                <w:b/>
                <w:color w:val="FFFFFF"/>
                <w:sz w:val="18"/>
              </w:rPr>
              <w:t>Not a Core Product Requirement</w:t>
            </w:r>
          </w:p>
        </w:tc>
      </w:tr>
      <w:tr>
        <w:tc>
          <w:tcPr>
            <w:tcW w:type="dxa" w:w="5112"/>
            <w:vAlign w:val="center"/>
          </w:tcPr>
          <w:p>
            <w:r/>
            <w:r>
              <w:rPr>
                <w:b w:val="0"/>
                <w:sz w:val="17"/>
              </w:rPr>
              <w:t>Log/telemetry collection</w:t>
            </w:r>
          </w:p>
        </w:tc>
        <w:tc>
          <w:tcPr>
            <w:tcW w:type="dxa" w:w="5112"/>
            <w:vAlign w:val="center"/>
          </w:tcPr>
          <w:p>
            <w:r/>
            <w:r>
              <w:rPr>
                <w:b w:val="0"/>
                <w:sz w:val="17"/>
              </w:rPr>
              <w:t>Replacing every enterprise SIEM capability in v1</w:t>
            </w:r>
          </w:p>
        </w:tc>
      </w:tr>
      <w:tr>
        <w:tc>
          <w:tcPr>
            <w:tcW w:type="dxa" w:w="5112"/>
            <w:vAlign w:val="center"/>
          </w:tcPr>
          <w:p>
            <w:r/>
            <w:r>
              <w:rPr>
                <w:b w:val="0"/>
                <w:sz w:val="17"/>
              </w:rPr>
              <w:t>Detection rules and behavioral analytics</w:t>
            </w:r>
          </w:p>
        </w:tc>
        <w:tc>
          <w:tcPr>
            <w:tcW w:type="dxa" w:w="5112"/>
            <w:vAlign w:val="center"/>
          </w:tcPr>
          <w:p>
            <w:r/>
            <w:r>
              <w:rPr>
                <w:b w:val="0"/>
                <w:sz w:val="17"/>
              </w:rPr>
              <w:t>Unbounded ML research without operational value</w:t>
            </w:r>
          </w:p>
        </w:tc>
      </w:tr>
      <w:tr>
        <w:tc>
          <w:tcPr>
            <w:tcW w:type="dxa" w:w="5112"/>
            <w:vAlign w:val="center"/>
          </w:tcPr>
          <w:p>
            <w:r/>
            <w:r>
              <w:rPr>
                <w:b w:val="0"/>
                <w:sz w:val="17"/>
              </w:rPr>
              <w:t>Alert triage and case management</w:t>
            </w:r>
          </w:p>
        </w:tc>
        <w:tc>
          <w:tcPr>
            <w:tcW w:type="dxa" w:w="5112"/>
            <w:vAlign w:val="center"/>
          </w:tcPr>
          <w:p>
            <w:r/>
            <w:r>
              <w:rPr>
                <w:b w:val="0"/>
                <w:sz w:val="17"/>
              </w:rPr>
              <w:t>Offensive tooling outside the isolated environment</w:t>
            </w:r>
          </w:p>
        </w:tc>
      </w:tr>
      <w:tr>
        <w:tc>
          <w:tcPr>
            <w:tcW w:type="dxa" w:w="5112"/>
            <w:vAlign w:val="center"/>
          </w:tcPr>
          <w:p>
            <w:r/>
            <w:r>
              <w:rPr>
                <w:b w:val="0"/>
                <w:sz w:val="17"/>
              </w:rPr>
              <w:t>Threat hunting and ATT&amp;CK mapping</w:t>
            </w:r>
          </w:p>
        </w:tc>
        <w:tc>
          <w:tcPr>
            <w:tcW w:type="dxa" w:w="5112"/>
            <w:vAlign w:val="center"/>
          </w:tcPr>
          <w:p>
            <w:r/>
            <w:r>
              <w:rPr>
                <w:b w:val="0"/>
                <w:sz w:val="17"/>
              </w:rPr>
              <w:t>Unauthorized scanning/exploitation of third-party systems</w:t>
            </w:r>
          </w:p>
        </w:tc>
      </w:tr>
      <w:tr>
        <w:tc>
          <w:tcPr>
            <w:tcW w:type="dxa" w:w="5112"/>
            <w:vAlign w:val="center"/>
          </w:tcPr>
          <w:p>
            <w:r/>
            <w:r>
              <w:rPr>
                <w:b w:val="0"/>
                <w:sz w:val="17"/>
              </w:rPr>
              <w:t>Controlled automated response</w:t>
            </w:r>
          </w:p>
        </w:tc>
        <w:tc>
          <w:tcPr>
            <w:tcW w:type="dxa" w:w="5112"/>
            <w:vAlign w:val="center"/>
          </w:tcPr>
          <w:p>
            <w:r/>
            <w:r>
              <w:rPr>
                <w:b w:val="0"/>
                <w:sz w:val="17"/>
              </w:rPr>
              <w:t>Unreviewed destructive remediation</w:t>
            </w:r>
          </w:p>
        </w:tc>
      </w:tr>
      <w:tr>
        <w:tc>
          <w:tcPr>
            <w:tcW w:type="dxa" w:w="5112"/>
            <w:vAlign w:val="center"/>
          </w:tcPr>
          <w:p>
            <w:r/>
            <w:r>
              <w:rPr>
                <w:b w:val="0"/>
                <w:sz w:val="17"/>
              </w:rPr>
              <w:t>Evidence and incident reporting</w:t>
            </w:r>
          </w:p>
        </w:tc>
        <w:tc>
          <w:tcPr>
            <w:tcW w:type="dxa" w:w="5112"/>
            <w:vAlign w:val="center"/>
          </w:tcPr>
          <w:p>
            <w:r/>
            <w:r>
              <w:rPr>
                <w:b w:val="0"/>
                <w:sz w:val="17"/>
              </w:rPr>
              <w:t>Guaranteed enterprise HA in the single-host MVP</w:t>
            </w:r>
          </w:p>
        </w:tc>
      </w:tr>
      <w:tr>
        <w:tc>
          <w:tcPr>
            <w:tcW w:type="dxa" w:w="5112"/>
            <w:vAlign w:val="center"/>
          </w:tcPr>
          <w:p>
            <w:r/>
            <w:r>
              <w:rPr>
                <w:b w:val="0"/>
                <w:sz w:val="17"/>
              </w:rPr>
              <w:t>API/integration foundation</w:t>
            </w:r>
          </w:p>
        </w:tc>
        <w:tc>
          <w:tcPr>
            <w:tcW w:type="dxa" w:w="5112"/>
            <w:vAlign w:val="center"/>
          </w:tcPr>
          <w:p>
            <w:r/>
            <w:r>
              <w:rPr>
                <w:b w:val="0"/>
                <w:sz w:val="17"/>
              </w:rPr>
              <w:t>Paid cloud dependency for the zero-budget build</w:t>
            </w:r>
          </w:p>
        </w:tc>
      </w:tr>
    </w:tbl>
    <w:p/>
    <w:p>
      <w:pPr>
        <w:pStyle w:val="Heading2"/>
      </w:pPr>
      <w:r>
        <w:t>1.3 Evolution Path</w:t>
      </w:r>
    </w:p>
    <w:p>
      <w:r>
        <w:t>The product should be developed in three layers:</w:t>
      </w:r>
    </w:p>
    <w:p>
      <w:pPr>
        <w:pStyle w:val="ListNumber"/>
      </w:pPr>
      <w:r>
        <w:t>MVP Lab: single-host Docker deployment proving the telemetry → detection → investigation lifecycle.</w:t>
      </w:r>
    </w:p>
    <w:p>
      <w:pPr>
        <w:pStyle w:val="ListNumber"/>
      </w:pPr>
      <w:r>
        <w:t>Professional Lab: production-style analyst console, cases, enrichment, threat intelligence, response playbooks, APIs and observability.</w:t>
      </w:r>
    </w:p>
    <w:p>
      <w:pPr>
        <w:pStyle w:val="ListNumber"/>
      </w:pPr>
      <w:r>
        <w:t>Commercial Platform: multi-tenant controls, scalable collectors, HA data services, enterprise identity, licensing, supportability and deployment automation.</w:t>
      </w:r>
    </w:p>
    <w:p>
      <w:pPr>
        <w:pStyle w:val="Heading1"/>
      </w:pPr>
      <w:r>
        <w:t>2. Business &amp; Operational Problem</w:t>
      </w:r>
    </w:p>
    <w:p>
      <w:r>
        <w:t>A generic penetration-testing demonstration proves that an attack can be executed. A SOC product must instead prove that security teams can observe, detect, prioritize, investigate, contain and learn from that activity.</w:t>
      </w:r>
    </w:p>
    <w:p>
      <w:pPr>
        <w:pStyle w:val="Heading2"/>
      </w:pPr>
      <w:r>
        <w:t>2.1 Core Problems Solved</w:t>
      </w:r>
    </w:p>
    <w:p>
      <w:pPr>
        <w:pStyle w:val="ListBullet"/>
      </w:pPr>
      <w:r>
        <w:t>Fragmented security telemetry with no unified analyst view.</w:t>
      </w:r>
    </w:p>
    <w:p>
      <w:pPr>
        <w:pStyle w:val="ListBullet"/>
      </w:pPr>
      <w:r>
        <w:t>High-volume alerts without consistent severity, context or ownership.</w:t>
      </w:r>
    </w:p>
    <w:p>
      <w:pPr>
        <w:pStyle w:val="ListBullet"/>
      </w:pPr>
      <w:r>
        <w:t>Detection rules that are not mapped to adversary behavior or validated against real events.</w:t>
      </w:r>
    </w:p>
    <w:p>
      <w:pPr>
        <w:pStyle w:val="ListBullet"/>
      </w:pPr>
      <w:r>
        <w:t>Slow incident reconstruction because evidence is scattered across logs.</w:t>
      </w:r>
    </w:p>
    <w:p>
      <w:pPr>
        <w:pStyle w:val="ListBullet"/>
      </w:pPr>
      <w:r>
        <w:t>Manual response actions with weak approval and audit controls.</w:t>
      </w:r>
    </w:p>
    <w:p>
      <w:pPr>
        <w:pStyle w:val="ListBullet"/>
      </w:pPr>
      <w:r>
        <w:t>No repeatable mechanism for measuring detection gaps.</w:t>
      </w:r>
    </w:p>
    <w:p>
      <w:pPr>
        <w:pStyle w:val="ListBullet"/>
      </w:pPr>
      <w:r>
        <w:t>Weak portfolio/training environments that demonstrate attacks but not SOC operations.</w:t>
      </w:r>
    </w:p>
    <w:p>
      <w:pPr>
        <w:pStyle w:val="Heading2"/>
      </w:pPr>
      <w:r>
        <w:t>2.2 Product Value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color w:val="FFFFFF"/>
              </w:rPr>
            </w:r>
            <w:r>
              <w:rPr>
                <w:b/>
                <w:color w:val="FFFFFF"/>
                <w:sz w:val="18"/>
              </w:rPr>
              <w:t>Stakeholder</w:t>
            </w:r>
          </w:p>
        </w:tc>
        <w:tc>
          <w:tcPr>
            <w:tcW w:type="dxa" w:w="5112"/>
            <w:vAlign w:val="center"/>
            <w:shd w:fill="1F4E78"/>
          </w:tcPr>
          <w:p>
            <w:r>
              <w:rPr>
                <w:color w:val="FFFFFF"/>
              </w:rPr>
            </w:r>
            <w:r>
              <w:rPr>
                <w:b/>
                <w:color w:val="FFFFFF"/>
                <w:sz w:val="18"/>
              </w:rPr>
              <w:t>Value</w:t>
            </w:r>
          </w:p>
        </w:tc>
      </w:tr>
      <w:tr>
        <w:tc>
          <w:tcPr>
            <w:tcW w:type="dxa" w:w="5112"/>
            <w:vAlign w:val="center"/>
          </w:tcPr>
          <w:p>
            <w:r/>
            <w:r>
              <w:rPr>
                <w:b w:val="0"/>
                <w:sz w:val="17"/>
              </w:rPr>
              <w:t>SOC Analyst</w:t>
            </w:r>
          </w:p>
        </w:tc>
        <w:tc>
          <w:tcPr>
            <w:tcW w:type="dxa" w:w="5112"/>
            <w:vAlign w:val="center"/>
          </w:tcPr>
          <w:p>
            <w:r/>
            <w:r>
              <w:rPr>
                <w:b w:val="0"/>
                <w:sz w:val="17"/>
              </w:rPr>
              <w:t>Prioritized alerts, investigation pivots, timelines, evidence and guided playbooks.</w:t>
            </w:r>
          </w:p>
        </w:tc>
      </w:tr>
      <w:tr>
        <w:tc>
          <w:tcPr>
            <w:tcW w:type="dxa" w:w="5112"/>
            <w:vAlign w:val="center"/>
          </w:tcPr>
          <w:p>
            <w:r/>
            <w:r>
              <w:rPr>
                <w:b w:val="0"/>
                <w:sz w:val="17"/>
              </w:rPr>
              <w:t>Detection Engineer</w:t>
            </w:r>
          </w:p>
        </w:tc>
        <w:tc>
          <w:tcPr>
            <w:tcW w:type="dxa" w:w="5112"/>
            <w:vAlign w:val="center"/>
          </w:tcPr>
          <w:p>
            <w:r/>
            <w:r>
              <w:rPr>
                <w:b w:val="0"/>
                <w:sz w:val="17"/>
              </w:rPr>
              <w:t>Rule lifecycle, test data, ATT&amp;CK mapping, validation and tuning.</w:t>
            </w:r>
          </w:p>
        </w:tc>
      </w:tr>
      <w:tr>
        <w:tc>
          <w:tcPr>
            <w:tcW w:type="dxa" w:w="5112"/>
            <w:vAlign w:val="center"/>
          </w:tcPr>
          <w:p>
            <w:r/>
            <w:r>
              <w:rPr>
                <w:b w:val="0"/>
                <w:sz w:val="17"/>
              </w:rPr>
              <w:t>Incident Responder</w:t>
            </w:r>
          </w:p>
        </w:tc>
        <w:tc>
          <w:tcPr>
            <w:tcW w:type="dxa" w:w="5112"/>
            <w:vAlign w:val="center"/>
          </w:tcPr>
          <w:p>
            <w:r/>
            <w:r>
              <w:rPr>
                <w:b w:val="0"/>
                <w:sz w:val="17"/>
              </w:rPr>
              <w:t>Cases, IOC collection, evidence preservation and containment actions.</w:t>
            </w:r>
          </w:p>
        </w:tc>
      </w:tr>
      <w:tr>
        <w:tc>
          <w:tcPr>
            <w:tcW w:type="dxa" w:w="5112"/>
            <w:vAlign w:val="center"/>
          </w:tcPr>
          <w:p>
            <w:r/>
            <w:r>
              <w:rPr>
                <w:b w:val="0"/>
                <w:sz w:val="17"/>
              </w:rPr>
              <w:t>SOC Manager</w:t>
            </w:r>
          </w:p>
        </w:tc>
        <w:tc>
          <w:tcPr>
            <w:tcW w:type="dxa" w:w="5112"/>
            <w:vAlign w:val="center"/>
          </w:tcPr>
          <w:p>
            <w:r/>
            <w:r>
              <w:rPr>
                <w:b w:val="0"/>
                <w:sz w:val="17"/>
              </w:rPr>
              <w:t>Coverage, SLA, MTTD/MTTR, alert quality and analyst workload visibility.</w:t>
            </w:r>
          </w:p>
        </w:tc>
      </w:tr>
      <w:tr>
        <w:tc>
          <w:tcPr>
            <w:tcW w:type="dxa" w:w="5112"/>
            <w:vAlign w:val="center"/>
          </w:tcPr>
          <w:p>
            <w:r/>
            <w:r>
              <w:rPr>
                <w:b w:val="0"/>
                <w:sz w:val="17"/>
              </w:rPr>
              <w:t>Security Engineer</w:t>
            </w:r>
          </w:p>
        </w:tc>
        <w:tc>
          <w:tcPr>
            <w:tcW w:type="dxa" w:w="5112"/>
            <w:vAlign w:val="center"/>
          </w:tcPr>
          <w:p>
            <w:r/>
            <w:r>
              <w:rPr>
                <w:b w:val="0"/>
                <w:sz w:val="17"/>
              </w:rPr>
              <w:t>Telemetry health, integration status, data quality and deployment controls.</w:t>
            </w:r>
          </w:p>
        </w:tc>
      </w:tr>
      <w:tr>
        <w:tc>
          <w:tcPr>
            <w:tcW w:type="dxa" w:w="5112"/>
            <w:vAlign w:val="center"/>
          </w:tcPr>
          <w:p>
            <w:r/>
            <w:r>
              <w:rPr>
                <w:b w:val="0"/>
                <w:sz w:val="17"/>
              </w:rPr>
              <w:t>Training / Hiring Team</w:t>
            </w:r>
          </w:p>
        </w:tc>
        <w:tc>
          <w:tcPr>
            <w:tcW w:type="dxa" w:w="5112"/>
            <w:vAlign w:val="center"/>
          </w:tcPr>
          <w:p>
            <w:r/>
            <w:r>
              <w:rPr>
                <w:b w:val="0"/>
                <w:sz w:val="17"/>
              </w:rPr>
              <w:t>Reproducible attack-to-detection scenarios and measurable analyst outcomes.</w:t>
            </w:r>
          </w:p>
        </w:tc>
      </w:tr>
    </w:tbl>
    <w:p/>
    <w:p>
      <w:pPr>
        <w:pStyle w:val="Heading1"/>
      </w:pPr>
      <w:r>
        <w:t>3. Product Goals and Success Metrics</w:t>
      </w:r>
    </w:p>
    <w:p>
      <w:pPr>
        <w:pStyle w:val="Heading2"/>
      </w:pPr>
      <w:r>
        <w:t>3.1 MVP Definition of Done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color w:val="FFFFFF"/>
              </w:rPr>
            </w:r>
            <w:r>
              <w:rPr>
                <w:b/>
                <w:color w:val="FFFFFF"/>
                <w:sz w:val="18"/>
              </w:rPr>
              <w:t>Metric</w:t>
            </w:r>
          </w:p>
        </w:tc>
        <w:tc>
          <w:tcPr>
            <w:tcW w:type="dxa" w:w="5112"/>
            <w:vAlign w:val="center"/>
            <w:shd w:fill="1F4E78"/>
          </w:tcPr>
          <w:p>
            <w:r>
              <w:rPr>
                <w:color w:val="FFFFFF"/>
              </w:rPr>
            </w:r>
            <w:r>
              <w:rPr>
                <w:b/>
                <w:color w:val="FFFFFF"/>
                <w:sz w:val="18"/>
              </w:rPr>
              <w:t>Target</w:t>
            </w:r>
          </w:p>
        </w:tc>
      </w:tr>
      <w:tr>
        <w:tc>
          <w:tcPr>
            <w:tcW w:type="dxa" w:w="5112"/>
            <w:vAlign w:val="center"/>
          </w:tcPr>
          <w:p>
            <w:r/>
            <w:r>
              <w:rPr>
                <w:b w:val="0"/>
                <w:sz w:val="17"/>
              </w:rPr>
              <w:t>ATT&amp;CK coverage</w:t>
            </w:r>
          </w:p>
        </w:tc>
        <w:tc>
          <w:tcPr>
            <w:tcW w:type="dxa" w:w="5112"/>
            <w:vAlign w:val="center"/>
          </w:tcPr>
          <w:p>
            <w:r/>
            <w:r>
              <w:rPr>
                <w:b w:val="0"/>
                <w:sz w:val="17"/>
              </w:rPr>
              <w:t>≥8 executed techniques across ≥4 tactics</w:t>
            </w:r>
          </w:p>
        </w:tc>
      </w:tr>
      <w:tr>
        <w:tc>
          <w:tcPr>
            <w:tcW w:type="dxa" w:w="5112"/>
            <w:vAlign w:val="center"/>
          </w:tcPr>
          <w:p>
            <w:r/>
            <w:r>
              <w:rPr>
                <w:b w:val="0"/>
                <w:sz w:val="17"/>
              </w:rPr>
              <w:t>Detection coverage</w:t>
            </w:r>
          </w:p>
        </w:tc>
        <w:tc>
          <w:tcPr>
            <w:tcW w:type="dxa" w:w="5112"/>
            <w:vAlign w:val="center"/>
          </w:tcPr>
          <w:p>
            <w:r/>
            <w:r>
              <w:rPr>
                <w:b w:val="0"/>
                <w:sz w:val="17"/>
              </w:rPr>
              <w:t>≥80% of executed techniques generate an alert</w:t>
            </w:r>
          </w:p>
        </w:tc>
      </w:tr>
      <w:tr>
        <w:tc>
          <w:tcPr>
            <w:tcW w:type="dxa" w:w="5112"/>
            <w:vAlign w:val="center"/>
          </w:tcPr>
          <w:p>
            <w:r/>
            <w:r>
              <w:rPr>
                <w:b w:val="0"/>
                <w:sz w:val="17"/>
              </w:rPr>
              <w:t>Custom detections</w:t>
            </w:r>
          </w:p>
        </w:tc>
        <w:tc>
          <w:tcPr>
            <w:tcW w:type="dxa" w:w="5112"/>
            <w:vAlign w:val="center"/>
          </w:tcPr>
          <w:p>
            <w:r/>
            <w:r>
              <w:rPr>
                <w:b w:val="0"/>
                <w:sz w:val="17"/>
              </w:rPr>
              <w:t>≥3 documented custom Wazuh/Sigma-style detections</w:t>
            </w:r>
          </w:p>
        </w:tc>
      </w:tr>
      <w:tr>
        <w:tc>
          <w:tcPr>
            <w:tcW w:type="dxa" w:w="5112"/>
            <w:vAlign w:val="center"/>
          </w:tcPr>
          <w:p>
            <w:r/>
            <w:r>
              <w:rPr>
                <w:b w:val="0"/>
                <w:sz w:val="17"/>
              </w:rPr>
              <w:t>Capstone chain</w:t>
            </w:r>
          </w:p>
        </w:tc>
        <w:tc>
          <w:tcPr>
            <w:tcW w:type="dxa" w:w="5112"/>
            <w:vAlign w:val="center"/>
          </w:tcPr>
          <w:p>
            <w:r/>
            <w:r>
              <w:rPr>
                <w:b w:val="0"/>
                <w:sz w:val="17"/>
              </w:rPr>
              <w:t>1 multi-stage chain with 3–4 techniques</w:t>
            </w:r>
          </w:p>
        </w:tc>
      </w:tr>
      <w:tr>
        <w:tc>
          <w:tcPr>
            <w:tcW w:type="dxa" w:w="5112"/>
            <w:vAlign w:val="center"/>
          </w:tcPr>
          <w:p>
            <w:r/>
            <w:r>
              <w:rPr>
                <w:b w:val="0"/>
                <w:sz w:val="17"/>
              </w:rPr>
              <w:t>Incident report</w:t>
            </w:r>
          </w:p>
        </w:tc>
        <w:tc>
          <w:tcPr>
            <w:tcW w:type="dxa" w:w="5112"/>
            <w:vAlign w:val="center"/>
          </w:tcPr>
          <w:p>
            <w:r/>
            <w:r>
              <w:rPr>
                <w:b w:val="0"/>
                <w:sz w:val="17"/>
              </w:rPr>
              <w:t>1 SOC-standard incident report with timeline, IOCs, detection and remediation</w:t>
            </w:r>
          </w:p>
        </w:tc>
      </w:tr>
      <w:tr>
        <w:tc>
          <w:tcPr>
            <w:tcW w:type="dxa" w:w="5112"/>
            <w:vAlign w:val="center"/>
          </w:tcPr>
          <w:p>
            <w:r/>
            <w:r>
              <w:rPr>
                <w:b w:val="0"/>
                <w:sz w:val="17"/>
              </w:rPr>
              <w:t>Reproducibility</w:t>
            </w:r>
          </w:p>
        </w:tc>
        <w:tc>
          <w:tcPr>
            <w:tcW w:type="dxa" w:w="5112"/>
            <w:vAlign w:val="center"/>
          </w:tcPr>
          <w:p>
            <w:r/>
            <w:r>
              <w:rPr>
                <w:b w:val="0"/>
                <w:sz w:val="17"/>
              </w:rPr>
              <w:t>Clean deployment from repository using Docker Compose</w:t>
            </w:r>
          </w:p>
        </w:tc>
      </w:tr>
      <w:tr>
        <w:tc>
          <w:tcPr>
            <w:tcW w:type="dxa" w:w="5112"/>
            <w:vAlign w:val="center"/>
          </w:tcPr>
          <w:p>
            <w:r/>
            <w:r>
              <w:rPr>
                <w:b w:val="0"/>
                <w:sz w:val="17"/>
              </w:rPr>
              <w:t>Isolation</w:t>
            </w:r>
          </w:p>
        </w:tc>
        <w:tc>
          <w:tcPr>
            <w:tcW w:type="dxa" w:w="5112"/>
            <w:vAlign w:val="center"/>
          </w:tcPr>
          <w:p>
            <w:r/>
            <w:r>
              <w:rPr>
                <w:b w:val="0"/>
                <w:sz w:val="17"/>
              </w:rPr>
              <w:t>No lab exposure to real LAN/public internet</w:t>
            </w:r>
          </w:p>
        </w:tc>
      </w:tr>
      <w:tr>
        <w:tc>
          <w:tcPr>
            <w:tcW w:type="dxa" w:w="5112"/>
            <w:vAlign w:val="center"/>
          </w:tcPr>
          <w:p>
            <w:r/>
            <w:r>
              <w:rPr>
                <w:b w:val="0"/>
                <w:sz w:val="17"/>
              </w:rPr>
              <w:t>Telemetry gate</w:t>
            </w:r>
          </w:p>
        </w:tc>
        <w:tc>
          <w:tcPr>
            <w:tcW w:type="dxa" w:w="5112"/>
            <w:vAlign w:val="center"/>
          </w:tcPr>
          <w:p>
            <w:r/>
            <w:r>
              <w:rPr>
                <w:b w:val="0"/>
                <w:sz w:val="17"/>
              </w:rPr>
              <w:t>Known-good test event visible before attack simulation</w:t>
            </w:r>
          </w:p>
        </w:tc>
      </w:tr>
    </w:tbl>
    <w:p/>
    <w:p>
      <w:pPr>
        <w:pStyle w:val="Heading2"/>
      </w:pPr>
      <w:r>
        <w:t>3.2 Commercial Product KPIs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8"/>
              </w:rPr>
              <w:t>KPI</w:t>
            </w:r>
          </w:p>
        </w:tc>
        <w:tc>
          <w:tcPr>
            <w:tcW w:type="dxa" w:w="3408"/>
            <w:vAlign w:val="center"/>
            <w:shd w:fill="1F4E78"/>
          </w:tcPr>
          <w:p>
            <w:r>
              <w:rPr>
                <w:color w:val="FFFFFF"/>
              </w:rPr>
            </w:r>
            <w:r>
              <w:rPr>
                <w:b/>
                <w:color w:val="FFFFFF"/>
                <w:sz w:val="18"/>
              </w:rPr>
              <w:t>Definition</w:t>
            </w:r>
          </w:p>
        </w:tc>
        <w:tc>
          <w:tcPr>
            <w:tcW w:type="dxa" w:w="3408"/>
            <w:vAlign w:val="center"/>
            <w:shd w:fill="1F4E78"/>
          </w:tcPr>
          <w:p>
            <w:r>
              <w:rPr>
                <w:color w:val="FFFFFF"/>
              </w:rPr>
            </w:r>
            <w:r>
              <w:rPr>
                <w:b/>
                <w:color w:val="FFFFFF"/>
                <w:sz w:val="18"/>
              </w:rPr>
              <w:t>Target Direction</w:t>
            </w:r>
          </w:p>
        </w:tc>
      </w:tr>
      <w:tr>
        <w:tc>
          <w:tcPr>
            <w:tcW w:type="dxa" w:w="3408"/>
            <w:vAlign w:val="center"/>
          </w:tcPr>
          <w:p>
            <w:r/>
            <w:r>
              <w:rPr>
                <w:b w:val="0"/>
                <w:sz w:val="17"/>
              </w:rPr>
              <w:t>MTTD</w:t>
            </w:r>
          </w:p>
        </w:tc>
        <w:tc>
          <w:tcPr>
            <w:tcW w:type="dxa" w:w="3408"/>
            <w:vAlign w:val="center"/>
          </w:tcPr>
          <w:p>
            <w:r/>
            <w:r>
              <w:rPr>
                <w:b w:val="0"/>
                <w:sz w:val="17"/>
              </w:rPr>
              <w:t>Time from source event to actionable alert</w:t>
            </w:r>
          </w:p>
        </w:tc>
        <w:tc>
          <w:tcPr>
            <w:tcW w:type="dxa" w:w="3408"/>
            <w:vAlign w:val="center"/>
          </w:tcPr>
          <w:p>
            <w:r/>
            <w:r>
              <w:rPr>
                <w:b w:val="0"/>
                <w:sz w:val="17"/>
              </w:rPr>
              <w:t>Lower</w:t>
            </w:r>
          </w:p>
        </w:tc>
      </w:tr>
      <w:tr>
        <w:tc>
          <w:tcPr>
            <w:tcW w:type="dxa" w:w="3408"/>
            <w:vAlign w:val="center"/>
          </w:tcPr>
          <w:p>
            <w:r/>
            <w:r>
              <w:rPr>
                <w:b w:val="0"/>
                <w:sz w:val="17"/>
              </w:rPr>
              <w:t>MTTA</w:t>
            </w:r>
          </w:p>
        </w:tc>
        <w:tc>
          <w:tcPr>
            <w:tcW w:type="dxa" w:w="3408"/>
            <w:vAlign w:val="center"/>
          </w:tcPr>
          <w:p>
            <w:r/>
            <w:r>
              <w:rPr>
                <w:b w:val="0"/>
                <w:sz w:val="17"/>
              </w:rPr>
              <w:t>Time from alert creation to analyst acknowledgement</w:t>
            </w:r>
          </w:p>
        </w:tc>
        <w:tc>
          <w:tcPr>
            <w:tcW w:type="dxa" w:w="3408"/>
            <w:vAlign w:val="center"/>
          </w:tcPr>
          <w:p>
            <w:r/>
            <w:r>
              <w:rPr>
                <w:b w:val="0"/>
                <w:sz w:val="17"/>
              </w:rPr>
              <w:t>Lower</w:t>
            </w:r>
          </w:p>
        </w:tc>
      </w:tr>
      <w:tr>
        <w:tc>
          <w:tcPr>
            <w:tcW w:type="dxa" w:w="3408"/>
            <w:vAlign w:val="center"/>
          </w:tcPr>
          <w:p>
            <w:r/>
            <w:r>
              <w:rPr>
                <w:b w:val="0"/>
                <w:sz w:val="17"/>
              </w:rPr>
              <w:t>MTTR</w:t>
            </w:r>
          </w:p>
        </w:tc>
        <w:tc>
          <w:tcPr>
            <w:tcW w:type="dxa" w:w="3408"/>
            <w:vAlign w:val="center"/>
          </w:tcPr>
          <w:p>
            <w:r/>
            <w:r>
              <w:rPr>
                <w:b w:val="0"/>
                <w:sz w:val="17"/>
              </w:rPr>
              <w:t>Time from confirmed incident to containment</w:t>
            </w:r>
          </w:p>
        </w:tc>
        <w:tc>
          <w:tcPr>
            <w:tcW w:type="dxa" w:w="3408"/>
            <w:vAlign w:val="center"/>
          </w:tcPr>
          <w:p>
            <w:r/>
            <w:r>
              <w:rPr>
                <w:b w:val="0"/>
                <w:sz w:val="17"/>
              </w:rPr>
              <w:t>Lower</w:t>
            </w:r>
          </w:p>
        </w:tc>
      </w:tr>
      <w:tr>
        <w:tc>
          <w:tcPr>
            <w:tcW w:type="dxa" w:w="3408"/>
            <w:vAlign w:val="center"/>
          </w:tcPr>
          <w:p>
            <w:r/>
            <w:r>
              <w:rPr>
                <w:b w:val="0"/>
                <w:sz w:val="17"/>
              </w:rPr>
              <w:t>Detection coverage</w:t>
            </w:r>
          </w:p>
        </w:tc>
        <w:tc>
          <w:tcPr>
            <w:tcW w:type="dxa" w:w="3408"/>
            <w:vAlign w:val="center"/>
          </w:tcPr>
          <w:p>
            <w:r/>
            <w:r>
              <w:rPr>
                <w:b w:val="0"/>
                <w:sz w:val="17"/>
              </w:rPr>
              <w:t>Validated ATT&amp;CK techniques with working detections / tested techniques</w:t>
            </w:r>
          </w:p>
        </w:tc>
        <w:tc>
          <w:tcPr>
            <w:tcW w:type="dxa" w:w="3408"/>
            <w:vAlign w:val="center"/>
          </w:tcPr>
          <w:p>
            <w:r/>
            <w:r>
              <w:rPr>
                <w:b w:val="0"/>
                <w:sz w:val="17"/>
              </w:rPr>
              <w:t>Higher</w:t>
            </w:r>
          </w:p>
        </w:tc>
      </w:tr>
      <w:tr>
        <w:tc>
          <w:tcPr>
            <w:tcW w:type="dxa" w:w="3408"/>
            <w:vAlign w:val="center"/>
          </w:tcPr>
          <w:p>
            <w:r/>
            <w:r>
              <w:rPr>
                <w:b w:val="0"/>
                <w:sz w:val="17"/>
              </w:rPr>
              <w:t>False-positive rate</w:t>
            </w:r>
          </w:p>
        </w:tc>
        <w:tc>
          <w:tcPr>
            <w:tcW w:type="dxa" w:w="3408"/>
            <w:vAlign w:val="center"/>
          </w:tcPr>
          <w:p>
            <w:r/>
            <w:r>
              <w:rPr>
                <w:b w:val="0"/>
                <w:sz w:val="17"/>
              </w:rPr>
              <w:t>Alerts closed as benign / total alerts</w:t>
            </w:r>
          </w:p>
        </w:tc>
        <w:tc>
          <w:tcPr>
            <w:tcW w:type="dxa" w:w="3408"/>
            <w:vAlign w:val="center"/>
          </w:tcPr>
          <w:p>
            <w:r/>
            <w:r>
              <w:rPr>
                <w:b w:val="0"/>
                <w:sz w:val="17"/>
              </w:rPr>
              <w:t>Lower</w:t>
            </w:r>
          </w:p>
        </w:tc>
      </w:tr>
      <w:tr>
        <w:tc>
          <w:tcPr>
            <w:tcW w:type="dxa" w:w="3408"/>
            <w:vAlign w:val="center"/>
          </w:tcPr>
          <w:p>
            <w:r/>
            <w:r>
              <w:rPr>
                <w:b w:val="0"/>
                <w:sz w:val="17"/>
              </w:rPr>
              <w:t>Alert fidelity</w:t>
            </w:r>
          </w:p>
        </w:tc>
        <w:tc>
          <w:tcPr>
            <w:tcW w:type="dxa" w:w="3408"/>
            <w:vAlign w:val="center"/>
          </w:tcPr>
          <w:p>
            <w:r/>
            <w:r>
              <w:rPr>
                <w:b w:val="0"/>
                <w:sz w:val="17"/>
              </w:rPr>
              <w:t>Actionable alerts / total alerts</w:t>
            </w:r>
          </w:p>
        </w:tc>
        <w:tc>
          <w:tcPr>
            <w:tcW w:type="dxa" w:w="3408"/>
            <w:vAlign w:val="center"/>
          </w:tcPr>
          <w:p>
            <w:r/>
            <w:r>
              <w:rPr>
                <w:b w:val="0"/>
                <w:sz w:val="17"/>
              </w:rPr>
              <w:t>Higher</w:t>
            </w:r>
          </w:p>
        </w:tc>
      </w:tr>
      <w:tr>
        <w:tc>
          <w:tcPr>
            <w:tcW w:type="dxa" w:w="3408"/>
            <w:vAlign w:val="center"/>
          </w:tcPr>
          <w:p>
            <w:r/>
            <w:r>
              <w:rPr>
                <w:b w:val="0"/>
                <w:sz w:val="17"/>
              </w:rPr>
              <w:t>Telemetry health</w:t>
            </w:r>
          </w:p>
        </w:tc>
        <w:tc>
          <w:tcPr>
            <w:tcW w:type="dxa" w:w="3408"/>
            <w:vAlign w:val="center"/>
          </w:tcPr>
          <w:p>
            <w:r/>
            <w:r>
              <w:rPr>
                <w:b w:val="0"/>
                <w:sz w:val="17"/>
              </w:rPr>
              <w:t>Healthy sources / configured sources</w:t>
            </w:r>
          </w:p>
        </w:tc>
        <w:tc>
          <w:tcPr>
            <w:tcW w:type="dxa" w:w="3408"/>
            <w:vAlign w:val="center"/>
          </w:tcPr>
          <w:p>
            <w:r/>
            <w:r>
              <w:rPr>
                <w:b w:val="0"/>
                <w:sz w:val="17"/>
              </w:rPr>
              <w:t>Higher</w:t>
            </w:r>
          </w:p>
        </w:tc>
      </w:tr>
      <w:tr>
        <w:tc>
          <w:tcPr>
            <w:tcW w:type="dxa" w:w="3408"/>
            <w:vAlign w:val="center"/>
          </w:tcPr>
          <w:p>
            <w:r/>
            <w:r>
              <w:rPr>
                <w:b w:val="0"/>
                <w:sz w:val="17"/>
              </w:rPr>
              <w:t>Playbook success</w:t>
            </w:r>
          </w:p>
        </w:tc>
        <w:tc>
          <w:tcPr>
            <w:tcW w:type="dxa" w:w="3408"/>
            <w:vAlign w:val="center"/>
          </w:tcPr>
          <w:p>
            <w:r/>
            <w:r>
              <w:rPr>
                <w:b w:val="0"/>
                <w:sz w:val="17"/>
              </w:rPr>
              <w:t>Successful response runs / attempted runs</w:t>
            </w:r>
          </w:p>
        </w:tc>
        <w:tc>
          <w:tcPr>
            <w:tcW w:type="dxa" w:w="3408"/>
            <w:vAlign w:val="center"/>
          </w:tcPr>
          <w:p>
            <w:r/>
            <w:r>
              <w:rPr>
                <w:b w:val="0"/>
                <w:sz w:val="17"/>
              </w:rPr>
              <w:t>Higher</w:t>
            </w:r>
          </w:p>
        </w:tc>
      </w:tr>
      <w:tr>
        <w:tc>
          <w:tcPr>
            <w:tcW w:type="dxa" w:w="3408"/>
            <w:vAlign w:val="center"/>
          </w:tcPr>
          <w:p>
            <w:r/>
            <w:r>
              <w:rPr>
                <w:b w:val="0"/>
                <w:sz w:val="17"/>
              </w:rPr>
              <w:t>Evidence completeness</w:t>
            </w:r>
          </w:p>
        </w:tc>
        <w:tc>
          <w:tcPr>
            <w:tcW w:type="dxa" w:w="3408"/>
            <w:vAlign w:val="center"/>
          </w:tcPr>
          <w:p>
            <w:r/>
            <w:r>
              <w:rPr>
                <w:b w:val="0"/>
                <w:sz w:val="17"/>
              </w:rPr>
              <w:t>Required case evidence present / required evidence</w:t>
            </w:r>
          </w:p>
        </w:tc>
        <w:tc>
          <w:tcPr>
            <w:tcW w:type="dxa" w:w="3408"/>
            <w:vAlign w:val="center"/>
          </w:tcPr>
          <w:p>
            <w:r/>
            <w:r>
              <w:rPr>
                <w:b w:val="0"/>
                <w:sz w:val="17"/>
              </w:rPr>
              <w:t>Higher</w:t>
            </w:r>
          </w:p>
        </w:tc>
      </w:tr>
    </w:tbl>
    <w:p/>
    <w:p>
      <w:pPr>
        <w:pStyle w:val="Heading1"/>
      </w:pPr>
      <w:r>
        <w:t>4. Personas and User 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8"/>
              </w:rPr>
              <w:t>Role</w:t>
            </w:r>
          </w:p>
        </w:tc>
        <w:tc>
          <w:tcPr>
            <w:tcW w:type="dxa" w:w="3408"/>
            <w:vAlign w:val="center"/>
            <w:shd w:fill="1F4E78"/>
          </w:tcPr>
          <w:p>
            <w:r>
              <w:rPr>
                <w:color w:val="FFFFFF"/>
              </w:rPr>
            </w:r>
            <w:r>
              <w:rPr>
                <w:b/>
                <w:color w:val="FFFFFF"/>
                <w:sz w:val="18"/>
              </w:rPr>
              <w:t>Primary Responsibilities</w:t>
            </w:r>
          </w:p>
        </w:tc>
        <w:tc>
          <w:tcPr>
            <w:tcW w:type="dxa" w:w="3408"/>
            <w:vAlign w:val="center"/>
            <w:shd w:fill="1F4E78"/>
          </w:tcPr>
          <w:p>
            <w:r>
              <w:rPr>
                <w:color w:val="FFFFFF"/>
              </w:rPr>
            </w:r>
            <w:r>
              <w:rPr>
                <w:b/>
                <w:color w:val="FFFFFF"/>
                <w:sz w:val="18"/>
              </w:rPr>
              <w:t>Key Permissions</w:t>
            </w:r>
          </w:p>
        </w:tc>
      </w:tr>
      <w:tr>
        <w:tc>
          <w:tcPr>
            <w:tcW w:type="dxa" w:w="3408"/>
            <w:vAlign w:val="center"/>
          </w:tcPr>
          <w:p>
            <w:r/>
            <w:r>
              <w:rPr>
                <w:b w:val="0"/>
                <w:sz w:val="17"/>
              </w:rPr>
              <w:t>SOC L1 Analyst</w:t>
            </w:r>
          </w:p>
        </w:tc>
        <w:tc>
          <w:tcPr>
            <w:tcW w:type="dxa" w:w="3408"/>
            <w:vAlign w:val="center"/>
          </w:tcPr>
          <w:p>
            <w:r/>
            <w:r>
              <w:rPr>
                <w:b w:val="0"/>
                <w:sz w:val="17"/>
              </w:rPr>
              <w:t>Monitor, acknowledge, triage, enrich, escalate</w:t>
            </w:r>
          </w:p>
        </w:tc>
        <w:tc>
          <w:tcPr>
            <w:tcW w:type="dxa" w:w="3408"/>
            <w:vAlign w:val="center"/>
          </w:tcPr>
          <w:p>
            <w:r/>
            <w:r>
              <w:rPr>
                <w:b w:val="0"/>
                <w:sz w:val="17"/>
              </w:rPr>
              <w:t>Read telemetry; update alerts/cases; execute approved low-risk playbooks</w:t>
            </w:r>
          </w:p>
        </w:tc>
      </w:tr>
      <w:tr>
        <w:tc>
          <w:tcPr>
            <w:tcW w:type="dxa" w:w="3408"/>
            <w:vAlign w:val="center"/>
          </w:tcPr>
          <w:p>
            <w:r/>
            <w:r>
              <w:rPr>
                <w:b w:val="0"/>
                <w:sz w:val="17"/>
              </w:rPr>
              <w:t>SOC L2 Analyst</w:t>
            </w:r>
          </w:p>
        </w:tc>
        <w:tc>
          <w:tcPr>
            <w:tcW w:type="dxa" w:w="3408"/>
            <w:vAlign w:val="center"/>
          </w:tcPr>
          <w:p>
            <w:r/>
            <w:r>
              <w:rPr>
                <w:b w:val="0"/>
                <w:sz w:val="17"/>
              </w:rPr>
              <w:t>Deep investigation, correlation, hunting</w:t>
            </w:r>
          </w:p>
        </w:tc>
        <w:tc>
          <w:tcPr>
            <w:tcW w:type="dxa" w:w="3408"/>
            <w:vAlign w:val="center"/>
          </w:tcPr>
          <w:p>
            <w:r/>
            <w:r>
              <w:rPr>
                <w:b w:val="0"/>
                <w:sz w:val="17"/>
              </w:rPr>
              <w:t>Advanced search; pivot; case ownership; response approval within scope</w:t>
            </w:r>
          </w:p>
        </w:tc>
      </w:tr>
      <w:tr>
        <w:tc>
          <w:tcPr>
            <w:tcW w:type="dxa" w:w="3408"/>
            <w:vAlign w:val="center"/>
          </w:tcPr>
          <w:p>
            <w:r/>
            <w:r>
              <w:rPr>
                <w:b w:val="0"/>
                <w:sz w:val="17"/>
              </w:rPr>
              <w:t>Detection Engineer</w:t>
            </w:r>
          </w:p>
        </w:tc>
        <w:tc>
          <w:tcPr>
            <w:tcW w:type="dxa" w:w="3408"/>
            <w:vAlign w:val="center"/>
          </w:tcPr>
          <w:p>
            <w:r/>
            <w:r>
              <w:rPr>
                <w:b w:val="0"/>
                <w:sz w:val="17"/>
              </w:rPr>
              <w:t>Build/test/tune detections</w:t>
            </w:r>
          </w:p>
        </w:tc>
        <w:tc>
          <w:tcPr>
            <w:tcW w:type="dxa" w:w="3408"/>
            <w:vAlign w:val="center"/>
          </w:tcPr>
          <w:p>
            <w:r/>
            <w:r>
              <w:rPr>
                <w:b w:val="0"/>
                <w:sz w:val="17"/>
              </w:rPr>
              <w:t>Create/edit/validate rules; ATT&amp;CK mapping; deploy detection versions</w:t>
            </w:r>
          </w:p>
        </w:tc>
      </w:tr>
      <w:tr>
        <w:tc>
          <w:tcPr>
            <w:tcW w:type="dxa" w:w="3408"/>
            <w:vAlign w:val="center"/>
          </w:tcPr>
          <w:p>
            <w:r/>
            <w:r>
              <w:rPr>
                <w:b w:val="0"/>
                <w:sz w:val="17"/>
              </w:rPr>
              <w:t>Incident Responder</w:t>
            </w:r>
          </w:p>
        </w:tc>
        <w:tc>
          <w:tcPr>
            <w:tcW w:type="dxa" w:w="3408"/>
            <w:vAlign w:val="center"/>
          </w:tcPr>
          <w:p>
            <w:r/>
            <w:r>
              <w:rPr>
                <w:b w:val="0"/>
                <w:sz w:val="17"/>
              </w:rPr>
              <w:t>Containment and evidence</w:t>
            </w:r>
          </w:p>
        </w:tc>
        <w:tc>
          <w:tcPr>
            <w:tcW w:type="dxa" w:w="3408"/>
            <w:vAlign w:val="center"/>
          </w:tcPr>
          <w:p>
            <w:r/>
            <w:r>
              <w:rPr>
                <w:b w:val="0"/>
                <w:sz w:val="17"/>
              </w:rPr>
              <w:t>Case management; IOC actions; containment playbooks; evidence export</w:t>
            </w:r>
          </w:p>
        </w:tc>
      </w:tr>
      <w:tr>
        <w:tc>
          <w:tcPr>
            <w:tcW w:type="dxa" w:w="3408"/>
            <w:vAlign w:val="center"/>
          </w:tcPr>
          <w:p>
            <w:r/>
            <w:r>
              <w:rPr>
                <w:b w:val="0"/>
                <w:sz w:val="17"/>
              </w:rPr>
              <w:t>Threat Hunter</w:t>
            </w:r>
          </w:p>
        </w:tc>
        <w:tc>
          <w:tcPr>
            <w:tcW w:type="dxa" w:w="3408"/>
            <w:vAlign w:val="center"/>
          </w:tcPr>
          <w:p>
            <w:r/>
            <w:r>
              <w:rPr>
                <w:b w:val="0"/>
                <w:sz w:val="17"/>
              </w:rPr>
              <w:t>Hypothesis-driven hunting</w:t>
            </w:r>
          </w:p>
        </w:tc>
        <w:tc>
          <w:tcPr>
            <w:tcW w:type="dxa" w:w="3408"/>
            <w:vAlign w:val="center"/>
          </w:tcPr>
          <w:p>
            <w:r/>
            <w:r>
              <w:rPr>
                <w:b w:val="0"/>
                <w:sz w:val="17"/>
              </w:rPr>
              <w:t>Query telemetry, saved hunts, timeline analysis</w:t>
            </w:r>
          </w:p>
        </w:tc>
      </w:tr>
      <w:tr>
        <w:tc>
          <w:tcPr>
            <w:tcW w:type="dxa" w:w="3408"/>
            <w:vAlign w:val="center"/>
          </w:tcPr>
          <w:p>
            <w:r/>
            <w:r>
              <w:rPr>
                <w:b w:val="0"/>
                <w:sz w:val="17"/>
              </w:rPr>
              <w:t>SOC Manager</w:t>
            </w:r>
          </w:p>
        </w:tc>
        <w:tc>
          <w:tcPr>
            <w:tcW w:type="dxa" w:w="3408"/>
            <w:vAlign w:val="center"/>
          </w:tcPr>
          <w:p>
            <w:r/>
            <w:r>
              <w:rPr>
                <w:b w:val="0"/>
                <w:sz w:val="17"/>
              </w:rPr>
              <w:t>KPIs, queue, SLA and quality</w:t>
            </w:r>
          </w:p>
        </w:tc>
        <w:tc>
          <w:tcPr>
            <w:tcW w:type="dxa" w:w="3408"/>
            <w:vAlign w:val="center"/>
          </w:tcPr>
          <w:p>
            <w:r/>
            <w:r>
              <w:rPr>
                <w:b w:val="0"/>
                <w:sz w:val="17"/>
              </w:rPr>
              <w:t>Reports, dashboards, workload, policy approvals</w:t>
            </w:r>
          </w:p>
        </w:tc>
      </w:tr>
      <w:tr>
        <w:tc>
          <w:tcPr>
            <w:tcW w:type="dxa" w:w="3408"/>
            <w:vAlign w:val="center"/>
          </w:tcPr>
          <w:p>
            <w:r/>
            <w:r>
              <w:rPr>
                <w:b w:val="0"/>
                <w:sz w:val="17"/>
              </w:rPr>
              <w:t>Platform Admin</w:t>
            </w:r>
          </w:p>
        </w:tc>
        <w:tc>
          <w:tcPr>
            <w:tcW w:type="dxa" w:w="3408"/>
            <w:vAlign w:val="center"/>
          </w:tcPr>
          <w:p>
            <w:r/>
            <w:r>
              <w:rPr>
                <w:b w:val="0"/>
                <w:sz w:val="17"/>
              </w:rPr>
              <w:t>Users, integrations, infrastructure</w:t>
            </w:r>
          </w:p>
        </w:tc>
        <w:tc>
          <w:tcPr>
            <w:tcW w:type="dxa" w:w="3408"/>
            <w:vAlign w:val="center"/>
          </w:tcPr>
          <w:p>
            <w:r/>
            <w:r>
              <w:rPr>
                <w:b w:val="0"/>
                <w:sz w:val="17"/>
              </w:rPr>
              <w:t>RBAC, connectors, health, configuration, deployment</w:t>
            </w:r>
          </w:p>
        </w:tc>
      </w:tr>
      <w:tr>
        <w:tc>
          <w:tcPr>
            <w:tcW w:type="dxa" w:w="3408"/>
            <w:vAlign w:val="center"/>
          </w:tcPr>
          <w:p>
            <w:r/>
            <w:r>
              <w:rPr>
                <w:b w:val="0"/>
                <w:sz w:val="17"/>
              </w:rPr>
              <w:t>Auditor</w:t>
            </w:r>
          </w:p>
        </w:tc>
        <w:tc>
          <w:tcPr>
            <w:tcW w:type="dxa" w:w="3408"/>
            <w:vAlign w:val="center"/>
          </w:tcPr>
          <w:p>
            <w:r/>
            <w:r>
              <w:rPr>
                <w:b w:val="0"/>
                <w:sz w:val="17"/>
              </w:rPr>
              <w:t>Read-only assurance</w:t>
            </w:r>
          </w:p>
        </w:tc>
        <w:tc>
          <w:tcPr>
            <w:tcW w:type="dxa" w:w="3408"/>
            <w:vAlign w:val="center"/>
          </w:tcPr>
          <w:p>
            <w:r/>
            <w:r>
              <w:rPr>
                <w:b w:val="0"/>
                <w:sz w:val="17"/>
              </w:rPr>
              <w:t>Read cases, evidence, reports and audit logs</w:t>
            </w:r>
          </w:p>
        </w:tc>
      </w:tr>
    </w:tbl>
    <w:p/>
    <w:p>
      <w:pPr>
        <w:pStyle w:val="Heading2"/>
      </w:pPr>
      <w:r>
        <w:t>4.1 RBAC Design</w:t>
      </w:r>
    </w:p>
    <w:p>
      <w:r>
        <w:t>Every privileged action must be authorization-checked server-side. UI visibility is not a security boundary. Response actions should additionally support scoped approvals, dual-control for destructive actions, and complete audit records.</w:t>
      </w:r>
    </w:p>
    <w:p>
      <w:pPr>
        <w:pStyle w:val="Heading1"/>
      </w:pPr>
      <w:r>
        <w:t>5. Product Capability Map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color w:val="FFFFFF"/>
              </w:rPr>
            </w:r>
            <w:r>
              <w:rPr>
                <w:b/>
                <w:color w:val="FFFFFF"/>
                <w:sz w:val="18"/>
              </w:rPr>
              <w:t>Capability</w:t>
            </w:r>
          </w:p>
        </w:tc>
        <w:tc>
          <w:tcPr>
            <w:tcW w:type="dxa" w:w="5112"/>
            <w:vAlign w:val="center"/>
            <w:shd w:fill="1F4E78"/>
          </w:tcPr>
          <w:p>
            <w:r>
              <w:rPr>
                <w:color w:val="FFFFFF"/>
              </w:rPr>
            </w:r>
            <w:r>
              <w:rPr>
                <w:b/>
                <w:color w:val="FFFFFF"/>
                <w:sz w:val="18"/>
              </w:rPr>
              <w:t>Scope</w:t>
            </w:r>
          </w:p>
        </w:tc>
      </w:tr>
      <w:tr>
        <w:tc>
          <w:tcPr>
            <w:tcW w:type="dxa" w:w="5112"/>
            <w:vAlign w:val="center"/>
          </w:tcPr>
          <w:p>
            <w:r/>
            <w:r>
              <w:rPr>
                <w:b w:val="0"/>
                <w:sz w:val="17"/>
              </w:rPr>
              <w:t>Telemetry &amp; Collectors</w:t>
            </w:r>
          </w:p>
        </w:tc>
        <w:tc>
          <w:tcPr>
            <w:tcW w:type="dxa" w:w="5112"/>
            <w:vAlign w:val="center"/>
          </w:tcPr>
          <w:p>
            <w:r/>
            <w:r>
              <w:rPr>
                <w:b w:val="0"/>
                <w:sz w:val="17"/>
              </w:rPr>
              <w:t>Wazuh agents, syslog, web logs, auditd, network/PCAP-derived metadata, future Windows/Sysmon and cloud sources.</w:t>
            </w:r>
          </w:p>
        </w:tc>
      </w:tr>
      <w:tr>
        <w:tc>
          <w:tcPr>
            <w:tcW w:type="dxa" w:w="5112"/>
            <w:vAlign w:val="center"/>
          </w:tcPr>
          <w:p>
            <w:r/>
            <w:r>
              <w:rPr>
                <w:b w:val="0"/>
                <w:sz w:val="17"/>
              </w:rPr>
              <w:t>Normalization</w:t>
            </w:r>
          </w:p>
        </w:tc>
        <w:tc>
          <w:tcPr>
            <w:tcW w:type="dxa" w:w="5112"/>
            <w:vAlign w:val="center"/>
          </w:tcPr>
          <w:p>
            <w:r/>
            <w:r>
              <w:rPr>
                <w:b w:val="0"/>
                <w:sz w:val="17"/>
              </w:rPr>
              <w:t>Common event schema, timestamps, source identity, parser status, severity and raw-event preservation.</w:t>
            </w:r>
          </w:p>
        </w:tc>
      </w:tr>
      <w:tr>
        <w:tc>
          <w:tcPr>
            <w:tcW w:type="dxa" w:w="5112"/>
            <w:vAlign w:val="center"/>
          </w:tcPr>
          <w:p>
            <w:r/>
            <w:r>
              <w:rPr>
                <w:b w:val="0"/>
                <w:sz w:val="17"/>
              </w:rPr>
              <w:t>Detection Engine</w:t>
            </w:r>
          </w:p>
        </w:tc>
        <w:tc>
          <w:tcPr>
            <w:tcW w:type="dxa" w:w="5112"/>
            <w:vAlign w:val="center"/>
          </w:tcPr>
          <w:p>
            <w:r/>
            <w:r>
              <w:rPr>
                <w:b w:val="0"/>
                <w:sz w:val="17"/>
              </w:rPr>
              <w:t>Wazuh rules, Sigma-compatible content, correlation, thresholds, sequence detections and behavioral analytics.</w:t>
            </w:r>
          </w:p>
        </w:tc>
      </w:tr>
      <w:tr>
        <w:tc>
          <w:tcPr>
            <w:tcW w:type="dxa" w:w="5112"/>
            <w:vAlign w:val="center"/>
          </w:tcPr>
          <w:p>
            <w:r/>
            <w:r>
              <w:rPr>
                <w:b w:val="0"/>
                <w:sz w:val="17"/>
              </w:rPr>
              <w:t>Alert Management</w:t>
            </w:r>
          </w:p>
        </w:tc>
        <w:tc>
          <w:tcPr>
            <w:tcW w:type="dxa" w:w="5112"/>
            <w:vAlign w:val="center"/>
          </w:tcPr>
          <w:p>
            <w:r/>
            <w:r>
              <w:rPr>
                <w:b w:val="0"/>
                <w:sz w:val="17"/>
              </w:rPr>
              <w:t>Deduplication, suppression, grouping, severity, priority, assignment, SLA and lifecycle.</w:t>
            </w:r>
          </w:p>
        </w:tc>
      </w:tr>
      <w:tr>
        <w:tc>
          <w:tcPr>
            <w:tcW w:type="dxa" w:w="5112"/>
            <w:vAlign w:val="center"/>
          </w:tcPr>
          <w:p>
            <w:r/>
            <w:r>
              <w:rPr>
                <w:b w:val="0"/>
                <w:sz w:val="17"/>
              </w:rPr>
              <w:t>Investigation</w:t>
            </w:r>
          </w:p>
        </w:tc>
        <w:tc>
          <w:tcPr>
            <w:tcW w:type="dxa" w:w="5112"/>
            <w:vAlign w:val="center"/>
          </w:tcPr>
          <w:p>
            <w:r/>
            <w:r>
              <w:rPr>
                <w:b w:val="0"/>
                <w:sz w:val="17"/>
              </w:rPr>
              <w:t>Event pivoting, entity context, timeline, raw evidence, related alerts and IOC extraction.</w:t>
            </w:r>
          </w:p>
        </w:tc>
      </w:tr>
      <w:tr>
        <w:tc>
          <w:tcPr>
            <w:tcW w:type="dxa" w:w="5112"/>
            <w:vAlign w:val="center"/>
          </w:tcPr>
          <w:p>
            <w:r/>
            <w:r>
              <w:rPr>
                <w:b w:val="0"/>
                <w:sz w:val="17"/>
              </w:rPr>
              <w:t>Threat Hunting</w:t>
            </w:r>
          </w:p>
        </w:tc>
        <w:tc>
          <w:tcPr>
            <w:tcW w:type="dxa" w:w="5112"/>
            <w:vAlign w:val="center"/>
          </w:tcPr>
          <w:p>
            <w:r/>
            <w:r>
              <w:rPr>
                <w:b w:val="0"/>
                <w:sz w:val="17"/>
              </w:rPr>
              <w:t>Search, saved queries, hunt notebooks, ATT&amp;CK hypotheses and retrospective validation.</w:t>
            </w:r>
          </w:p>
        </w:tc>
      </w:tr>
      <w:tr>
        <w:tc>
          <w:tcPr>
            <w:tcW w:type="dxa" w:w="5112"/>
            <w:vAlign w:val="center"/>
          </w:tcPr>
          <w:p>
            <w:r/>
            <w:r>
              <w:rPr>
                <w:b w:val="0"/>
                <w:sz w:val="17"/>
              </w:rPr>
              <w:t>Case Management</w:t>
            </w:r>
          </w:p>
        </w:tc>
        <w:tc>
          <w:tcPr>
            <w:tcW w:type="dxa" w:w="5112"/>
            <w:vAlign w:val="center"/>
          </w:tcPr>
          <w:p>
            <w:r/>
            <w:r>
              <w:rPr>
                <w:b w:val="0"/>
                <w:sz w:val="17"/>
              </w:rPr>
              <w:t>Incident records, tasks, evidence, notes, IOCs, timeline, approvals and closure.</w:t>
            </w:r>
          </w:p>
        </w:tc>
      </w:tr>
      <w:tr>
        <w:tc>
          <w:tcPr>
            <w:tcW w:type="dxa" w:w="5112"/>
            <w:vAlign w:val="center"/>
          </w:tcPr>
          <w:p>
            <w:r/>
            <w:r>
              <w:rPr>
                <w:b w:val="0"/>
                <w:sz w:val="17"/>
              </w:rPr>
              <w:t>SOAR</w:t>
            </w:r>
          </w:p>
        </w:tc>
        <w:tc>
          <w:tcPr>
            <w:tcW w:type="dxa" w:w="5112"/>
            <w:vAlign w:val="center"/>
          </w:tcPr>
          <w:p>
            <w:r/>
            <w:r>
              <w:rPr>
                <w:b w:val="0"/>
                <w:sz w:val="17"/>
              </w:rPr>
              <w:t>Playbooks, approval gates, action execution, rollback and audit.</w:t>
            </w:r>
          </w:p>
        </w:tc>
      </w:tr>
      <w:tr>
        <w:tc>
          <w:tcPr>
            <w:tcW w:type="dxa" w:w="5112"/>
            <w:vAlign w:val="center"/>
          </w:tcPr>
          <w:p>
            <w:r/>
            <w:r>
              <w:rPr>
                <w:b w:val="0"/>
                <w:sz w:val="17"/>
              </w:rPr>
              <w:t>Threat Intelligence</w:t>
            </w:r>
          </w:p>
        </w:tc>
        <w:tc>
          <w:tcPr>
            <w:tcW w:type="dxa" w:w="5112"/>
            <w:vAlign w:val="center"/>
          </w:tcPr>
          <w:p>
            <w:r/>
            <w:r>
              <w:rPr>
                <w:b w:val="0"/>
                <w:sz w:val="17"/>
              </w:rPr>
              <w:t>IOC enrichment, reputation context, feed ingestion and confidence scoring.</w:t>
            </w:r>
          </w:p>
        </w:tc>
      </w:tr>
      <w:tr>
        <w:tc>
          <w:tcPr>
            <w:tcW w:type="dxa" w:w="5112"/>
            <w:vAlign w:val="center"/>
          </w:tcPr>
          <w:p>
            <w:r/>
            <w:r>
              <w:rPr>
                <w:b w:val="0"/>
                <w:sz w:val="17"/>
              </w:rPr>
              <w:t>Asset &amp; Risk</w:t>
            </w:r>
          </w:p>
        </w:tc>
        <w:tc>
          <w:tcPr>
            <w:tcW w:type="dxa" w:w="5112"/>
            <w:vAlign w:val="center"/>
          </w:tcPr>
          <w:p>
            <w:r/>
            <w:r>
              <w:rPr>
                <w:b w:val="0"/>
                <w:sz w:val="17"/>
              </w:rPr>
              <w:t>Asset inventory, criticality, exposure, vulnerability context and risk score.</w:t>
            </w:r>
          </w:p>
        </w:tc>
      </w:tr>
      <w:tr>
        <w:tc>
          <w:tcPr>
            <w:tcW w:type="dxa" w:w="5112"/>
            <w:vAlign w:val="center"/>
          </w:tcPr>
          <w:p>
            <w:r/>
            <w:r>
              <w:rPr>
                <w:b w:val="0"/>
                <w:sz w:val="17"/>
              </w:rPr>
              <w:t>Reporting</w:t>
            </w:r>
          </w:p>
        </w:tc>
        <w:tc>
          <w:tcPr>
            <w:tcW w:type="dxa" w:w="5112"/>
            <w:vAlign w:val="center"/>
          </w:tcPr>
          <w:p>
            <w:r/>
            <w:r>
              <w:rPr>
                <w:b w:val="0"/>
                <w:sz w:val="17"/>
              </w:rPr>
              <w:t>Incident reports, executive metrics, coverage reports and audit exports.</w:t>
            </w:r>
          </w:p>
        </w:tc>
      </w:tr>
      <w:tr>
        <w:tc>
          <w:tcPr>
            <w:tcW w:type="dxa" w:w="5112"/>
            <w:vAlign w:val="center"/>
          </w:tcPr>
          <w:p>
            <w:r/>
            <w:r>
              <w:rPr>
                <w:b w:val="0"/>
                <w:sz w:val="17"/>
              </w:rPr>
              <w:t>Administration</w:t>
            </w:r>
          </w:p>
        </w:tc>
        <w:tc>
          <w:tcPr>
            <w:tcW w:type="dxa" w:w="5112"/>
            <w:vAlign w:val="center"/>
          </w:tcPr>
          <w:p>
            <w:r/>
            <w:r>
              <w:rPr>
                <w:b w:val="0"/>
                <w:sz w:val="17"/>
              </w:rPr>
              <w:t>Users, roles, integrations, retention, health, backup and configuration.</w:t>
            </w:r>
          </w:p>
        </w:tc>
      </w:tr>
      <w:tr>
        <w:tc>
          <w:tcPr>
            <w:tcW w:type="dxa" w:w="5112"/>
            <w:vAlign w:val="center"/>
          </w:tcPr>
          <w:p>
            <w:r/>
            <w:r>
              <w:rPr>
                <w:b w:val="0"/>
                <w:sz w:val="17"/>
              </w:rPr>
              <w:t>Observability</w:t>
            </w:r>
          </w:p>
        </w:tc>
        <w:tc>
          <w:tcPr>
            <w:tcW w:type="dxa" w:w="5112"/>
            <w:vAlign w:val="center"/>
          </w:tcPr>
          <w:p>
            <w:r/>
            <w:r>
              <w:rPr>
                <w:b w:val="0"/>
                <w:sz w:val="17"/>
              </w:rPr>
              <w:t>Collector health, ingestion lag, queue depth, rule latency, storage and service health.</w:t>
            </w:r>
          </w:p>
        </w:tc>
      </w:tr>
    </w:tbl>
    <w:p/>
    <w:p>
      <w:pPr>
        <w:pStyle w:val="Heading1"/>
      </w:pPr>
      <w:r>
        <w:t>6. Target Commercial Architecture</w:t>
      </w:r>
    </w:p>
    <w:p>
      <w:r>
        <w:t>The architecture separates collection, processing, detection, analyst experience and response so that the MVP can grow without redesigning the product.</w:t>
      </w:r>
    </w:p>
    <w:p>
      <w:pPr>
        <w:pStyle w:val="Heading2"/>
      </w:pPr>
      <w:r>
        <w:t>6.1 Logical Architecture</w:t>
      </w:r>
    </w:p>
    <w:p>
      <w:pPr>
        <w:pStyle w:val="NoSpacing"/>
        <w:spacing w:after="100"/>
        <w:ind w:left="360"/>
      </w:pPr>
      <w:r>
        <w:rPr>
          <w:rFonts w:ascii="Consolas" w:hAnsi="Consolas"/>
          <w:sz w:val="16"/>
        </w:rPr>
        <w:t>[Security Sources]</w:t>
        <w:br/>
        <w:t xml:space="preserve"> Linux / Windows / IoT / Web / Network / Cloud</w:t>
        <w:br/>
        <w:t xml:space="preserve">          |</w:t>
        <w:br/>
        <w:t xml:space="preserve">          v</w:t>
        <w:br/>
        <w:t>[Collectors &amp; Agents] ---&gt; [Ingestion Gateway]</w:t>
        <w:br/>
        <w:t xml:space="preserve">                                  |</w:t>
        <w:br/>
        <w:t xml:space="preserve">                                  v</w:t>
        <w:br/>
        <w:t xml:space="preserve">                         [Normalization / Parsing]</w:t>
        <w:br/>
        <w:t xml:space="preserve">                                  |</w:t>
        <w:br/>
        <w:t xml:space="preserve">                    +-------------+-------------+</w:t>
        <w:br/>
        <w:t xml:space="preserve">                    |                           |</w:t>
        <w:br/>
        <w:t xml:space="preserve">                    v                           v</w:t>
        <w:br/>
        <w:t xml:space="preserve">             [Event Stream]               [Raw Evidence]</w:t>
        <w:br/>
        <w:t xml:space="preserve">                    |</w:t>
        <w:br/>
        <w:t xml:space="preserve">                    v</w:t>
        <w:br/>
        <w:t xml:space="preserve">            [Detection &amp; Correlation]</w:t>
        <w:br/>
        <w:t xml:space="preserve">                    |</w:t>
        <w:br/>
        <w:t xml:space="preserve">             +------+------+</w:t>
        <w:br/>
        <w:t xml:space="preserve">             |             |</w:t>
        <w:br/>
        <w:t xml:space="preserve">             v             v</w:t>
        <w:br/>
        <w:t xml:space="preserve">        [Alerts]       [Risk/Context]</w:t>
        <w:br/>
        <w:t xml:space="preserve">             |             |</w:t>
        <w:br/>
        <w:t xml:space="preserve">             +------+------+</w:t>
        <w:br/>
        <w:t xml:space="preserve">                    v</w:t>
        <w:br/>
        <w:t xml:space="preserve">            [Case / Investigation]</w:t>
        <w:br/>
        <w:t xml:space="preserve">                    |</w:t>
        <w:br/>
        <w:t xml:space="preserve">             +------+------+</w:t>
        <w:br/>
        <w:t xml:space="preserve">             |             |</w:t>
        <w:br/>
        <w:t xml:space="preserve">             v             v</w:t>
        <w:br/>
        <w:t xml:space="preserve">        [Threat Intel]  [SOAR]</w:t>
        <w:br/>
        <w:t xml:space="preserve">                            |</w:t>
        <w:br/>
        <w:t xml:space="preserve">                            v</w:t>
        <w:br/>
        <w:t xml:space="preserve">                  [Controlled Response]</w:t>
        <w:br/>
        <w:t xml:space="preserve">                            |</w:t>
        <w:br/>
        <w:t xml:space="preserve">                            v</w:t>
        <w:br/>
        <w:t xml:space="preserve">                       [Audit Log]</w:t>
        <w:br/>
        <w:br/>
        <w:t>[Web Console] &lt;---- REST/WebSocket/API ----&gt; [Platform Services]</w:t>
      </w:r>
    </w:p>
    <w:p>
      <w:pPr>
        <w:pStyle w:val="Heading2"/>
      </w:pPr>
      <w:r>
        <w:t>6.2 Reference Deployment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8"/>
              </w:rPr>
              <w:t>Layer</w:t>
            </w:r>
          </w:p>
        </w:tc>
        <w:tc>
          <w:tcPr>
            <w:tcW w:type="dxa" w:w="3408"/>
            <w:vAlign w:val="center"/>
            <w:shd w:fill="1F4E78"/>
          </w:tcPr>
          <w:p>
            <w:r>
              <w:rPr>
                <w:color w:val="FFFFFF"/>
              </w:rPr>
            </w:r>
            <w:r>
              <w:rPr>
                <w:b/>
                <w:color w:val="FFFFFF"/>
                <w:sz w:val="18"/>
              </w:rPr>
              <w:t>MVP</w:t>
            </w:r>
          </w:p>
        </w:tc>
        <w:tc>
          <w:tcPr>
            <w:tcW w:type="dxa" w:w="3408"/>
            <w:vAlign w:val="center"/>
            <w:shd w:fill="1F4E78"/>
          </w:tcPr>
          <w:p>
            <w:r>
              <w:rPr>
                <w:color w:val="FFFFFF"/>
              </w:rPr>
            </w:r>
            <w:r>
              <w:rPr>
                <w:b/>
                <w:color w:val="FFFFFF"/>
                <w:sz w:val="18"/>
              </w:rPr>
              <w:t>Commercial Target</w:t>
            </w:r>
          </w:p>
        </w:tc>
      </w:tr>
      <w:tr>
        <w:tc>
          <w:tcPr>
            <w:tcW w:type="dxa" w:w="3408"/>
            <w:vAlign w:val="center"/>
          </w:tcPr>
          <w:p>
            <w:r/>
            <w:r>
              <w:rPr>
                <w:b w:val="0"/>
                <w:sz w:val="17"/>
              </w:rPr>
              <w:t>Orchestration</w:t>
            </w:r>
          </w:p>
        </w:tc>
        <w:tc>
          <w:tcPr>
            <w:tcW w:type="dxa" w:w="3408"/>
            <w:vAlign w:val="center"/>
          </w:tcPr>
          <w:p>
            <w:r/>
            <w:r>
              <w:rPr>
                <w:b w:val="0"/>
                <w:sz w:val="17"/>
              </w:rPr>
              <w:t>Docker Compose</w:t>
            </w:r>
          </w:p>
        </w:tc>
        <w:tc>
          <w:tcPr>
            <w:tcW w:type="dxa" w:w="3408"/>
            <w:vAlign w:val="center"/>
          </w:tcPr>
          <w:p>
            <w:r/>
            <w:r>
              <w:rPr>
                <w:b w:val="0"/>
                <w:sz w:val="17"/>
              </w:rPr>
              <w:t>Kubernetes / managed containers optional</w:t>
            </w:r>
          </w:p>
        </w:tc>
      </w:tr>
      <w:tr>
        <w:tc>
          <w:tcPr>
            <w:tcW w:type="dxa" w:w="3408"/>
            <w:vAlign w:val="center"/>
          </w:tcPr>
          <w:p>
            <w:r/>
            <w:r>
              <w:rPr>
                <w:b w:val="0"/>
                <w:sz w:val="17"/>
              </w:rPr>
              <w:t>SIEM</w:t>
            </w:r>
          </w:p>
        </w:tc>
        <w:tc>
          <w:tcPr>
            <w:tcW w:type="dxa" w:w="3408"/>
            <w:vAlign w:val="center"/>
          </w:tcPr>
          <w:p>
            <w:r/>
            <w:r>
              <w:rPr>
                <w:b w:val="0"/>
                <w:sz w:val="17"/>
              </w:rPr>
              <w:t>Wazuh Manager/Indexer/Dashboard</w:t>
            </w:r>
          </w:p>
        </w:tc>
        <w:tc>
          <w:tcPr>
            <w:tcW w:type="dxa" w:w="3408"/>
            <w:vAlign w:val="center"/>
          </w:tcPr>
          <w:p>
            <w:r/>
            <w:r>
              <w:rPr>
                <w:b w:val="0"/>
                <w:sz w:val="17"/>
              </w:rPr>
              <w:t>Wazuh + platform service layer</w:t>
            </w:r>
          </w:p>
        </w:tc>
      </w:tr>
      <w:tr>
        <w:tc>
          <w:tcPr>
            <w:tcW w:type="dxa" w:w="3408"/>
            <w:vAlign w:val="center"/>
          </w:tcPr>
          <w:p>
            <w:r/>
            <w:r>
              <w:rPr>
                <w:b w:val="0"/>
                <w:sz w:val="17"/>
              </w:rPr>
              <w:t>Data</w:t>
            </w:r>
          </w:p>
        </w:tc>
        <w:tc>
          <w:tcPr>
            <w:tcW w:type="dxa" w:w="3408"/>
            <w:vAlign w:val="center"/>
          </w:tcPr>
          <w:p>
            <w:r/>
            <w:r>
              <w:rPr>
                <w:b w:val="0"/>
                <w:sz w:val="17"/>
              </w:rPr>
              <w:t>OpenSearch/Wazuh index</w:t>
            </w:r>
          </w:p>
        </w:tc>
        <w:tc>
          <w:tcPr>
            <w:tcW w:type="dxa" w:w="3408"/>
            <w:vAlign w:val="center"/>
          </w:tcPr>
          <w:p>
            <w:r/>
            <w:r>
              <w:rPr>
                <w:b w:val="0"/>
                <w:sz w:val="17"/>
              </w:rPr>
              <w:t>Hot/warm retention tiers + object/archive storage</w:t>
            </w:r>
          </w:p>
        </w:tc>
      </w:tr>
      <w:tr>
        <w:tc>
          <w:tcPr>
            <w:tcW w:type="dxa" w:w="3408"/>
            <w:vAlign w:val="center"/>
          </w:tcPr>
          <w:p>
            <w:r/>
            <w:r>
              <w:rPr>
                <w:b w:val="0"/>
                <w:sz w:val="17"/>
              </w:rPr>
              <w:t>API</w:t>
            </w:r>
          </w:p>
        </w:tc>
        <w:tc>
          <w:tcPr>
            <w:tcW w:type="dxa" w:w="3408"/>
            <w:vAlign w:val="center"/>
          </w:tcPr>
          <w:p>
            <w:r/>
            <w:r>
              <w:rPr>
                <w:b w:val="0"/>
                <w:sz w:val="17"/>
              </w:rPr>
              <w:t>Wazuh APIs + local scripts</w:t>
            </w:r>
          </w:p>
        </w:tc>
        <w:tc>
          <w:tcPr>
            <w:tcW w:type="dxa" w:w="3408"/>
            <w:vAlign w:val="center"/>
          </w:tcPr>
          <w:p>
            <w:r/>
            <w:r>
              <w:rPr>
                <w:b w:val="0"/>
                <w:sz w:val="17"/>
              </w:rPr>
              <w:t>Versioned REST API + WebSocket event channel</w:t>
            </w:r>
          </w:p>
        </w:tc>
      </w:tr>
      <w:tr>
        <w:tc>
          <w:tcPr>
            <w:tcW w:type="dxa" w:w="3408"/>
            <w:vAlign w:val="center"/>
          </w:tcPr>
          <w:p>
            <w:r/>
            <w:r>
              <w:rPr>
                <w:b w:val="0"/>
                <w:sz w:val="17"/>
              </w:rPr>
              <w:t>Frontend</w:t>
            </w:r>
          </w:p>
        </w:tc>
        <w:tc>
          <w:tcPr>
            <w:tcW w:type="dxa" w:w="3408"/>
            <w:vAlign w:val="center"/>
          </w:tcPr>
          <w:p>
            <w:r/>
            <w:r>
              <w:rPr>
                <w:b w:val="0"/>
                <w:sz w:val="17"/>
              </w:rPr>
              <w:t>Wazuh Dashboard</w:t>
            </w:r>
          </w:p>
        </w:tc>
        <w:tc>
          <w:tcPr>
            <w:tcW w:type="dxa" w:w="3408"/>
            <w:vAlign w:val="center"/>
          </w:tcPr>
          <w:p>
            <w:r/>
            <w:r>
              <w:rPr>
                <w:b w:val="0"/>
                <w:sz w:val="17"/>
              </w:rPr>
              <w:t>Dedicated SOC analyst console</w:t>
            </w:r>
          </w:p>
        </w:tc>
      </w:tr>
      <w:tr>
        <w:tc>
          <w:tcPr>
            <w:tcW w:type="dxa" w:w="3408"/>
            <w:vAlign w:val="center"/>
          </w:tcPr>
          <w:p>
            <w:r/>
            <w:r>
              <w:rPr>
                <w:b w:val="0"/>
                <w:sz w:val="17"/>
              </w:rPr>
              <w:t>Automation</w:t>
            </w:r>
          </w:p>
        </w:tc>
        <w:tc>
          <w:tcPr>
            <w:tcW w:type="dxa" w:w="3408"/>
            <w:vAlign w:val="center"/>
          </w:tcPr>
          <w:p>
            <w:r/>
            <w:r>
              <w:rPr>
                <w:b w:val="0"/>
                <w:sz w:val="17"/>
              </w:rPr>
              <w:t>Wazuh active response / scripts</w:t>
            </w:r>
          </w:p>
        </w:tc>
        <w:tc>
          <w:tcPr>
            <w:tcW w:type="dxa" w:w="3408"/>
            <w:vAlign w:val="center"/>
          </w:tcPr>
          <w:p>
            <w:r/>
            <w:r>
              <w:rPr>
                <w:b w:val="0"/>
                <w:sz w:val="17"/>
              </w:rPr>
              <w:t>Playbook service + approvals + rollback</w:t>
            </w:r>
          </w:p>
        </w:tc>
      </w:tr>
      <w:tr>
        <w:tc>
          <w:tcPr>
            <w:tcW w:type="dxa" w:w="3408"/>
            <w:vAlign w:val="center"/>
          </w:tcPr>
          <w:p>
            <w:r/>
            <w:r>
              <w:rPr>
                <w:b w:val="0"/>
                <w:sz w:val="17"/>
              </w:rPr>
              <w:t>Identity</w:t>
            </w:r>
          </w:p>
        </w:tc>
        <w:tc>
          <w:tcPr>
            <w:tcW w:type="dxa" w:w="3408"/>
            <w:vAlign w:val="center"/>
          </w:tcPr>
          <w:p>
            <w:r/>
            <w:r>
              <w:rPr>
                <w:b w:val="0"/>
                <w:sz w:val="17"/>
              </w:rPr>
              <w:t>Local accounts</w:t>
            </w:r>
          </w:p>
        </w:tc>
        <w:tc>
          <w:tcPr>
            <w:tcW w:type="dxa" w:w="3408"/>
            <w:vAlign w:val="center"/>
          </w:tcPr>
          <w:p>
            <w:r/>
            <w:r>
              <w:rPr>
                <w:b w:val="0"/>
                <w:sz w:val="17"/>
              </w:rPr>
              <w:t>OIDC/SAML/LDAP + RBAC + MFA</w:t>
            </w:r>
          </w:p>
        </w:tc>
      </w:tr>
      <w:tr>
        <w:tc>
          <w:tcPr>
            <w:tcW w:type="dxa" w:w="3408"/>
            <w:vAlign w:val="center"/>
          </w:tcPr>
          <w:p>
            <w:r/>
            <w:r>
              <w:rPr>
                <w:b w:val="0"/>
                <w:sz w:val="17"/>
              </w:rPr>
              <w:t>Observability</w:t>
            </w:r>
          </w:p>
        </w:tc>
        <w:tc>
          <w:tcPr>
            <w:tcW w:type="dxa" w:w="3408"/>
            <w:vAlign w:val="center"/>
          </w:tcPr>
          <w:p>
            <w:r/>
            <w:r>
              <w:rPr>
                <w:b w:val="0"/>
                <w:sz w:val="17"/>
              </w:rPr>
              <w:t>Container health</w:t>
            </w:r>
          </w:p>
        </w:tc>
        <w:tc>
          <w:tcPr>
            <w:tcW w:type="dxa" w:w="3408"/>
            <w:vAlign w:val="center"/>
          </w:tcPr>
          <w:p>
            <w:r/>
            <w:r>
              <w:rPr>
                <w:b w:val="0"/>
                <w:sz w:val="17"/>
              </w:rPr>
              <w:t>Metrics, logs, traces and SLO dashboards</w:t>
            </w:r>
          </w:p>
        </w:tc>
      </w:tr>
    </w:tbl>
    <w:p/>
    <w:p>
      <w:r>
        <w:rPr>
          <w:b/>
          <w:color w:val="1F4E79"/>
        </w:rPr>
        <w:t xml:space="preserve">MVP architecture: </w:t>
      </w:r>
      <w:r>
        <w:t>The supplied proposal specifies a single-host Docker Compose architecture with Wazuh Manager, Indexer, Dashboard, DVWA, monitored-host containers and an internal Docker bridge network. fileciteturn0file0L139-L170</w:t>
      </w:r>
    </w:p>
    <w:p>
      <w:pPr>
        <w:pStyle w:val="Heading1"/>
      </w:pPr>
      <w:r>
        <w:t>7. Data &amp; Telemetry Architecture</w:t>
      </w:r>
    </w:p>
    <w:p>
      <w:pPr>
        <w:pStyle w:val="Heading2"/>
      </w:pPr>
      <w:r>
        <w:t>7.1 Supported Initial Sources</w:t>
      </w:r>
    </w:p>
    <w:p>
      <w:pPr>
        <w:pStyle w:val="ListBullet"/>
      </w:pPr>
      <w:r>
        <w:t>Linux authentication and system logs.</w:t>
      </w:r>
    </w:p>
    <w:p>
      <w:pPr>
        <w:pStyle w:val="ListBullet"/>
      </w:pPr>
      <w:r>
        <w:t>auditd process/file activity.</w:t>
      </w:r>
    </w:p>
    <w:p>
      <w:pPr>
        <w:pStyle w:val="ListBullet"/>
      </w:pPr>
      <w:r>
        <w:t>Web server access and error logs.</w:t>
      </w:r>
    </w:p>
    <w:p>
      <w:pPr>
        <w:pStyle w:val="ListBullet"/>
      </w:pPr>
      <w:r>
        <w:t>DVWA application telemetry.</w:t>
      </w:r>
    </w:p>
    <w:p>
      <w:pPr>
        <w:pStyle w:val="ListBullet"/>
      </w:pPr>
      <w:r>
        <w:t>Wazuh agent security events.</w:t>
      </w:r>
    </w:p>
    <w:p>
      <w:pPr>
        <w:pStyle w:val="ListBullet"/>
      </w:pPr>
      <w:r>
        <w:t>Network metadata or future Zeek/Suricata events.</w:t>
      </w:r>
    </w:p>
    <w:p>
      <w:pPr>
        <w:pStyle w:val="ListBullet"/>
      </w:pPr>
      <w:r>
        <w:t>Controlled PCAP/evidence files for retrospective analysis.</w:t>
      </w:r>
    </w:p>
    <w:p>
      <w:pPr>
        <w:pStyle w:val="Heading2"/>
      </w:pPr>
      <w:r>
        <w:t>7.2 Event Processing Pipeline</w:t>
      </w:r>
    </w:p>
    <w:p>
      <w:pPr>
        <w:pStyle w:val="ListNumber"/>
      </w:pPr>
      <w:r>
        <w:t>Collect: acquire event from an approved source.</w:t>
      </w:r>
    </w:p>
    <w:p>
      <w:pPr>
        <w:pStyle w:val="ListNumber"/>
      </w:pPr>
      <w:r>
        <w:t>Transport: send securely and reliably to ingestion.</w:t>
      </w:r>
    </w:p>
    <w:p>
      <w:pPr>
        <w:pStyle w:val="ListNumber"/>
      </w:pPr>
      <w:r>
        <w:t>Parse: identify source type and extract structured fields.</w:t>
      </w:r>
    </w:p>
    <w:p>
      <w:pPr>
        <w:pStyle w:val="ListNumber"/>
      </w:pPr>
      <w:r>
        <w:t>Normalize: map to the platform event schema.</w:t>
      </w:r>
    </w:p>
    <w:p>
      <w:pPr>
        <w:pStyle w:val="ListNumber"/>
      </w:pPr>
      <w:r>
        <w:t>Enrich: asset, user, ATT&amp;CK, IOC and reputation context.</w:t>
      </w:r>
    </w:p>
    <w:p>
      <w:pPr>
        <w:pStyle w:val="ListNumber"/>
      </w:pPr>
      <w:r>
        <w:t>Detect: execute atomic, threshold, sequence and behavioral rules.</w:t>
      </w:r>
    </w:p>
    <w:p>
      <w:pPr>
        <w:pStyle w:val="ListNumber"/>
      </w:pPr>
      <w:r>
        <w:t>Correlate: group related events into an alert/incident hypothesis.</w:t>
      </w:r>
    </w:p>
    <w:p>
      <w:pPr>
        <w:pStyle w:val="ListNumber"/>
      </w:pPr>
      <w:r>
        <w:t>Persist: retain normalized event plus raw evidence according to retention policy.</w:t>
      </w:r>
    </w:p>
    <w:p>
      <w:pPr>
        <w:pStyle w:val="ListNumber"/>
      </w:pPr>
      <w:r>
        <w:t>Present: expose to analyst console, API and reports.</w:t>
      </w:r>
    </w:p>
    <w:p>
      <w:pPr>
        <w:pStyle w:val="ListNumber"/>
      </w:pPr>
      <w:r>
        <w:t>Respond: optionally trigger an approved playbook.</w:t>
      </w:r>
    </w:p>
    <w:p>
      <w:pPr>
        <w:pStyle w:val="Heading2"/>
      </w:pPr>
      <w:r>
        <w:t>7.3 Data Quality Controls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color w:val="FFFFFF"/>
              </w:rPr>
            </w:r>
            <w:r>
              <w:rPr>
                <w:b/>
                <w:color w:val="FFFFFF"/>
                <w:sz w:val="18"/>
              </w:rPr>
              <w:t>Control</w:t>
            </w:r>
          </w:p>
        </w:tc>
        <w:tc>
          <w:tcPr>
            <w:tcW w:type="dxa" w:w="5112"/>
            <w:vAlign w:val="center"/>
            <w:shd w:fill="1F4E78"/>
          </w:tcPr>
          <w:p>
            <w:r>
              <w:rPr>
                <w:color w:val="FFFFFF"/>
              </w:rPr>
            </w:r>
            <w:r>
              <w:rPr>
                <w:b/>
                <w:color w:val="FFFFFF"/>
                <w:sz w:val="18"/>
              </w:rPr>
              <w:t>Requirement</w:t>
            </w:r>
          </w:p>
        </w:tc>
      </w:tr>
      <w:tr>
        <w:tc>
          <w:tcPr>
            <w:tcW w:type="dxa" w:w="5112"/>
            <w:vAlign w:val="center"/>
          </w:tcPr>
          <w:p>
            <w:r/>
            <w:r>
              <w:rPr>
                <w:b w:val="0"/>
                <w:sz w:val="17"/>
              </w:rPr>
              <w:t>Timestamp</w:t>
            </w:r>
          </w:p>
        </w:tc>
        <w:tc>
          <w:tcPr>
            <w:tcW w:type="dxa" w:w="5112"/>
            <w:vAlign w:val="center"/>
          </w:tcPr>
          <w:p>
            <w:r/>
            <w:r>
              <w:rPr>
                <w:b w:val="0"/>
                <w:sz w:val="17"/>
              </w:rPr>
              <w:t>Normalize to UTC internally; retain source timezone where available.</w:t>
            </w:r>
          </w:p>
        </w:tc>
      </w:tr>
      <w:tr>
        <w:tc>
          <w:tcPr>
            <w:tcW w:type="dxa" w:w="5112"/>
            <w:vAlign w:val="center"/>
          </w:tcPr>
          <w:p>
            <w:r/>
            <w:r>
              <w:rPr>
                <w:b w:val="0"/>
                <w:sz w:val="17"/>
              </w:rPr>
              <w:t>Raw evidence</w:t>
            </w:r>
          </w:p>
        </w:tc>
        <w:tc>
          <w:tcPr>
            <w:tcW w:type="dxa" w:w="5112"/>
            <w:vAlign w:val="center"/>
          </w:tcPr>
          <w:p>
            <w:r/>
            <w:r>
              <w:rPr>
                <w:b w:val="0"/>
                <w:sz w:val="17"/>
              </w:rPr>
              <w:t>Preserve original event for forensic verification.</w:t>
            </w:r>
          </w:p>
        </w:tc>
      </w:tr>
      <w:tr>
        <w:tc>
          <w:tcPr>
            <w:tcW w:type="dxa" w:w="5112"/>
            <w:vAlign w:val="center"/>
          </w:tcPr>
          <w:p>
            <w:r/>
            <w:r>
              <w:rPr>
                <w:b w:val="0"/>
                <w:sz w:val="17"/>
              </w:rPr>
              <w:t>Source identity</w:t>
            </w:r>
          </w:p>
        </w:tc>
        <w:tc>
          <w:tcPr>
            <w:tcW w:type="dxa" w:w="5112"/>
            <w:vAlign w:val="center"/>
          </w:tcPr>
          <w:p>
            <w:r/>
            <w:r>
              <w:rPr>
                <w:b w:val="0"/>
                <w:sz w:val="17"/>
              </w:rPr>
              <w:t>Every event must identify source/agent/collector.</w:t>
            </w:r>
          </w:p>
        </w:tc>
      </w:tr>
      <w:tr>
        <w:tc>
          <w:tcPr>
            <w:tcW w:type="dxa" w:w="5112"/>
            <w:vAlign w:val="center"/>
          </w:tcPr>
          <w:p>
            <w:r/>
            <w:r>
              <w:rPr>
                <w:b w:val="0"/>
                <w:sz w:val="17"/>
              </w:rPr>
              <w:t>Parser status</w:t>
            </w:r>
          </w:p>
        </w:tc>
        <w:tc>
          <w:tcPr>
            <w:tcW w:type="dxa" w:w="5112"/>
            <w:vAlign w:val="center"/>
          </w:tcPr>
          <w:p>
            <w:r/>
            <w:r>
              <w:rPr>
                <w:b w:val="0"/>
                <w:sz w:val="17"/>
              </w:rPr>
              <w:t>Malformed or unparsed events must be measurable.</w:t>
            </w:r>
          </w:p>
        </w:tc>
      </w:tr>
      <w:tr>
        <w:tc>
          <w:tcPr>
            <w:tcW w:type="dxa" w:w="5112"/>
            <w:vAlign w:val="center"/>
          </w:tcPr>
          <w:p>
            <w:r/>
            <w:r>
              <w:rPr>
                <w:b w:val="0"/>
                <w:sz w:val="17"/>
              </w:rPr>
              <w:t>Ingestion lag</w:t>
            </w:r>
          </w:p>
        </w:tc>
        <w:tc>
          <w:tcPr>
            <w:tcW w:type="dxa" w:w="5112"/>
            <w:vAlign w:val="center"/>
          </w:tcPr>
          <w:p>
            <w:r/>
            <w:r>
              <w:rPr>
                <w:b w:val="0"/>
                <w:sz w:val="17"/>
              </w:rPr>
              <w:t>Track event_time → indexed_time latency.</w:t>
            </w:r>
          </w:p>
        </w:tc>
      </w:tr>
      <w:tr>
        <w:tc>
          <w:tcPr>
            <w:tcW w:type="dxa" w:w="5112"/>
            <w:vAlign w:val="center"/>
          </w:tcPr>
          <w:p>
            <w:r/>
            <w:r>
              <w:rPr>
                <w:b w:val="0"/>
                <w:sz w:val="17"/>
              </w:rPr>
              <w:t>Duplicate handling</w:t>
            </w:r>
          </w:p>
        </w:tc>
        <w:tc>
          <w:tcPr>
            <w:tcW w:type="dxa" w:w="5112"/>
            <w:vAlign w:val="center"/>
          </w:tcPr>
          <w:p>
            <w:r/>
            <w:r>
              <w:rPr>
                <w:b w:val="0"/>
                <w:sz w:val="17"/>
              </w:rPr>
              <w:t>Provide event fingerprinting or source identifiers.</w:t>
            </w:r>
          </w:p>
        </w:tc>
      </w:tr>
      <w:tr>
        <w:tc>
          <w:tcPr>
            <w:tcW w:type="dxa" w:w="5112"/>
            <w:vAlign w:val="center"/>
          </w:tcPr>
          <w:p>
            <w:r/>
            <w:r>
              <w:rPr>
                <w:b w:val="0"/>
                <w:sz w:val="17"/>
              </w:rPr>
              <w:t>Retention</w:t>
            </w:r>
          </w:p>
        </w:tc>
        <w:tc>
          <w:tcPr>
            <w:tcW w:type="dxa" w:w="5112"/>
            <w:vAlign w:val="center"/>
          </w:tcPr>
          <w:p>
            <w:r/>
            <w:r>
              <w:rPr>
                <w:b w:val="0"/>
                <w:sz w:val="17"/>
              </w:rPr>
              <w:t>Policy-driven hot/warm/archive retention.</w:t>
            </w:r>
          </w:p>
        </w:tc>
      </w:tr>
    </w:tbl>
    <w:p/>
    <w:p>
      <w:pPr>
        <w:pStyle w:val="Heading1"/>
      </w:pPr>
      <w:r>
        <w:t>8. Detection Engineering</w:t>
      </w:r>
    </w:p>
    <w:p>
      <w:pPr>
        <w:pStyle w:val="Heading2"/>
      </w:pPr>
      <w:r>
        <w:t>8.1 Detection Content Lifecycle</w:t>
      </w:r>
    </w:p>
    <w:p>
      <w:pPr>
        <w:pStyle w:val="NoSpacing"/>
        <w:spacing w:after="100"/>
        <w:ind w:left="360"/>
      </w:pPr>
      <w:r>
        <w:rPr>
          <w:rFonts w:ascii="Consolas" w:hAnsi="Consolas"/>
          <w:sz w:val="16"/>
        </w:rPr>
        <w:t>Idea/Hypothesis</w:t>
        <w:br/>
        <w:t xml:space="preserve">   ↓</w:t>
        <w:br/>
        <w:t>ATT&amp;CK mapping + expected telemetry</w:t>
        <w:br/>
        <w:t xml:space="preserve">   ↓</w:t>
        <w:br/>
        <w:t>Rule authoring</w:t>
        <w:br/>
        <w:t xml:space="preserve">   ↓</w:t>
        <w:br/>
        <w:t>Unit test / replay test</w:t>
        <w:br/>
        <w:t xml:space="preserve">   ↓</w:t>
        <w:br/>
        <w:t>False-positive evaluation</w:t>
        <w:br/>
        <w:t xml:space="preserve">   ↓</w:t>
        <w:br/>
        <w:t>Peer/manager approval</w:t>
        <w:br/>
        <w:t xml:space="preserve">   ↓</w:t>
        <w:br/>
        <w:t>Versioned deployment</w:t>
        <w:br/>
        <w:t xml:space="preserve">   ↓</w:t>
        <w:br/>
        <w:t>Production monitoring</w:t>
        <w:br/>
        <w:t xml:space="preserve">   ↓</w:t>
        <w:br/>
        <w:t>Tune / retire / supersede</w:t>
      </w:r>
    </w:p>
    <w:p>
      <w:pPr>
        <w:pStyle w:val="Heading2"/>
      </w:pPr>
      <w:r>
        <w:t>8.2 Detection Types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8"/>
              </w:rPr>
              <w:t>Type</w:t>
            </w:r>
          </w:p>
        </w:tc>
        <w:tc>
          <w:tcPr>
            <w:tcW w:type="dxa" w:w="3408"/>
            <w:vAlign w:val="center"/>
            <w:shd w:fill="1F4E78"/>
          </w:tcPr>
          <w:p>
            <w:r>
              <w:rPr>
                <w:color w:val="FFFFFF"/>
              </w:rPr>
            </w:r>
            <w:r>
              <w:rPr>
                <w:b/>
                <w:color w:val="FFFFFF"/>
                <w:sz w:val="18"/>
              </w:rPr>
              <w:t>Example</w:t>
            </w:r>
          </w:p>
        </w:tc>
        <w:tc>
          <w:tcPr>
            <w:tcW w:type="dxa" w:w="3408"/>
            <w:vAlign w:val="center"/>
            <w:shd w:fill="1F4E78"/>
          </w:tcPr>
          <w:p>
            <w:r>
              <w:rPr>
                <w:color w:val="FFFFFF"/>
              </w:rPr>
            </w:r>
            <w:r>
              <w:rPr>
                <w:b/>
                <w:color w:val="FFFFFF"/>
                <w:sz w:val="18"/>
              </w:rPr>
              <w:t>Primary Benefit</w:t>
            </w:r>
          </w:p>
        </w:tc>
      </w:tr>
      <w:tr>
        <w:tc>
          <w:tcPr>
            <w:tcW w:type="dxa" w:w="3408"/>
            <w:vAlign w:val="center"/>
          </w:tcPr>
          <w:p>
            <w:r/>
            <w:r>
              <w:rPr>
                <w:b w:val="0"/>
                <w:sz w:val="17"/>
              </w:rPr>
              <w:t>Atomic</w:t>
            </w:r>
          </w:p>
        </w:tc>
        <w:tc>
          <w:tcPr>
            <w:tcW w:type="dxa" w:w="3408"/>
            <w:vAlign w:val="center"/>
          </w:tcPr>
          <w:p>
            <w:r/>
            <w:r>
              <w:rPr>
                <w:b w:val="0"/>
                <w:sz w:val="17"/>
              </w:rPr>
              <w:t>Specific malicious command/payload</w:t>
            </w:r>
          </w:p>
        </w:tc>
        <w:tc>
          <w:tcPr>
            <w:tcW w:type="dxa" w:w="3408"/>
            <w:vAlign w:val="center"/>
          </w:tcPr>
          <w:p>
            <w:r/>
            <w:r>
              <w:rPr>
                <w:b w:val="0"/>
                <w:sz w:val="17"/>
              </w:rPr>
              <w:t>High precision for known behavior</w:t>
            </w:r>
          </w:p>
        </w:tc>
      </w:tr>
      <w:tr>
        <w:tc>
          <w:tcPr>
            <w:tcW w:type="dxa" w:w="3408"/>
            <w:vAlign w:val="center"/>
          </w:tcPr>
          <w:p>
            <w:r/>
            <w:r>
              <w:rPr>
                <w:b w:val="0"/>
                <w:sz w:val="17"/>
              </w:rPr>
              <w:t>Threshold</w:t>
            </w:r>
          </w:p>
        </w:tc>
        <w:tc>
          <w:tcPr>
            <w:tcW w:type="dxa" w:w="3408"/>
            <w:vAlign w:val="center"/>
          </w:tcPr>
          <w:p>
            <w:r/>
            <w:r>
              <w:rPr>
                <w:b w:val="0"/>
                <w:sz w:val="17"/>
              </w:rPr>
              <w:t>Repeated authentication failures</w:t>
            </w:r>
          </w:p>
        </w:tc>
        <w:tc>
          <w:tcPr>
            <w:tcW w:type="dxa" w:w="3408"/>
            <w:vAlign w:val="center"/>
          </w:tcPr>
          <w:p>
            <w:r/>
            <w:r>
              <w:rPr>
                <w:b w:val="0"/>
                <w:sz w:val="17"/>
              </w:rPr>
              <w:t>Brute-force detection</w:t>
            </w:r>
          </w:p>
        </w:tc>
      </w:tr>
      <w:tr>
        <w:tc>
          <w:tcPr>
            <w:tcW w:type="dxa" w:w="3408"/>
            <w:vAlign w:val="center"/>
          </w:tcPr>
          <w:p>
            <w:r/>
            <w:r>
              <w:rPr>
                <w:b w:val="0"/>
                <w:sz w:val="17"/>
              </w:rPr>
              <w:t>Sequence</w:t>
            </w:r>
          </w:p>
        </w:tc>
        <w:tc>
          <w:tcPr>
            <w:tcW w:type="dxa" w:w="3408"/>
            <w:vAlign w:val="center"/>
          </w:tcPr>
          <w:p>
            <w:r/>
            <w:r>
              <w:rPr>
                <w:b w:val="0"/>
                <w:sz w:val="17"/>
              </w:rPr>
              <w:t>Recon → exploit → credential use</w:t>
            </w:r>
          </w:p>
        </w:tc>
        <w:tc>
          <w:tcPr>
            <w:tcW w:type="dxa" w:w="3408"/>
            <w:vAlign w:val="center"/>
          </w:tcPr>
          <w:p>
            <w:r/>
            <w:r>
              <w:rPr>
                <w:b w:val="0"/>
                <w:sz w:val="17"/>
              </w:rPr>
              <w:t>Multi-stage attack visibility</w:t>
            </w:r>
          </w:p>
        </w:tc>
      </w:tr>
      <w:tr>
        <w:tc>
          <w:tcPr>
            <w:tcW w:type="dxa" w:w="3408"/>
            <w:vAlign w:val="center"/>
          </w:tcPr>
          <w:p>
            <w:r/>
            <w:r>
              <w:rPr>
                <w:b w:val="0"/>
                <w:sz w:val="17"/>
              </w:rPr>
              <w:t>Correlation</w:t>
            </w:r>
          </w:p>
        </w:tc>
        <w:tc>
          <w:tcPr>
            <w:tcW w:type="dxa" w:w="3408"/>
            <w:vAlign w:val="center"/>
          </w:tcPr>
          <w:p>
            <w:r/>
            <w:r>
              <w:rPr>
                <w:b w:val="0"/>
                <w:sz w:val="17"/>
              </w:rPr>
              <w:t>Same source hits multiple assets</w:t>
            </w:r>
          </w:p>
        </w:tc>
        <w:tc>
          <w:tcPr>
            <w:tcW w:type="dxa" w:w="3408"/>
            <w:vAlign w:val="center"/>
          </w:tcPr>
          <w:p>
            <w:r/>
            <w:r>
              <w:rPr>
                <w:b w:val="0"/>
                <w:sz w:val="17"/>
              </w:rPr>
              <w:t>Campaign-level context</w:t>
            </w:r>
          </w:p>
        </w:tc>
      </w:tr>
      <w:tr>
        <w:tc>
          <w:tcPr>
            <w:tcW w:type="dxa" w:w="3408"/>
            <w:vAlign w:val="center"/>
          </w:tcPr>
          <w:p>
            <w:r/>
            <w:r>
              <w:rPr>
                <w:b w:val="0"/>
                <w:sz w:val="17"/>
              </w:rPr>
              <w:t>Behavioral</w:t>
            </w:r>
          </w:p>
        </w:tc>
        <w:tc>
          <w:tcPr>
            <w:tcW w:type="dxa" w:w="3408"/>
            <w:vAlign w:val="center"/>
          </w:tcPr>
          <w:p>
            <w:r/>
            <w:r>
              <w:rPr>
                <w:b w:val="0"/>
                <w:sz w:val="17"/>
              </w:rPr>
              <w:t>Rare process/network behavior</w:t>
            </w:r>
          </w:p>
        </w:tc>
        <w:tc>
          <w:tcPr>
            <w:tcW w:type="dxa" w:w="3408"/>
            <w:vAlign w:val="center"/>
          </w:tcPr>
          <w:p>
            <w:r/>
            <w:r>
              <w:rPr>
                <w:b w:val="0"/>
                <w:sz w:val="17"/>
              </w:rPr>
              <w:t>Unknown/anomalous activity</w:t>
            </w:r>
          </w:p>
        </w:tc>
      </w:tr>
      <w:tr>
        <w:tc>
          <w:tcPr>
            <w:tcW w:type="dxa" w:w="3408"/>
            <w:vAlign w:val="center"/>
          </w:tcPr>
          <w:p>
            <w:r/>
            <w:r>
              <w:rPr>
                <w:b w:val="0"/>
                <w:sz w:val="17"/>
              </w:rPr>
              <w:t>FIM</w:t>
            </w:r>
          </w:p>
        </w:tc>
        <w:tc>
          <w:tcPr>
            <w:tcW w:type="dxa" w:w="3408"/>
            <w:vAlign w:val="center"/>
          </w:tcPr>
          <w:p>
            <w:r/>
            <w:r>
              <w:rPr>
                <w:b w:val="0"/>
                <w:sz w:val="17"/>
              </w:rPr>
              <w:t>Unexpected sensitive file change</w:t>
            </w:r>
          </w:p>
        </w:tc>
        <w:tc>
          <w:tcPr>
            <w:tcW w:type="dxa" w:w="3408"/>
            <w:vAlign w:val="center"/>
          </w:tcPr>
          <w:p>
            <w:r/>
            <w:r>
              <w:rPr>
                <w:b w:val="0"/>
                <w:sz w:val="17"/>
              </w:rPr>
              <w:t>Persistence/impact visibility</w:t>
            </w:r>
          </w:p>
        </w:tc>
      </w:tr>
    </w:tbl>
    <w:p/>
    <w:p>
      <w:pPr>
        <w:pStyle w:val="Heading2"/>
      </w:pPr>
      <w:r>
        <w:t>8.3 Rule Metadata Standard</w:t>
      </w:r>
    </w:p>
    <w:p>
      <w:pPr>
        <w:pStyle w:val="ListBullet"/>
      </w:pPr>
      <w:r>
        <w:t>Unique rule ID and stable name.</w:t>
      </w:r>
    </w:p>
    <w:p>
      <w:pPr>
        <w:pStyle w:val="ListBullet"/>
      </w:pPr>
      <w:r>
        <w:t>Description and analyst-facing rationale.</w:t>
      </w:r>
    </w:p>
    <w:p>
      <w:pPr>
        <w:pStyle w:val="ListBullet"/>
      </w:pPr>
      <w:r>
        <w:t>ATT&amp;CK tactic and technique IDs where applicable.</w:t>
      </w:r>
    </w:p>
    <w:p>
      <w:pPr>
        <w:pStyle w:val="ListBullet"/>
      </w:pPr>
      <w:r>
        <w:t>Severity and confidence.</w:t>
      </w:r>
    </w:p>
    <w:p>
      <w:pPr>
        <w:pStyle w:val="ListBullet"/>
      </w:pPr>
      <w:r>
        <w:t>Required telemetry source.</w:t>
      </w:r>
    </w:p>
    <w:p>
      <w:pPr>
        <w:pStyle w:val="ListBullet"/>
      </w:pPr>
      <w:r>
        <w:t>Detection logic and expected fields.</w:t>
      </w:r>
    </w:p>
    <w:p>
      <w:pPr>
        <w:pStyle w:val="ListBullet"/>
      </w:pPr>
      <w:r>
        <w:t>Known false-positive scenarios.</w:t>
      </w:r>
    </w:p>
    <w:p>
      <w:pPr>
        <w:pStyle w:val="ListBullet"/>
      </w:pPr>
      <w:r>
        <w:t>Test event / replay fixture.</w:t>
      </w:r>
    </w:p>
    <w:p>
      <w:pPr>
        <w:pStyle w:val="ListBullet"/>
      </w:pPr>
      <w:r>
        <w:t>Owner, version, created/updated timestamps.</w:t>
      </w:r>
    </w:p>
    <w:p>
      <w:pPr>
        <w:pStyle w:val="ListBullet"/>
      </w:pPr>
      <w:r>
        <w:t>Rollback/supersession reference.</w:t>
      </w:r>
    </w:p>
    <w:p>
      <w:r>
        <w:rPr>
          <w:b/>
          <w:color w:val="1F4E79"/>
        </w:rPr>
        <w:t xml:space="preserve">Source rule standard: </w:t>
      </w:r>
      <w:r>
        <w:t>The supplied proposal requires each custom rule to document its target technique, ATT&amp;CK ID, why native coverage missed it and the validation command/payload. fileciteturn0file0L248-L256</w:t>
      </w:r>
    </w:p>
    <w:p>
      <w:pPr>
        <w:pStyle w:val="Heading1"/>
      </w:pPr>
      <w:r>
        <w:t>9. Alert Management and Triage</w:t>
      </w:r>
    </w:p>
    <w:p>
      <w:pPr>
        <w:pStyle w:val="Heading2"/>
      </w:pPr>
      <w:r>
        <w:t>9.1 Alert Lifecycle</w:t>
      </w:r>
    </w:p>
    <w:p>
      <w:pPr>
        <w:pStyle w:val="NoSpacing"/>
        <w:spacing w:after="100"/>
        <w:ind w:left="360"/>
      </w:pPr>
      <w:r>
        <w:rPr>
          <w:rFonts w:ascii="Consolas" w:hAnsi="Consolas"/>
          <w:sz w:val="16"/>
        </w:rPr>
        <w:t>NEW → ACKNOWLEDGED → INVESTIGATING → ESCALATED / CONTAINED → RESOLVED → CLOSED</w:t>
      </w:r>
    </w:p>
    <w:p>
      <w:pPr>
        <w:pStyle w:val="Heading2"/>
      </w:pPr>
      <w:r>
        <w:t>9.2 Alert Priority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color w:val="FFFFFF"/>
              </w:rPr>
            </w:r>
            <w:r>
              <w:rPr>
                <w:b/>
                <w:color w:val="FFFFFF"/>
                <w:sz w:val="18"/>
              </w:rPr>
              <w:t>Factor</w:t>
            </w:r>
          </w:p>
        </w:tc>
        <w:tc>
          <w:tcPr>
            <w:tcW w:type="dxa" w:w="5112"/>
            <w:vAlign w:val="center"/>
            <w:shd w:fill="1F4E78"/>
          </w:tcPr>
          <w:p>
            <w:r>
              <w:rPr>
                <w:color w:val="FFFFFF"/>
              </w:rPr>
            </w:r>
            <w:r>
              <w:rPr>
                <w:b/>
                <w:color w:val="FFFFFF"/>
                <w:sz w:val="18"/>
              </w:rPr>
              <w:t>Examples</w:t>
            </w:r>
          </w:p>
        </w:tc>
      </w:tr>
      <w:tr>
        <w:tc>
          <w:tcPr>
            <w:tcW w:type="dxa" w:w="5112"/>
            <w:vAlign w:val="center"/>
          </w:tcPr>
          <w:p>
            <w:r/>
            <w:r>
              <w:rPr>
                <w:b w:val="0"/>
                <w:sz w:val="17"/>
              </w:rPr>
              <w:t>Severity</w:t>
            </w:r>
          </w:p>
        </w:tc>
        <w:tc>
          <w:tcPr>
            <w:tcW w:type="dxa" w:w="5112"/>
            <w:vAlign w:val="center"/>
          </w:tcPr>
          <w:p>
            <w:r/>
            <w:r>
              <w:rPr>
                <w:b w:val="0"/>
                <w:sz w:val="17"/>
              </w:rPr>
              <w:t>Impact represented by detection</w:t>
            </w:r>
          </w:p>
        </w:tc>
      </w:tr>
      <w:tr>
        <w:tc>
          <w:tcPr>
            <w:tcW w:type="dxa" w:w="5112"/>
            <w:vAlign w:val="center"/>
          </w:tcPr>
          <w:p>
            <w:r/>
            <w:r>
              <w:rPr>
                <w:b w:val="0"/>
                <w:sz w:val="17"/>
              </w:rPr>
              <w:t>Confidence</w:t>
            </w:r>
          </w:p>
        </w:tc>
        <w:tc>
          <w:tcPr>
            <w:tcW w:type="dxa" w:w="5112"/>
            <w:vAlign w:val="center"/>
          </w:tcPr>
          <w:p>
            <w:r/>
            <w:r>
              <w:rPr>
                <w:b w:val="0"/>
                <w:sz w:val="17"/>
              </w:rPr>
              <w:t>Detection fidelity / corroboration</w:t>
            </w:r>
          </w:p>
        </w:tc>
      </w:tr>
      <w:tr>
        <w:tc>
          <w:tcPr>
            <w:tcW w:type="dxa" w:w="5112"/>
            <w:vAlign w:val="center"/>
          </w:tcPr>
          <w:p>
            <w:r/>
            <w:r>
              <w:rPr>
                <w:b w:val="0"/>
                <w:sz w:val="17"/>
              </w:rPr>
              <w:t>Asset criticality</w:t>
            </w:r>
          </w:p>
        </w:tc>
        <w:tc>
          <w:tcPr>
            <w:tcW w:type="dxa" w:w="5112"/>
            <w:vAlign w:val="center"/>
          </w:tcPr>
          <w:p>
            <w:r/>
            <w:r>
              <w:rPr>
                <w:b w:val="0"/>
                <w:sz w:val="17"/>
              </w:rPr>
              <w:t>Production-like / high-value target</w:t>
            </w:r>
          </w:p>
        </w:tc>
      </w:tr>
      <w:tr>
        <w:tc>
          <w:tcPr>
            <w:tcW w:type="dxa" w:w="5112"/>
            <w:vAlign w:val="center"/>
          </w:tcPr>
          <w:p>
            <w:r/>
            <w:r>
              <w:rPr>
                <w:b w:val="0"/>
                <w:sz w:val="17"/>
              </w:rPr>
              <w:t>User risk</w:t>
            </w:r>
          </w:p>
        </w:tc>
        <w:tc>
          <w:tcPr>
            <w:tcW w:type="dxa" w:w="5112"/>
            <w:vAlign w:val="center"/>
          </w:tcPr>
          <w:p>
            <w:r/>
            <w:r>
              <w:rPr>
                <w:b w:val="0"/>
                <w:sz w:val="17"/>
              </w:rPr>
              <w:t>Privileged or anomalous identity</w:t>
            </w:r>
          </w:p>
        </w:tc>
      </w:tr>
      <w:tr>
        <w:tc>
          <w:tcPr>
            <w:tcW w:type="dxa" w:w="5112"/>
            <w:vAlign w:val="center"/>
          </w:tcPr>
          <w:p>
            <w:r/>
            <w:r>
              <w:rPr>
                <w:b w:val="0"/>
                <w:sz w:val="17"/>
              </w:rPr>
              <w:t>Threat context</w:t>
            </w:r>
          </w:p>
        </w:tc>
        <w:tc>
          <w:tcPr>
            <w:tcW w:type="dxa" w:w="5112"/>
            <w:vAlign w:val="center"/>
          </w:tcPr>
          <w:p>
            <w:r/>
            <w:r>
              <w:rPr>
                <w:b w:val="0"/>
                <w:sz w:val="17"/>
              </w:rPr>
              <w:t>Known malicious IOC / ATT&amp;CK correlation</w:t>
            </w:r>
          </w:p>
        </w:tc>
      </w:tr>
      <w:tr>
        <w:tc>
          <w:tcPr>
            <w:tcW w:type="dxa" w:w="5112"/>
            <w:vAlign w:val="center"/>
          </w:tcPr>
          <w:p>
            <w:r/>
            <w:r>
              <w:rPr>
                <w:b w:val="0"/>
                <w:sz w:val="17"/>
              </w:rPr>
              <w:t>Spread</w:t>
            </w:r>
          </w:p>
        </w:tc>
        <w:tc>
          <w:tcPr>
            <w:tcW w:type="dxa" w:w="5112"/>
            <w:vAlign w:val="center"/>
          </w:tcPr>
          <w:p>
            <w:r/>
            <w:r>
              <w:rPr>
                <w:b w:val="0"/>
                <w:sz w:val="17"/>
              </w:rPr>
              <w:t>Number of affected assets/users</w:t>
            </w:r>
          </w:p>
        </w:tc>
      </w:tr>
      <w:tr>
        <w:tc>
          <w:tcPr>
            <w:tcW w:type="dxa" w:w="5112"/>
            <w:vAlign w:val="center"/>
          </w:tcPr>
          <w:p>
            <w:r/>
            <w:r>
              <w:rPr>
                <w:b w:val="0"/>
                <w:sz w:val="17"/>
              </w:rPr>
              <w:t>Recency</w:t>
            </w:r>
          </w:p>
        </w:tc>
        <w:tc>
          <w:tcPr>
            <w:tcW w:type="dxa" w:w="5112"/>
            <w:vAlign w:val="center"/>
          </w:tcPr>
          <w:p>
            <w:r/>
            <w:r>
              <w:rPr>
                <w:b w:val="0"/>
                <w:sz w:val="17"/>
              </w:rPr>
              <w:t>Active vs historical</w:t>
            </w:r>
          </w:p>
        </w:tc>
      </w:tr>
    </w:tbl>
    <w:p/>
    <w:p>
      <w:r>
        <w:t>Suggested conceptual score:</w:t>
      </w:r>
    </w:p>
    <w:p>
      <w:pPr>
        <w:pStyle w:val="NoSpacing"/>
        <w:spacing w:after="100"/>
        <w:ind w:left="360"/>
      </w:pPr>
      <w:r>
        <w:rPr>
          <w:rFonts w:ascii="Consolas" w:hAnsi="Consolas"/>
          <w:sz w:val="16"/>
        </w:rPr>
        <w:t>Priority = Severity × Confidence × AssetCriticality × ThreatContext × SpreadAdjustment</w:t>
      </w:r>
    </w:p>
    <w:p>
      <w:r>
        <w:rPr>
          <w:b/>
          <w:color w:val="1F4E79"/>
        </w:rPr>
        <w:t xml:space="preserve">Important: </w:t>
      </w:r>
      <w:r>
        <w:t>The score is a prioritization aid, not an automatic verdict. Analysts must be able to see the factors contributing to the score.</w:t>
      </w:r>
    </w:p>
    <w:p>
      <w:pPr>
        <w:pStyle w:val="Heading1"/>
      </w:pPr>
      <w:r>
        <w:t>10. Investigation &amp; Threat Hunting</w:t>
      </w:r>
    </w:p>
    <w:p>
      <w:pPr>
        <w:pStyle w:val="Heading2"/>
      </w:pPr>
      <w:r>
        <w:t>10.1 Investigation Workspace</w:t>
      </w:r>
    </w:p>
    <w:p>
      <w:pPr>
        <w:pStyle w:val="ListBullet"/>
      </w:pPr>
      <w:r>
        <w:t>Alert summary and detection rationale.</w:t>
      </w:r>
    </w:p>
    <w:p>
      <w:pPr>
        <w:pStyle w:val="ListBullet"/>
      </w:pPr>
      <w:r>
        <w:t>Entity panel: source IP, destination IP, hostname, user, process, asset.</w:t>
      </w:r>
    </w:p>
    <w:p>
      <w:pPr>
        <w:pStyle w:val="ListBullet"/>
      </w:pPr>
      <w:r>
        <w:t>Event pivot: all related events around the alert.</w:t>
      </w:r>
    </w:p>
    <w:p>
      <w:pPr>
        <w:pStyle w:val="ListBullet"/>
      </w:pPr>
      <w:r>
        <w:t>Timeline: ordered evidence with relative and absolute timestamps.</w:t>
      </w:r>
    </w:p>
    <w:p>
      <w:pPr>
        <w:pStyle w:val="ListBullet"/>
      </w:pPr>
      <w:r>
        <w:t>Raw event viewer.</w:t>
      </w:r>
    </w:p>
    <w:p>
      <w:pPr>
        <w:pStyle w:val="ListBullet"/>
      </w:pPr>
      <w:r>
        <w:t>IOC extraction and enrichment.</w:t>
      </w:r>
    </w:p>
    <w:p>
      <w:pPr>
        <w:pStyle w:val="ListBullet"/>
      </w:pPr>
      <w:r>
        <w:t>Related alerts and previous activity.</w:t>
      </w:r>
    </w:p>
    <w:p>
      <w:pPr>
        <w:pStyle w:val="ListBullet"/>
      </w:pPr>
      <w:r>
        <w:t>ATT&amp;CK technique context.</w:t>
      </w:r>
    </w:p>
    <w:p>
      <w:pPr>
        <w:pStyle w:val="ListBullet"/>
      </w:pPr>
      <w:r>
        <w:t>Analyst notes and evidence attachments.</w:t>
      </w:r>
    </w:p>
    <w:p>
      <w:pPr>
        <w:pStyle w:val="ListBullet"/>
      </w:pPr>
      <w:r>
        <w:t>One-click escalation to case.</w:t>
      </w:r>
    </w:p>
    <w:p>
      <w:pPr>
        <w:pStyle w:val="Heading2"/>
      </w:pPr>
      <w:r>
        <w:t>10.2 Threat Hunting Workflow</w:t>
      </w:r>
    </w:p>
    <w:p>
      <w:pPr>
        <w:pStyle w:val="ListNumber"/>
      </w:pPr>
      <w:r>
        <w:t>Define hypothesis (e.g., suspicious credential reuse).</w:t>
      </w:r>
    </w:p>
    <w:p>
      <w:pPr>
        <w:pStyle w:val="ListNumber"/>
      </w:pPr>
      <w:r>
        <w:t>Identify telemetry needed to prove/disprove it.</w:t>
      </w:r>
    </w:p>
    <w:p>
      <w:pPr>
        <w:pStyle w:val="ListNumber"/>
      </w:pPr>
      <w:r>
        <w:t>Run query across a controlled time range.</w:t>
      </w:r>
    </w:p>
    <w:p>
      <w:pPr>
        <w:pStyle w:val="ListNumber"/>
      </w:pPr>
      <w:r>
        <w:t>Pivot by entity and timeline.</w:t>
      </w:r>
    </w:p>
    <w:p>
      <w:pPr>
        <w:pStyle w:val="ListNumber"/>
      </w:pPr>
      <w:r>
        <w:t>Collect supporting/contradicting evidence.</w:t>
      </w:r>
    </w:p>
    <w:p>
      <w:pPr>
        <w:pStyle w:val="ListNumber"/>
      </w:pPr>
      <w:r>
        <w:t>Create detection candidate if repeatable behavior is identified.</w:t>
      </w:r>
    </w:p>
    <w:p>
      <w:pPr>
        <w:pStyle w:val="ListNumber"/>
      </w:pPr>
      <w:r>
        <w:t>Record hunt result and detection gap.</w:t>
      </w:r>
    </w:p>
    <w:p>
      <w:pPr>
        <w:pStyle w:val="Heading1"/>
      </w:pPr>
      <w:r>
        <w:t>11. Case Management / DFIR</w:t>
      </w:r>
    </w:p>
    <w:p>
      <w:pPr>
        <w:pStyle w:val="Heading2"/>
      </w:pPr>
      <w:r>
        <w:t>11.1 Case Object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color w:val="FFFFFF"/>
              </w:rPr>
            </w:r>
            <w:r>
              <w:rPr>
                <w:b/>
                <w:color w:val="FFFFFF"/>
                <w:sz w:val="18"/>
              </w:rPr>
              <w:t>Field</w:t>
            </w:r>
          </w:p>
        </w:tc>
        <w:tc>
          <w:tcPr>
            <w:tcW w:type="dxa" w:w="5112"/>
            <w:vAlign w:val="center"/>
            <w:shd w:fill="1F4E78"/>
          </w:tcPr>
          <w:p>
            <w:r>
              <w:rPr>
                <w:color w:val="FFFFFF"/>
              </w:rPr>
            </w:r>
            <w:r>
              <w:rPr>
                <w:b/>
                <w:color w:val="FFFFFF"/>
                <w:sz w:val="18"/>
              </w:rPr>
              <w:t>Purpose</w:t>
            </w:r>
          </w:p>
        </w:tc>
      </w:tr>
      <w:tr>
        <w:tc>
          <w:tcPr>
            <w:tcW w:type="dxa" w:w="5112"/>
            <w:vAlign w:val="center"/>
          </w:tcPr>
          <w:p>
            <w:r/>
            <w:r>
              <w:rPr>
                <w:b w:val="0"/>
                <w:sz w:val="17"/>
              </w:rPr>
              <w:t>Case ID</w:t>
            </w:r>
          </w:p>
        </w:tc>
        <w:tc>
          <w:tcPr>
            <w:tcW w:type="dxa" w:w="5112"/>
            <w:vAlign w:val="center"/>
          </w:tcPr>
          <w:p>
            <w:r/>
            <w:r>
              <w:rPr>
                <w:b w:val="0"/>
                <w:sz w:val="17"/>
              </w:rPr>
              <w:t>Stable incident identifier</w:t>
            </w:r>
          </w:p>
        </w:tc>
      </w:tr>
      <w:tr>
        <w:tc>
          <w:tcPr>
            <w:tcW w:type="dxa" w:w="5112"/>
            <w:vAlign w:val="center"/>
          </w:tcPr>
          <w:p>
            <w:r/>
            <w:r>
              <w:rPr>
                <w:b w:val="0"/>
                <w:sz w:val="17"/>
              </w:rPr>
              <w:t>Title / Summary</w:t>
            </w:r>
          </w:p>
        </w:tc>
        <w:tc>
          <w:tcPr>
            <w:tcW w:type="dxa" w:w="5112"/>
            <w:vAlign w:val="center"/>
          </w:tcPr>
          <w:p>
            <w:r/>
            <w:r>
              <w:rPr>
                <w:b w:val="0"/>
                <w:sz w:val="17"/>
              </w:rPr>
              <w:t>Human-readable incident description</w:t>
            </w:r>
          </w:p>
        </w:tc>
      </w:tr>
      <w:tr>
        <w:tc>
          <w:tcPr>
            <w:tcW w:type="dxa" w:w="5112"/>
            <w:vAlign w:val="center"/>
          </w:tcPr>
          <w:p>
            <w:r/>
            <w:r>
              <w:rPr>
                <w:b w:val="0"/>
                <w:sz w:val="17"/>
              </w:rPr>
              <w:t>Severity</w:t>
            </w:r>
          </w:p>
        </w:tc>
        <w:tc>
          <w:tcPr>
            <w:tcW w:type="dxa" w:w="5112"/>
            <w:vAlign w:val="center"/>
          </w:tcPr>
          <w:p>
            <w:r/>
            <w:r>
              <w:rPr>
                <w:b w:val="0"/>
                <w:sz w:val="17"/>
              </w:rPr>
              <w:t>Impact classification</w:t>
            </w:r>
          </w:p>
        </w:tc>
      </w:tr>
      <w:tr>
        <w:tc>
          <w:tcPr>
            <w:tcW w:type="dxa" w:w="5112"/>
            <w:vAlign w:val="center"/>
          </w:tcPr>
          <w:p>
            <w:r/>
            <w:r>
              <w:rPr>
                <w:b w:val="0"/>
                <w:sz w:val="17"/>
              </w:rPr>
              <w:t>Status</w:t>
            </w:r>
          </w:p>
        </w:tc>
        <w:tc>
          <w:tcPr>
            <w:tcW w:type="dxa" w:w="5112"/>
            <w:vAlign w:val="center"/>
          </w:tcPr>
          <w:p>
            <w:r/>
            <w:r>
              <w:rPr>
                <w:b w:val="0"/>
                <w:sz w:val="17"/>
              </w:rPr>
              <w:t>Open / Investigating / Contained / Resolved / Closed</w:t>
            </w:r>
          </w:p>
        </w:tc>
      </w:tr>
      <w:tr>
        <w:tc>
          <w:tcPr>
            <w:tcW w:type="dxa" w:w="5112"/>
            <w:vAlign w:val="center"/>
          </w:tcPr>
          <w:p>
            <w:r/>
            <w:r>
              <w:rPr>
                <w:b w:val="0"/>
                <w:sz w:val="17"/>
              </w:rPr>
              <w:t>Owner</w:t>
            </w:r>
          </w:p>
        </w:tc>
        <w:tc>
          <w:tcPr>
            <w:tcW w:type="dxa" w:w="5112"/>
            <w:vAlign w:val="center"/>
          </w:tcPr>
          <w:p>
            <w:r/>
            <w:r>
              <w:rPr>
                <w:b w:val="0"/>
                <w:sz w:val="17"/>
              </w:rPr>
              <w:t>Responsible analyst</w:t>
            </w:r>
          </w:p>
        </w:tc>
      </w:tr>
      <w:tr>
        <w:tc>
          <w:tcPr>
            <w:tcW w:type="dxa" w:w="5112"/>
            <w:vAlign w:val="center"/>
          </w:tcPr>
          <w:p>
            <w:r/>
            <w:r>
              <w:rPr>
                <w:b w:val="0"/>
                <w:sz w:val="17"/>
              </w:rPr>
              <w:t>Related Alerts</w:t>
            </w:r>
          </w:p>
        </w:tc>
        <w:tc>
          <w:tcPr>
            <w:tcW w:type="dxa" w:w="5112"/>
            <w:vAlign w:val="center"/>
          </w:tcPr>
          <w:p>
            <w:r/>
            <w:r>
              <w:rPr>
                <w:b w:val="0"/>
                <w:sz w:val="17"/>
              </w:rPr>
              <w:t>Evidence linkage</w:t>
            </w:r>
          </w:p>
        </w:tc>
      </w:tr>
      <w:tr>
        <w:tc>
          <w:tcPr>
            <w:tcW w:type="dxa" w:w="5112"/>
            <w:vAlign w:val="center"/>
          </w:tcPr>
          <w:p>
            <w:r/>
            <w:r>
              <w:rPr>
                <w:b w:val="0"/>
                <w:sz w:val="17"/>
              </w:rPr>
              <w:t>Entities</w:t>
            </w:r>
          </w:p>
        </w:tc>
        <w:tc>
          <w:tcPr>
            <w:tcW w:type="dxa" w:w="5112"/>
            <w:vAlign w:val="center"/>
          </w:tcPr>
          <w:p>
            <w:r/>
            <w:r>
              <w:rPr>
                <w:b w:val="0"/>
                <w:sz w:val="17"/>
              </w:rPr>
              <w:t>Assets/users/IPs/domains/processes</w:t>
            </w:r>
          </w:p>
        </w:tc>
      </w:tr>
      <w:tr>
        <w:tc>
          <w:tcPr>
            <w:tcW w:type="dxa" w:w="5112"/>
            <w:vAlign w:val="center"/>
          </w:tcPr>
          <w:p>
            <w:r/>
            <w:r>
              <w:rPr>
                <w:b w:val="0"/>
                <w:sz w:val="17"/>
              </w:rPr>
              <w:t>Timeline</w:t>
            </w:r>
          </w:p>
        </w:tc>
        <w:tc>
          <w:tcPr>
            <w:tcW w:type="dxa" w:w="5112"/>
            <w:vAlign w:val="center"/>
          </w:tcPr>
          <w:p>
            <w:r/>
            <w:r>
              <w:rPr>
                <w:b w:val="0"/>
                <w:sz w:val="17"/>
              </w:rPr>
              <w:t>Chronological event narrative</w:t>
            </w:r>
          </w:p>
        </w:tc>
      </w:tr>
      <w:tr>
        <w:tc>
          <w:tcPr>
            <w:tcW w:type="dxa" w:w="5112"/>
            <w:vAlign w:val="center"/>
          </w:tcPr>
          <w:p>
            <w:r/>
            <w:r>
              <w:rPr>
                <w:b w:val="0"/>
                <w:sz w:val="17"/>
              </w:rPr>
              <w:t>IOCs</w:t>
            </w:r>
          </w:p>
        </w:tc>
        <w:tc>
          <w:tcPr>
            <w:tcW w:type="dxa" w:w="5112"/>
            <w:vAlign w:val="center"/>
          </w:tcPr>
          <w:p>
            <w:r/>
            <w:r>
              <w:rPr>
                <w:b w:val="0"/>
                <w:sz w:val="17"/>
              </w:rPr>
              <w:t>Indicators collected during investigation</w:t>
            </w:r>
          </w:p>
        </w:tc>
      </w:tr>
      <w:tr>
        <w:tc>
          <w:tcPr>
            <w:tcW w:type="dxa" w:w="5112"/>
            <w:vAlign w:val="center"/>
          </w:tcPr>
          <w:p>
            <w:r/>
            <w:r>
              <w:rPr>
                <w:b w:val="0"/>
                <w:sz w:val="17"/>
              </w:rPr>
              <w:t>Evidence</w:t>
            </w:r>
          </w:p>
        </w:tc>
        <w:tc>
          <w:tcPr>
            <w:tcW w:type="dxa" w:w="5112"/>
            <w:vAlign w:val="center"/>
          </w:tcPr>
          <w:p>
            <w:r/>
            <w:r>
              <w:rPr>
                <w:b w:val="0"/>
                <w:sz w:val="17"/>
              </w:rPr>
              <w:t>Files/screenshots/raw logs/exports</w:t>
            </w:r>
          </w:p>
        </w:tc>
      </w:tr>
      <w:tr>
        <w:tc>
          <w:tcPr>
            <w:tcW w:type="dxa" w:w="5112"/>
            <w:vAlign w:val="center"/>
          </w:tcPr>
          <w:p>
            <w:r/>
            <w:r>
              <w:rPr>
                <w:b w:val="0"/>
                <w:sz w:val="17"/>
              </w:rPr>
              <w:t>Tasks</w:t>
            </w:r>
          </w:p>
        </w:tc>
        <w:tc>
          <w:tcPr>
            <w:tcW w:type="dxa" w:w="5112"/>
            <w:vAlign w:val="center"/>
          </w:tcPr>
          <w:p>
            <w:r/>
            <w:r>
              <w:rPr>
                <w:b w:val="0"/>
                <w:sz w:val="17"/>
              </w:rPr>
              <w:t>Assigned investigation/remediation actions</w:t>
            </w:r>
          </w:p>
        </w:tc>
      </w:tr>
      <w:tr>
        <w:tc>
          <w:tcPr>
            <w:tcW w:type="dxa" w:w="5112"/>
            <w:vAlign w:val="center"/>
          </w:tcPr>
          <w:p>
            <w:r/>
            <w:r>
              <w:rPr>
                <w:b w:val="0"/>
                <w:sz w:val="17"/>
              </w:rPr>
              <w:t>Root Cause</w:t>
            </w:r>
          </w:p>
        </w:tc>
        <w:tc>
          <w:tcPr>
            <w:tcW w:type="dxa" w:w="5112"/>
            <w:vAlign w:val="center"/>
          </w:tcPr>
          <w:p>
            <w:r/>
            <w:r>
              <w:rPr>
                <w:b w:val="0"/>
                <w:sz w:val="17"/>
              </w:rPr>
              <w:t>Confirmed cause</w:t>
            </w:r>
          </w:p>
        </w:tc>
      </w:tr>
      <w:tr>
        <w:tc>
          <w:tcPr>
            <w:tcW w:type="dxa" w:w="5112"/>
            <w:vAlign w:val="center"/>
          </w:tcPr>
          <w:p>
            <w:r/>
            <w:r>
              <w:rPr>
                <w:b w:val="0"/>
                <w:sz w:val="17"/>
              </w:rPr>
              <w:t>Lessons Learned</w:t>
            </w:r>
          </w:p>
        </w:tc>
        <w:tc>
          <w:tcPr>
            <w:tcW w:type="dxa" w:w="5112"/>
            <w:vAlign w:val="center"/>
          </w:tcPr>
          <w:p>
            <w:r/>
            <w:r>
              <w:rPr>
                <w:b w:val="0"/>
                <w:sz w:val="17"/>
              </w:rPr>
              <w:t>Detection/process improvements</w:t>
            </w:r>
          </w:p>
        </w:tc>
      </w:tr>
      <w:tr>
        <w:tc>
          <w:tcPr>
            <w:tcW w:type="dxa" w:w="5112"/>
            <w:vAlign w:val="center"/>
          </w:tcPr>
          <w:p>
            <w:r/>
            <w:r>
              <w:rPr>
                <w:b w:val="0"/>
                <w:sz w:val="17"/>
              </w:rPr>
              <w:t>Closure Code</w:t>
            </w:r>
          </w:p>
        </w:tc>
        <w:tc>
          <w:tcPr>
            <w:tcW w:type="dxa" w:w="5112"/>
            <w:vAlign w:val="center"/>
          </w:tcPr>
          <w:p>
            <w:r/>
            <w:r>
              <w:rPr>
                <w:b w:val="0"/>
                <w:sz w:val="17"/>
              </w:rPr>
              <w:t>Benign / True Positive / Duplicate / Test / Other</w:t>
            </w:r>
          </w:p>
        </w:tc>
      </w:tr>
    </w:tbl>
    <w:p/>
    <w:p>
      <w:pPr>
        <w:pStyle w:val="Heading2"/>
      </w:pPr>
      <w:r>
        <w:t>11.2 Evidence Integrity</w:t>
      </w:r>
    </w:p>
    <w:p>
      <w:pPr>
        <w:pStyle w:val="ListBullet"/>
      </w:pPr>
      <w:r>
        <w:t>Record acquisition timestamp and source.</w:t>
      </w:r>
    </w:p>
    <w:p>
      <w:pPr>
        <w:pStyle w:val="ListBullet"/>
      </w:pPr>
      <w:r>
        <w:t>Compute a cryptographic hash for exported evidence.</w:t>
      </w:r>
    </w:p>
    <w:p>
      <w:pPr>
        <w:pStyle w:val="ListBullet"/>
      </w:pPr>
      <w:r>
        <w:t>Preserve original evidence separately from analyst annotations.</w:t>
      </w:r>
    </w:p>
    <w:p>
      <w:pPr>
        <w:pStyle w:val="ListBullet"/>
      </w:pPr>
      <w:r>
        <w:t>Record who accessed, modified or exported evidence.</w:t>
      </w:r>
    </w:p>
    <w:p>
      <w:pPr>
        <w:pStyle w:val="ListBullet"/>
      </w:pPr>
      <w:r>
        <w:t>Use immutable/audit-protected storage for finalized case packages where available.</w:t>
      </w:r>
    </w:p>
    <w:p>
      <w:pPr>
        <w:pStyle w:val="Heading1"/>
      </w:pPr>
      <w:r>
        <w:t>12. SOAR &amp; Response Automation</w:t>
      </w:r>
    </w:p>
    <w:p>
      <w:r>
        <w:t>Response automation must be confidence-aware and reversible. High-impact actions require approval unless an explicit policy grants automatic execution.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Pr>
                <w:color w:val="FFFFFF"/>
              </w:rPr>
            </w:r>
            <w:r>
              <w:rPr>
                <w:b/>
                <w:color w:val="FFFFFF"/>
                <w:sz w:val="18"/>
              </w:rPr>
              <w:t>Playbook</w:t>
            </w:r>
          </w:p>
        </w:tc>
        <w:tc>
          <w:tcPr>
            <w:tcW w:type="dxa" w:w="2556"/>
            <w:vAlign w:val="center"/>
            <w:shd w:fill="1F4E78"/>
          </w:tcPr>
          <w:p>
            <w:r>
              <w:rPr>
                <w:color w:val="FFFFFF"/>
              </w:rPr>
            </w:r>
            <w:r>
              <w:rPr>
                <w:b/>
                <w:color w:val="FFFFFF"/>
                <w:sz w:val="18"/>
              </w:rPr>
              <w:t>Trigger</w:t>
            </w:r>
          </w:p>
        </w:tc>
        <w:tc>
          <w:tcPr>
            <w:tcW w:type="dxa" w:w="2556"/>
            <w:vAlign w:val="center"/>
            <w:shd w:fill="1F4E78"/>
          </w:tcPr>
          <w:p>
            <w:r>
              <w:rPr>
                <w:color w:val="FFFFFF"/>
              </w:rPr>
            </w:r>
            <w:r>
              <w:rPr>
                <w:b/>
                <w:color w:val="FFFFFF"/>
                <w:sz w:val="18"/>
              </w:rPr>
              <w:t>Actions</w:t>
            </w:r>
          </w:p>
        </w:tc>
        <w:tc>
          <w:tcPr>
            <w:tcW w:type="dxa" w:w="2556"/>
            <w:vAlign w:val="center"/>
            <w:shd w:fill="1F4E78"/>
          </w:tcPr>
          <w:p>
            <w:r>
              <w:rPr>
                <w:color w:val="FFFFFF"/>
              </w:rPr>
            </w:r>
            <w:r>
              <w:rPr>
                <w:b/>
                <w:color w:val="FFFFFF"/>
                <w:sz w:val="18"/>
              </w:rPr>
              <w:t>Approval</w:t>
            </w:r>
          </w:p>
        </w:tc>
      </w:tr>
      <w:tr>
        <w:tc>
          <w:tcPr>
            <w:tcW w:type="dxa" w:w="2556"/>
            <w:vAlign w:val="center"/>
          </w:tcPr>
          <w:p>
            <w:r/>
            <w:r>
              <w:rPr>
                <w:b w:val="0"/>
                <w:sz w:val="17"/>
              </w:rPr>
              <w:t>PB-01 Brute Force</w:t>
            </w:r>
          </w:p>
        </w:tc>
        <w:tc>
          <w:tcPr>
            <w:tcW w:type="dxa" w:w="2556"/>
            <w:vAlign w:val="center"/>
          </w:tcPr>
          <w:p>
            <w:r/>
            <w:r>
              <w:rPr>
                <w:b w:val="0"/>
                <w:sz w:val="17"/>
              </w:rPr>
              <w:t>High-confidence repeated auth failures</w:t>
            </w:r>
          </w:p>
        </w:tc>
        <w:tc>
          <w:tcPr>
            <w:tcW w:type="dxa" w:w="2556"/>
            <w:vAlign w:val="center"/>
          </w:tcPr>
          <w:p>
            <w:r/>
            <w:r>
              <w:rPr>
                <w:b w:val="0"/>
                <w:sz w:val="17"/>
              </w:rPr>
              <w:t>Collect evidence → block source in lab → verify → log action</w:t>
            </w:r>
          </w:p>
        </w:tc>
        <w:tc>
          <w:tcPr>
            <w:tcW w:type="dxa" w:w="2556"/>
            <w:vAlign w:val="center"/>
          </w:tcPr>
          <w:p>
            <w:r/>
            <w:r>
              <w:rPr>
                <w:b w:val="0"/>
                <w:sz w:val="17"/>
              </w:rPr>
              <w:t>Optional for lab; required for production</w:t>
            </w:r>
          </w:p>
        </w:tc>
      </w:tr>
      <w:tr>
        <w:tc>
          <w:tcPr>
            <w:tcW w:type="dxa" w:w="2556"/>
            <w:vAlign w:val="center"/>
          </w:tcPr>
          <w:p>
            <w:r/>
            <w:r>
              <w:rPr>
                <w:b w:val="0"/>
                <w:sz w:val="17"/>
              </w:rPr>
              <w:t>PB-02 Web Attack</w:t>
            </w:r>
          </w:p>
        </w:tc>
        <w:tc>
          <w:tcPr>
            <w:tcW w:type="dxa" w:w="2556"/>
            <w:vAlign w:val="center"/>
          </w:tcPr>
          <w:p>
            <w:r/>
            <w:r>
              <w:rPr>
                <w:b w:val="0"/>
                <w:sz w:val="17"/>
              </w:rPr>
              <w:t>SQLi/command injection correlation</w:t>
            </w:r>
          </w:p>
        </w:tc>
        <w:tc>
          <w:tcPr>
            <w:tcW w:type="dxa" w:w="2556"/>
            <w:vAlign w:val="center"/>
          </w:tcPr>
          <w:p>
            <w:r/>
            <w:r>
              <w:rPr>
                <w:b w:val="0"/>
                <w:sz w:val="17"/>
              </w:rPr>
              <w:t>Enrich IOC → capture context → isolate test target</w:t>
            </w:r>
          </w:p>
        </w:tc>
        <w:tc>
          <w:tcPr>
            <w:tcW w:type="dxa" w:w="2556"/>
            <w:vAlign w:val="center"/>
          </w:tcPr>
          <w:p>
            <w:r/>
            <w:r>
              <w:rPr>
                <w:b w:val="0"/>
                <w:sz w:val="17"/>
              </w:rPr>
              <w:t>Recommended</w:t>
            </w:r>
          </w:p>
        </w:tc>
      </w:tr>
      <w:tr>
        <w:tc>
          <w:tcPr>
            <w:tcW w:type="dxa" w:w="2556"/>
            <w:vAlign w:val="center"/>
          </w:tcPr>
          <w:p>
            <w:r/>
            <w:r>
              <w:rPr>
                <w:b w:val="0"/>
                <w:sz w:val="17"/>
              </w:rPr>
              <w:t>PB-03 Host Quarantine</w:t>
            </w:r>
          </w:p>
        </w:tc>
        <w:tc>
          <w:tcPr>
            <w:tcW w:type="dxa" w:w="2556"/>
            <w:vAlign w:val="center"/>
          </w:tcPr>
          <w:p>
            <w:r/>
            <w:r>
              <w:rPr>
                <w:b w:val="0"/>
                <w:sz w:val="17"/>
              </w:rPr>
              <w:t>Confirmed compromise</w:t>
            </w:r>
          </w:p>
        </w:tc>
        <w:tc>
          <w:tcPr>
            <w:tcW w:type="dxa" w:w="2556"/>
            <w:vAlign w:val="center"/>
          </w:tcPr>
          <w:p>
            <w:r/>
            <w:r>
              <w:rPr>
                <w:b w:val="0"/>
                <w:sz w:val="17"/>
              </w:rPr>
              <w:t>Disable network access / isolate endpoint → preserve evidence</w:t>
            </w:r>
          </w:p>
        </w:tc>
        <w:tc>
          <w:tcPr>
            <w:tcW w:type="dxa" w:w="2556"/>
            <w:vAlign w:val="center"/>
          </w:tcPr>
          <w:p>
            <w:r/>
            <w:r>
              <w:rPr>
                <w:b w:val="0"/>
                <w:sz w:val="17"/>
              </w:rPr>
              <w:t>Required</w:t>
            </w:r>
          </w:p>
        </w:tc>
      </w:tr>
      <w:tr>
        <w:tc>
          <w:tcPr>
            <w:tcW w:type="dxa" w:w="2556"/>
            <w:vAlign w:val="center"/>
          </w:tcPr>
          <w:p>
            <w:r/>
            <w:r>
              <w:rPr>
                <w:b w:val="0"/>
                <w:sz w:val="17"/>
              </w:rPr>
              <w:t>PB-04 IOC Sweep</w:t>
            </w:r>
          </w:p>
        </w:tc>
        <w:tc>
          <w:tcPr>
            <w:tcW w:type="dxa" w:w="2556"/>
            <w:vAlign w:val="center"/>
          </w:tcPr>
          <w:p>
            <w:r/>
            <w:r>
              <w:rPr>
                <w:b w:val="0"/>
                <w:sz w:val="17"/>
              </w:rPr>
              <w:t>Malicious IP/domain/hash</w:t>
            </w:r>
          </w:p>
        </w:tc>
        <w:tc>
          <w:tcPr>
            <w:tcW w:type="dxa" w:w="2556"/>
            <w:vAlign w:val="center"/>
          </w:tcPr>
          <w:p>
            <w:r/>
            <w:r>
              <w:rPr>
                <w:b w:val="0"/>
                <w:sz w:val="17"/>
              </w:rPr>
              <w:t>Search historical telemetry → produce impacted asset list</w:t>
            </w:r>
          </w:p>
        </w:tc>
        <w:tc>
          <w:tcPr>
            <w:tcW w:type="dxa" w:w="2556"/>
            <w:vAlign w:val="center"/>
          </w:tcPr>
          <w:p>
            <w:r/>
            <w:r>
              <w:rPr>
                <w:b w:val="0"/>
                <w:sz w:val="17"/>
              </w:rPr>
              <w:t>No destructive action</w:t>
            </w:r>
          </w:p>
        </w:tc>
      </w:tr>
      <w:tr>
        <w:tc>
          <w:tcPr>
            <w:tcW w:type="dxa" w:w="2556"/>
            <w:vAlign w:val="center"/>
          </w:tcPr>
          <w:p>
            <w:r/>
            <w:r>
              <w:rPr>
                <w:b w:val="0"/>
                <w:sz w:val="17"/>
              </w:rPr>
              <w:t>PB-05 Detection Gap</w:t>
            </w:r>
          </w:p>
        </w:tc>
        <w:tc>
          <w:tcPr>
            <w:tcW w:type="dxa" w:w="2556"/>
            <w:vAlign w:val="center"/>
          </w:tcPr>
          <w:p>
            <w:r/>
            <w:r>
              <w:rPr>
                <w:b w:val="0"/>
                <w:sz w:val="17"/>
              </w:rPr>
              <w:t>Technique produced no alert</w:t>
            </w:r>
          </w:p>
        </w:tc>
        <w:tc>
          <w:tcPr>
            <w:tcW w:type="dxa" w:w="2556"/>
            <w:vAlign w:val="center"/>
          </w:tcPr>
          <w:p>
            <w:r/>
            <w:r>
              <w:rPr>
                <w:b w:val="0"/>
                <w:sz w:val="17"/>
              </w:rPr>
              <w:t>Open detection-engineering task → attach evidence</w:t>
            </w:r>
          </w:p>
        </w:tc>
        <w:tc>
          <w:tcPr>
            <w:tcW w:type="dxa" w:w="2556"/>
            <w:vAlign w:val="center"/>
          </w:tcPr>
          <w:p>
            <w:r/>
            <w:r>
              <w:rPr>
                <w:b w:val="0"/>
                <w:sz w:val="17"/>
              </w:rPr>
              <w:t>No</w:t>
            </w:r>
          </w:p>
        </w:tc>
      </w:tr>
    </w:tbl>
    <w:p/>
    <w:p>
      <w:pPr>
        <w:pStyle w:val="Heading2"/>
      </w:pPr>
      <w:r>
        <w:t>12.1 Safety Controls</w:t>
      </w:r>
    </w:p>
    <w:p>
      <w:pPr>
        <w:pStyle w:val="ListBullet"/>
      </w:pPr>
      <w:r>
        <w:t>Dry-run mode.</w:t>
      </w:r>
    </w:p>
    <w:p>
      <w:pPr>
        <w:pStyle w:val="ListBullet"/>
      </w:pPr>
      <w:r>
        <w:t>Approval gate.</w:t>
      </w:r>
    </w:p>
    <w:p>
      <w:pPr>
        <w:pStyle w:val="ListBullet"/>
      </w:pPr>
      <w:r>
        <w:t>Scope validation: target must belong to an approved environment.</w:t>
      </w:r>
    </w:p>
    <w:p>
      <w:pPr>
        <w:pStyle w:val="ListBullet"/>
      </w:pPr>
      <w:r>
        <w:t>Idempotency to avoid repeated actions.</w:t>
      </w:r>
    </w:p>
    <w:p>
      <w:pPr>
        <w:pStyle w:val="ListBullet"/>
      </w:pPr>
      <w:r>
        <w:t>Timeouts and rate limits.</w:t>
      </w:r>
    </w:p>
    <w:p>
      <w:pPr>
        <w:pStyle w:val="ListBullet"/>
      </w:pPr>
      <w:r>
        <w:t>Rollback action where technically possible.</w:t>
      </w:r>
    </w:p>
    <w:p>
      <w:pPr>
        <w:pStyle w:val="ListBullet"/>
      </w:pPr>
      <w:r>
        <w:t>Complete action/audit log.</w:t>
      </w:r>
    </w:p>
    <w:p>
      <w:pPr>
        <w:pStyle w:val="ListBullet"/>
      </w:pPr>
      <w:r>
        <w:t>Kill switch for automation.</w:t>
      </w:r>
    </w:p>
    <w:p>
      <w:pPr>
        <w:pStyle w:val="Heading1"/>
      </w:pPr>
      <w:r>
        <w:t>13. Threat Intelligence</w:t>
      </w:r>
    </w:p>
    <w:p>
      <w:pPr>
        <w:pStyle w:val="Heading2"/>
      </w:pPr>
      <w:r>
        <w:t>13.1 IOC Lifecycle</w:t>
      </w:r>
    </w:p>
    <w:p>
      <w:pPr>
        <w:pStyle w:val="NoSpacing"/>
        <w:spacing w:after="100"/>
        <w:ind w:left="360"/>
      </w:pPr>
      <w:r>
        <w:rPr>
          <w:rFonts w:ascii="Consolas" w:hAnsi="Consolas"/>
          <w:sz w:val="16"/>
        </w:rPr>
        <w:t>Extract → Normalize → Deduplicate → Enrich → Score → Correlate → Hunt → Case Link → Expire/Retire</w:t>
      </w:r>
    </w:p>
    <w:p>
      <w:pPr>
        <w:pStyle w:val="Heading2"/>
      </w:pPr>
      <w:r>
        <w:t>13.2 IOC Types</w:t>
      </w:r>
    </w:p>
    <w:p>
      <w:pPr>
        <w:pStyle w:val="ListBullet"/>
      </w:pPr>
      <w:r>
        <w:t>IPv4/IPv6</w:t>
      </w:r>
    </w:p>
    <w:p>
      <w:pPr>
        <w:pStyle w:val="ListBullet"/>
      </w:pPr>
      <w:r>
        <w:t>Domain</w:t>
      </w:r>
    </w:p>
    <w:p>
      <w:pPr>
        <w:pStyle w:val="ListBullet"/>
      </w:pPr>
      <w:r>
        <w:t>URL</w:t>
      </w:r>
    </w:p>
    <w:p>
      <w:pPr>
        <w:pStyle w:val="ListBullet"/>
      </w:pPr>
      <w:r>
        <w:t>File hash</w:t>
      </w:r>
    </w:p>
    <w:p>
      <w:pPr>
        <w:pStyle w:val="ListBullet"/>
      </w:pPr>
      <w:r>
        <w:t>Email</w:t>
      </w:r>
    </w:p>
    <w:p>
      <w:pPr>
        <w:pStyle w:val="ListBullet"/>
      </w:pPr>
      <w:r>
        <w:t>Process/path</w:t>
      </w:r>
    </w:p>
    <w:p>
      <w:pPr>
        <w:pStyle w:val="ListBullet"/>
      </w:pPr>
      <w:r>
        <w:t>User/account</w:t>
      </w:r>
    </w:p>
    <w:p>
      <w:pPr>
        <w:pStyle w:val="ListBullet"/>
      </w:pPr>
      <w:r>
        <w:t>Certificate/fingerprint</w:t>
      </w:r>
    </w:p>
    <w:p>
      <w:pPr>
        <w:pStyle w:val="Heading2"/>
      </w:pPr>
      <w:r>
        <w:t>13.3 Confidence Model</w:t>
      </w:r>
    </w:p>
    <w:p>
      <w:r>
        <w:t>Threat intelligence must expose source, timestamp, confidence and freshness. Intelligence is context, not proof of compromise.</w:t>
      </w:r>
    </w:p>
    <w:p>
      <w:pPr>
        <w:pStyle w:val="Heading1"/>
      </w:pPr>
      <w:r>
        <w:t>14. Asset, Identity &amp; Risk Context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color w:val="FFFFFF"/>
              </w:rPr>
            </w:r>
            <w:r>
              <w:rPr>
                <w:b/>
                <w:color w:val="FFFFFF"/>
                <w:sz w:val="18"/>
              </w:rPr>
              <w:t>Object</w:t>
            </w:r>
          </w:p>
        </w:tc>
        <w:tc>
          <w:tcPr>
            <w:tcW w:type="dxa" w:w="5112"/>
            <w:vAlign w:val="center"/>
            <w:shd w:fill="1F4E78"/>
          </w:tcPr>
          <w:p>
            <w:r>
              <w:rPr>
                <w:color w:val="FFFFFF"/>
              </w:rPr>
            </w:r>
            <w:r>
              <w:rPr>
                <w:b/>
                <w:color w:val="FFFFFF"/>
                <w:sz w:val="18"/>
              </w:rPr>
              <w:t>Core Attributes</w:t>
            </w:r>
          </w:p>
        </w:tc>
      </w:tr>
      <w:tr>
        <w:tc>
          <w:tcPr>
            <w:tcW w:type="dxa" w:w="5112"/>
            <w:vAlign w:val="center"/>
          </w:tcPr>
          <w:p>
            <w:r/>
            <w:r>
              <w:rPr>
                <w:b w:val="0"/>
                <w:sz w:val="17"/>
              </w:rPr>
              <w:t>Asset</w:t>
            </w:r>
          </w:p>
        </w:tc>
        <w:tc>
          <w:tcPr>
            <w:tcW w:type="dxa" w:w="5112"/>
            <w:vAlign w:val="center"/>
          </w:tcPr>
          <w:p>
            <w:r/>
            <w:r>
              <w:rPr>
                <w:b w:val="0"/>
                <w:sz w:val="17"/>
              </w:rPr>
              <w:t>Asset ID, hostname, IP, OS, owner, criticality, environment, telemetry health</w:t>
            </w:r>
          </w:p>
        </w:tc>
      </w:tr>
      <w:tr>
        <w:tc>
          <w:tcPr>
            <w:tcW w:type="dxa" w:w="5112"/>
            <w:vAlign w:val="center"/>
          </w:tcPr>
          <w:p>
            <w:r/>
            <w:r>
              <w:rPr>
                <w:b w:val="0"/>
                <w:sz w:val="17"/>
              </w:rPr>
              <w:t>Identity</w:t>
            </w:r>
          </w:p>
        </w:tc>
        <w:tc>
          <w:tcPr>
            <w:tcW w:type="dxa" w:w="5112"/>
            <w:vAlign w:val="center"/>
          </w:tcPr>
          <w:p>
            <w:r/>
            <w:r>
              <w:rPr>
                <w:b w:val="0"/>
                <w:sz w:val="17"/>
              </w:rPr>
              <w:t>Username, role, privilege level, source, authentication history</w:t>
            </w:r>
          </w:p>
        </w:tc>
      </w:tr>
      <w:tr>
        <w:tc>
          <w:tcPr>
            <w:tcW w:type="dxa" w:w="5112"/>
            <w:vAlign w:val="center"/>
          </w:tcPr>
          <w:p>
            <w:r/>
            <w:r>
              <w:rPr>
                <w:b w:val="0"/>
                <w:sz w:val="17"/>
              </w:rPr>
              <w:t>Service</w:t>
            </w:r>
          </w:p>
        </w:tc>
        <w:tc>
          <w:tcPr>
            <w:tcW w:type="dxa" w:w="5112"/>
            <w:vAlign w:val="center"/>
          </w:tcPr>
          <w:p>
            <w:r/>
            <w:r>
              <w:rPr>
                <w:b w:val="0"/>
                <w:sz w:val="17"/>
              </w:rPr>
              <w:t>Port, protocol, process, exposure, owner</w:t>
            </w:r>
          </w:p>
        </w:tc>
      </w:tr>
      <w:tr>
        <w:tc>
          <w:tcPr>
            <w:tcW w:type="dxa" w:w="5112"/>
            <w:vAlign w:val="center"/>
          </w:tcPr>
          <w:p>
            <w:r/>
            <w:r>
              <w:rPr>
                <w:b w:val="0"/>
                <w:sz w:val="17"/>
              </w:rPr>
              <w:t>Vulnerability</w:t>
            </w:r>
          </w:p>
        </w:tc>
        <w:tc>
          <w:tcPr>
            <w:tcW w:type="dxa" w:w="5112"/>
            <w:vAlign w:val="center"/>
          </w:tcPr>
          <w:p>
            <w:r/>
            <w:r>
              <w:rPr>
                <w:b w:val="0"/>
                <w:sz w:val="17"/>
              </w:rPr>
              <w:t>Identifier, severity, affected asset, remediation status</w:t>
            </w:r>
          </w:p>
        </w:tc>
      </w:tr>
      <w:tr>
        <w:tc>
          <w:tcPr>
            <w:tcW w:type="dxa" w:w="5112"/>
            <w:vAlign w:val="center"/>
          </w:tcPr>
          <w:p>
            <w:r/>
            <w:r>
              <w:rPr>
                <w:b w:val="0"/>
                <w:sz w:val="17"/>
              </w:rPr>
              <w:t>Risk</w:t>
            </w:r>
          </w:p>
        </w:tc>
        <w:tc>
          <w:tcPr>
            <w:tcW w:type="dxa" w:w="5112"/>
            <w:vAlign w:val="center"/>
          </w:tcPr>
          <w:p>
            <w:r/>
            <w:r>
              <w:rPr>
                <w:b w:val="0"/>
                <w:sz w:val="17"/>
              </w:rPr>
              <w:t>Base risk, observed detections, exposure, confidence, last seen</w:t>
            </w:r>
          </w:p>
        </w:tc>
      </w:tr>
    </w:tbl>
    <w:p/>
    <w:p>
      <w:pPr>
        <w:pStyle w:val="Heading2"/>
      </w:pPr>
      <w:r>
        <w:t>14.1 Risk Context</w:t>
      </w:r>
    </w:p>
    <w:p>
      <w:r>
        <w:t>A low-severity event on a critical asset may require higher priority than a high-severity event on a disposable test asset. The product therefore separates event severity from contextual business risk.</w:t>
      </w:r>
    </w:p>
    <w:p>
      <w:pPr>
        <w:pStyle w:val="Heading1"/>
      </w:pPr>
      <w:r>
        <w:t>15. MITRE ATT&amp;CK Coverage</w:t>
      </w:r>
    </w:p>
    <w:p>
      <w:r>
        <w:t>Every detection should map to an ATT&amp;CK technique where appropriate. The platform should support coverage reporting at tactic, technique and sub-technique levels, including tested, detected, missed and partially detected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color w:val="FFFFFF"/>
              </w:rPr>
            </w:r>
            <w:r>
              <w:rPr>
                <w:b/>
                <w:color w:val="FFFFFF"/>
                <w:sz w:val="18"/>
              </w:rPr>
              <w:t>State</w:t>
            </w:r>
          </w:p>
        </w:tc>
        <w:tc>
          <w:tcPr>
            <w:tcW w:type="dxa" w:w="5112"/>
            <w:vAlign w:val="center"/>
            <w:shd w:fill="1F4E78"/>
          </w:tcPr>
          <w:p>
            <w:r>
              <w:rPr>
                <w:color w:val="FFFFFF"/>
              </w:rPr>
            </w:r>
            <w:r>
              <w:rPr>
                <w:b/>
                <w:color w:val="FFFFFF"/>
                <w:sz w:val="18"/>
              </w:rPr>
              <w:t>Meaning</w:t>
            </w:r>
          </w:p>
        </w:tc>
      </w:tr>
      <w:tr>
        <w:tc>
          <w:tcPr>
            <w:tcW w:type="dxa" w:w="5112"/>
            <w:vAlign w:val="center"/>
          </w:tcPr>
          <w:p>
            <w:r/>
            <w:r>
              <w:rPr>
                <w:b w:val="0"/>
                <w:sz w:val="17"/>
              </w:rPr>
              <w:t>Detected</w:t>
            </w:r>
          </w:p>
        </w:tc>
        <w:tc>
          <w:tcPr>
            <w:tcW w:type="dxa" w:w="5112"/>
            <w:vAlign w:val="center"/>
          </w:tcPr>
          <w:p>
            <w:r/>
            <w:r>
              <w:rPr>
                <w:b w:val="0"/>
                <w:sz w:val="17"/>
              </w:rPr>
              <w:t>Executed behavior generated the expected detection.</w:t>
            </w:r>
          </w:p>
        </w:tc>
      </w:tr>
      <w:tr>
        <w:tc>
          <w:tcPr>
            <w:tcW w:type="dxa" w:w="5112"/>
            <w:vAlign w:val="center"/>
          </w:tcPr>
          <w:p>
            <w:r/>
            <w:r>
              <w:rPr>
                <w:b w:val="0"/>
                <w:sz w:val="17"/>
              </w:rPr>
              <w:t>Partially detected</w:t>
            </w:r>
          </w:p>
        </w:tc>
        <w:tc>
          <w:tcPr>
            <w:tcW w:type="dxa" w:w="5112"/>
            <w:vAlign w:val="center"/>
          </w:tcPr>
          <w:p>
            <w:r/>
            <w:r>
              <w:rPr>
                <w:b w:val="0"/>
                <w:sz w:val="17"/>
              </w:rPr>
              <w:t>Some evidence was detected but important context was missing.</w:t>
            </w:r>
          </w:p>
        </w:tc>
      </w:tr>
      <w:tr>
        <w:tc>
          <w:tcPr>
            <w:tcW w:type="dxa" w:w="5112"/>
            <w:vAlign w:val="center"/>
          </w:tcPr>
          <w:p>
            <w:r/>
            <w:r>
              <w:rPr>
                <w:b w:val="0"/>
                <w:sz w:val="17"/>
              </w:rPr>
              <w:t>Missed</w:t>
            </w:r>
          </w:p>
        </w:tc>
        <w:tc>
          <w:tcPr>
            <w:tcW w:type="dxa" w:w="5112"/>
            <w:vAlign w:val="center"/>
          </w:tcPr>
          <w:p>
            <w:r/>
            <w:r>
              <w:rPr>
                <w:b w:val="0"/>
                <w:sz w:val="17"/>
              </w:rPr>
              <w:t>Behavior executed without an actionable detection.</w:t>
            </w:r>
          </w:p>
        </w:tc>
      </w:tr>
      <w:tr>
        <w:tc>
          <w:tcPr>
            <w:tcW w:type="dxa" w:w="5112"/>
            <w:vAlign w:val="center"/>
          </w:tcPr>
          <w:p>
            <w:r/>
            <w:r>
              <w:rPr>
                <w:b w:val="0"/>
                <w:sz w:val="17"/>
              </w:rPr>
              <w:t>Not tested</w:t>
            </w:r>
          </w:p>
        </w:tc>
        <w:tc>
          <w:tcPr>
            <w:tcW w:type="dxa" w:w="5112"/>
            <w:vAlign w:val="center"/>
          </w:tcPr>
          <w:p>
            <w:r/>
            <w:r>
              <w:rPr>
                <w:b w:val="0"/>
                <w:sz w:val="17"/>
              </w:rPr>
              <w:t>No validation evidence exists.</w:t>
            </w:r>
          </w:p>
        </w:tc>
      </w:tr>
      <w:tr>
        <w:tc>
          <w:tcPr>
            <w:tcW w:type="dxa" w:w="5112"/>
            <w:vAlign w:val="center"/>
          </w:tcPr>
          <w:p>
            <w:r/>
            <w:r>
              <w:rPr>
                <w:b w:val="0"/>
                <w:sz w:val="17"/>
              </w:rPr>
              <w:t>Retired</w:t>
            </w:r>
          </w:p>
        </w:tc>
        <w:tc>
          <w:tcPr>
            <w:tcW w:type="dxa" w:w="5112"/>
            <w:vAlign w:val="center"/>
          </w:tcPr>
          <w:p>
            <w:r/>
            <w:r>
              <w:rPr>
                <w:b w:val="0"/>
                <w:sz w:val="17"/>
              </w:rPr>
              <w:t>Detection previously existed but is no longer supported.</w:t>
            </w:r>
          </w:p>
        </w:tc>
      </w:tr>
    </w:tbl>
    <w:p/>
    <w:p>
      <w:pPr>
        <w:pStyle w:val="Heading1"/>
      </w:pPr>
      <w:r>
        <w:t>16. Dashboards &amp; SOC UX</w:t>
      </w:r>
    </w:p>
    <w:p>
      <w:pPr>
        <w:pStyle w:val="Heading2"/>
      </w:pPr>
      <w:r>
        <w:t>16.1 Executive Dashboard</w:t>
      </w:r>
    </w:p>
    <w:p>
      <w:pPr>
        <w:pStyle w:val="ListBullet"/>
      </w:pPr>
      <w:r>
        <w:t>Open incidents</w:t>
      </w:r>
    </w:p>
    <w:p>
      <w:pPr>
        <w:pStyle w:val="ListBullet"/>
      </w:pPr>
      <w:r>
        <w:t>MTTD/MTTR</w:t>
      </w:r>
    </w:p>
    <w:p>
      <w:pPr>
        <w:pStyle w:val="ListBullet"/>
      </w:pPr>
      <w:r>
        <w:t>Detection coverage</w:t>
      </w:r>
    </w:p>
    <w:p>
      <w:pPr>
        <w:pStyle w:val="ListBullet"/>
      </w:pPr>
      <w:r>
        <w:t>Top techniques</w:t>
      </w:r>
    </w:p>
    <w:p>
      <w:pPr>
        <w:pStyle w:val="ListBullet"/>
      </w:pPr>
      <w:r>
        <w:t>Top assets</w:t>
      </w:r>
    </w:p>
    <w:p>
      <w:pPr>
        <w:pStyle w:val="ListBullet"/>
      </w:pPr>
      <w:r>
        <w:t>Telemetry health</w:t>
      </w:r>
    </w:p>
    <w:p>
      <w:pPr>
        <w:pStyle w:val="ListBullet"/>
      </w:pPr>
      <w:r>
        <w:t>Response success</w:t>
      </w:r>
    </w:p>
    <w:p>
      <w:pPr>
        <w:pStyle w:val="ListBullet"/>
      </w:pPr>
      <w:r>
        <w:t>Alert volume</w:t>
      </w:r>
    </w:p>
    <w:p>
      <w:pPr>
        <w:pStyle w:val="Heading2"/>
      </w:pPr>
      <w:r>
        <w:t>16.2 Analyst Dashboard</w:t>
      </w:r>
    </w:p>
    <w:p>
      <w:pPr>
        <w:pStyle w:val="ListBullet"/>
      </w:pPr>
      <w:r>
        <w:t>Priority queue</w:t>
      </w:r>
    </w:p>
    <w:p>
      <w:pPr>
        <w:pStyle w:val="ListBullet"/>
      </w:pPr>
      <w:r>
        <w:t>Unassigned alerts</w:t>
      </w:r>
    </w:p>
    <w:p>
      <w:pPr>
        <w:pStyle w:val="ListBullet"/>
      </w:pPr>
      <w:r>
        <w:t>SLA timers</w:t>
      </w:r>
    </w:p>
    <w:p>
      <w:pPr>
        <w:pStyle w:val="ListBullet"/>
      </w:pPr>
      <w:r>
        <w:t>Recent high-confidence detections</w:t>
      </w:r>
    </w:p>
    <w:p>
      <w:pPr>
        <w:pStyle w:val="ListBullet"/>
      </w:pPr>
      <w:r>
        <w:t>Investigation shortcuts</w:t>
      </w:r>
    </w:p>
    <w:p>
      <w:pPr>
        <w:pStyle w:val="ListBullet"/>
      </w:pPr>
      <w:r>
        <w:t>Current incidents</w:t>
      </w:r>
    </w:p>
    <w:p>
      <w:pPr>
        <w:pStyle w:val="Heading2"/>
      </w:pPr>
      <w:r>
        <w:t>16.3 Detection Engineer Dashboard</w:t>
      </w:r>
    </w:p>
    <w:p>
      <w:pPr>
        <w:pStyle w:val="ListBullet"/>
      </w:pPr>
      <w:r>
        <w:t>Detection coverage</w:t>
      </w:r>
    </w:p>
    <w:p>
      <w:pPr>
        <w:pStyle w:val="ListBullet"/>
      </w:pPr>
      <w:r>
        <w:t>Missed-technique queue</w:t>
      </w:r>
    </w:p>
    <w:p>
      <w:pPr>
        <w:pStyle w:val="ListBullet"/>
      </w:pPr>
      <w:r>
        <w:t>Rule performance</w:t>
      </w:r>
    </w:p>
    <w:p>
      <w:pPr>
        <w:pStyle w:val="ListBullet"/>
      </w:pPr>
      <w:r>
        <w:t>False-positive rate</w:t>
      </w:r>
    </w:p>
    <w:p>
      <w:pPr>
        <w:pStyle w:val="ListBullet"/>
      </w:pPr>
      <w:r>
        <w:t>Rule versions</w:t>
      </w:r>
    </w:p>
    <w:p>
      <w:pPr>
        <w:pStyle w:val="ListBullet"/>
      </w:pPr>
      <w:r>
        <w:t>Validation status</w:t>
      </w:r>
    </w:p>
    <w:p>
      <w:pPr>
        <w:pStyle w:val="Heading2"/>
      </w:pPr>
      <w:r>
        <w:t>16.4 Required UX Principles</w:t>
      </w:r>
    </w:p>
    <w:p>
      <w:pPr>
        <w:pStyle w:val="ListBullet"/>
      </w:pPr>
      <w:r>
        <w:t>An analyst should reach raw evidence within two interactions from an alert.</w:t>
      </w:r>
    </w:p>
    <w:p>
      <w:pPr>
        <w:pStyle w:val="ListBullet"/>
      </w:pPr>
      <w:r>
        <w:t>Every automated action must show why it was triggered.</w:t>
      </w:r>
    </w:p>
    <w:p>
      <w:pPr>
        <w:pStyle w:val="ListBullet"/>
      </w:pPr>
      <w:r>
        <w:t>Never hide the raw event behind an opaque AI score.</w:t>
      </w:r>
    </w:p>
    <w:p>
      <w:pPr>
        <w:pStyle w:val="ListBullet"/>
      </w:pPr>
      <w:r>
        <w:t>Critical actions require visible approval state.</w:t>
      </w:r>
    </w:p>
    <w:p>
      <w:pPr>
        <w:pStyle w:val="ListBullet"/>
      </w:pPr>
      <w:r>
        <w:t>Time, identity and asset context should remain visible during investigation.</w:t>
      </w:r>
    </w:p>
    <w:p>
      <w:pPr>
        <w:pStyle w:val="Heading1"/>
      </w:pPr>
      <w:r>
        <w:t>17. API &amp; Integration Contract</w:t>
      </w:r>
    </w:p>
    <w:p>
      <w:pPr>
        <w:pStyle w:val="Heading2"/>
      </w:pPr>
      <w:r>
        <w:t>17.1 API Domains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color w:val="FFFFFF"/>
              </w:rPr>
            </w:r>
            <w:r>
              <w:rPr>
                <w:b/>
                <w:color w:val="FFFFFF"/>
                <w:sz w:val="18"/>
              </w:rPr>
              <w:t>API Group</w:t>
            </w:r>
          </w:p>
        </w:tc>
        <w:tc>
          <w:tcPr>
            <w:tcW w:type="dxa" w:w="5112"/>
            <w:vAlign w:val="center"/>
            <w:shd w:fill="1F4E78"/>
          </w:tcPr>
          <w:p>
            <w:r>
              <w:rPr>
                <w:color w:val="FFFFFF"/>
              </w:rPr>
            </w:r>
            <w:r>
              <w:rPr>
                <w:b/>
                <w:color w:val="FFFFFF"/>
                <w:sz w:val="18"/>
              </w:rPr>
              <w:t>Representative Endpoints</w:t>
            </w:r>
          </w:p>
        </w:tc>
      </w:tr>
      <w:tr>
        <w:tc>
          <w:tcPr>
            <w:tcW w:type="dxa" w:w="5112"/>
            <w:vAlign w:val="center"/>
          </w:tcPr>
          <w:p>
            <w:r/>
            <w:r>
              <w:rPr>
                <w:b w:val="0"/>
                <w:sz w:val="17"/>
              </w:rPr>
              <w:t>Auth</w:t>
            </w:r>
          </w:p>
        </w:tc>
        <w:tc>
          <w:tcPr>
            <w:tcW w:type="dxa" w:w="5112"/>
            <w:vAlign w:val="center"/>
          </w:tcPr>
          <w:p>
            <w:r/>
            <w:r>
              <w:rPr>
                <w:b w:val="0"/>
                <w:sz w:val="17"/>
              </w:rPr>
              <w:t>/api/v1/auth/login, /api/v1/auth/refresh</w:t>
            </w:r>
          </w:p>
        </w:tc>
      </w:tr>
      <w:tr>
        <w:tc>
          <w:tcPr>
            <w:tcW w:type="dxa" w:w="5112"/>
            <w:vAlign w:val="center"/>
          </w:tcPr>
          <w:p>
            <w:r/>
            <w:r>
              <w:rPr>
                <w:b w:val="0"/>
                <w:sz w:val="17"/>
              </w:rPr>
              <w:t>Alerts</w:t>
            </w:r>
          </w:p>
        </w:tc>
        <w:tc>
          <w:tcPr>
            <w:tcW w:type="dxa" w:w="5112"/>
            <w:vAlign w:val="center"/>
          </w:tcPr>
          <w:p>
            <w:r/>
            <w:r>
              <w:rPr>
                <w:b w:val="0"/>
                <w:sz w:val="17"/>
              </w:rPr>
              <w:t>/api/v1/alerts, /api/v1/alerts/{id}</w:t>
            </w:r>
          </w:p>
        </w:tc>
      </w:tr>
      <w:tr>
        <w:tc>
          <w:tcPr>
            <w:tcW w:type="dxa" w:w="5112"/>
            <w:vAlign w:val="center"/>
          </w:tcPr>
          <w:p>
            <w:r/>
            <w:r>
              <w:rPr>
                <w:b w:val="0"/>
                <w:sz w:val="17"/>
              </w:rPr>
              <w:t>Cases</w:t>
            </w:r>
          </w:p>
        </w:tc>
        <w:tc>
          <w:tcPr>
            <w:tcW w:type="dxa" w:w="5112"/>
            <w:vAlign w:val="center"/>
          </w:tcPr>
          <w:p>
            <w:r/>
            <w:r>
              <w:rPr>
                <w:b w:val="0"/>
                <w:sz w:val="17"/>
              </w:rPr>
              <w:t>/api/v1/cases, /api/v1/cases/{id}/timeline</w:t>
            </w:r>
          </w:p>
        </w:tc>
      </w:tr>
      <w:tr>
        <w:tc>
          <w:tcPr>
            <w:tcW w:type="dxa" w:w="5112"/>
            <w:vAlign w:val="center"/>
          </w:tcPr>
          <w:p>
            <w:r/>
            <w:r>
              <w:rPr>
                <w:b w:val="0"/>
                <w:sz w:val="17"/>
              </w:rPr>
              <w:t>Events</w:t>
            </w:r>
          </w:p>
        </w:tc>
        <w:tc>
          <w:tcPr>
            <w:tcW w:type="dxa" w:w="5112"/>
            <w:vAlign w:val="center"/>
          </w:tcPr>
          <w:p>
            <w:r/>
            <w:r>
              <w:rPr>
                <w:b w:val="0"/>
                <w:sz w:val="17"/>
              </w:rPr>
              <w:t>/api/v1/events/search</w:t>
            </w:r>
          </w:p>
        </w:tc>
      </w:tr>
      <w:tr>
        <w:tc>
          <w:tcPr>
            <w:tcW w:type="dxa" w:w="5112"/>
            <w:vAlign w:val="center"/>
          </w:tcPr>
          <w:p>
            <w:r/>
            <w:r>
              <w:rPr>
                <w:b w:val="0"/>
                <w:sz w:val="17"/>
              </w:rPr>
              <w:t>Assets</w:t>
            </w:r>
          </w:p>
        </w:tc>
        <w:tc>
          <w:tcPr>
            <w:tcW w:type="dxa" w:w="5112"/>
            <w:vAlign w:val="center"/>
          </w:tcPr>
          <w:p>
            <w:r/>
            <w:r>
              <w:rPr>
                <w:b w:val="0"/>
                <w:sz w:val="17"/>
              </w:rPr>
              <w:t>/api/v1/assets, /api/v1/assets/{id}</w:t>
            </w:r>
          </w:p>
        </w:tc>
      </w:tr>
      <w:tr>
        <w:tc>
          <w:tcPr>
            <w:tcW w:type="dxa" w:w="5112"/>
            <w:vAlign w:val="center"/>
          </w:tcPr>
          <w:p>
            <w:r/>
            <w:r>
              <w:rPr>
                <w:b w:val="0"/>
                <w:sz w:val="17"/>
              </w:rPr>
              <w:t>Detections</w:t>
            </w:r>
          </w:p>
        </w:tc>
        <w:tc>
          <w:tcPr>
            <w:tcW w:type="dxa" w:w="5112"/>
            <w:vAlign w:val="center"/>
          </w:tcPr>
          <w:p>
            <w:r/>
            <w:r>
              <w:rPr>
                <w:b w:val="0"/>
                <w:sz w:val="17"/>
              </w:rPr>
              <w:t>/api/v1/detections, /api/v1/detections/{id}/versions</w:t>
            </w:r>
          </w:p>
        </w:tc>
      </w:tr>
      <w:tr>
        <w:tc>
          <w:tcPr>
            <w:tcW w:type="dxa" w:w="5112"/>
            <w:vAlign w:val="center"/>
          </w:tcPr>
          <w:p>
            <w:r/>
            <w:r>
              <w:rPr>
                <w:b w:val="0"/>
                <w:sz w:val="17"/>
              </w:rPr>
              <w:t>Hunts</w:t>
            </w:r>
          </w:p>
        </w:tc>
        <w:tc>
          <w:tcPr>
            <w:tcW w:type="dxa" w:w="5112"/>
            <w:vAlign w:val="center"/>
          </w:tcPr>
          <w:p>
            <w:r/>
            <w:r>
              <w:rPr>
                <w:b w:val="0"/>
                <w:sz w:val="17"/>
              </w:rPr>
              <w:t>/api/v1/hunts, /api/v1/hunts/{id}/results</w:t>
            </w:r>
          </w:p>
        </w:tc>
      </w:tr>
      <w:tr>
        <w:tc>
          <w:tcPr>
            <w:tcW w:type="dxa" w:w="5112"/>
            <w:vAlign w:val="center"/>
          </w:tcPr>
          <w:p>
            <w:r/>
            <w:r>
              <w:rPr>
                <w:b w:val="0"/>
                <w:sz w:val="17"/>
              </w:rPr>
              <w:t>Playbooks</w:t>
            </w:r>
          </w:p>
        </w:tc>
        <w:tc>
          <w:tcPr>
            <w:tcW w:type="dxa" w:w="5112"/>
            <w:vAlign w:val="center"/>
          </w:tcPr>
          <w:p>
            <w:r/>
            <w:r>
              <w:rPr>
                <w:b w:val="0"/>
                <w:sz w:val="17"/>
              </w:rPr>
              <w:t>/api/v1/playbooks, /api/v1/playbooks/{id}/runs</w:t>
            </w:r>
          </w:p>
        </w:tc>
      </w:tr>
      <w:tr>
        <w:tc>
          <w:tcPr>
            <w:tcW w:type="dxa" w:w="5112"/>
            <w:vAlign w:val="center"/>
          </w:tcPr>
          <w:p>
            <w:r/>
            <w:r>
              <w:rPr>
                <w:b w:val="0"/>
                <w:sz w:val="17"/>
              </w:rPr>
              <w:t>Threat Intel</w:t>
            </w:r>
          </w:p>
        </w:tc>
        <w:tc>
          <w:tcPr>
            <w:tcW w:type="dxa" w:w="5112"/>
            <w:vAlign w:val="center"/>
          </w:tcPr>
          <w:p>
            <w:r/>
            <w:r>
              <w:rPr>
                <w:b w:val="0"/>
                <w:sz w:val="17"/>
              </w:rPr>
              <w:t>/api/v1/intel/iocs, /api/v1/intel/enrich</w:t>
            </w:r>
          </w:p>
        </w:tc>
      </w:tr>
      <w:tr>
        <w:tc>
          <w:tcPr>
            <w:tcW w:type="dxa" w:w="5112"/>
            <w:vAlign w:val="center"/>
          </w:tcPr>
          <w:p>
            <w:r/>
            <w:r>
              <w:rPr>
                <w:b w:val="0"/>
                <w:sz w:val="17"/>
              </w:rPr>
              <w:t>Reports</w:t>
            </w:r>
          </w:p>
        </w:tc>
        <w:tc>
          <w:tcPr>
            <w:tcW w:type="dxa" w:w="5112"/>
            <w:vAlign w:val="center"/>
          </w:tcPr>
          <w:p>
            <w:r/>
            <w:r>
              <w:rPr>
                <w:b w:val="0"/>
                <w:sz w:val="17"/>
              </w:rPr>
              <w:t>/api/v1/reports, /api/v1/reports/{id}/export</w:t>
            </w:r>
          </w:p>
        </w:tc>
      </w:tr>
      <w:tr>
        <w:tc>
          <w:tcPr>
            <w:tcW w:type="dxa" w:w="5112"/>
            <w:vAlign w:val="center"/>
          </w:tcPr>
          <w:p>
            <w:r/>
            <w:r>
              <w:rPr>
                <w:b w:val="0"/>
                <w:sz w:val="17"/>
              </w:rPr>
              <w:t>Health</w:t>
            </w:r>
          </w:p>
        </w:tc>
        <w:tc>
          <w:tcPr>
            <w:tcW w:type="dxa" w:w="5112"/>
            <w:vAlign w:val="center"/>
          </w:tcPr>
          <w:p>
            <w:r/>
            <w:r>
              <w:rPr>
                <w:b w:val="0"/>
                <w:sz w:val="17"/>
              </w:rPr>
              <w:t>/api/v1/health, /api/v1/metrics</w:t>
            </w:r>
          </w:p>
        </w:tc>
      </w:tr>
    </w:tbl>
    <w:p/>
    <w:p>
      <w:pPr>
        <w:pStyle w:val="Heading2"/>
      </w:pPr>
      <w:r>
        <w:t>17.2 API Requirements</w:t>
      </w:r>
    </w:p>
    <w:p>
      <w:pPr>
        <w:pStyle w:val="ListBullet"/>
      </w:pPr>
      <w:r>
        <w:t>Versioned endpoints.</w:t>
      </w:r>
    </w:p>
    <w:p>
      <w:pPr>
        <w:pStyle w:val="ListBullet"/>
      </w:pPr>
      <w:r>
        <w:t>Authentication and authorization on every protected route.</w:t>
      </w:r>
    </w:p>
    <w:p>
      <w:pPr>
        <w:pStyle w:val="ListBullet"/>
      </w:pPr>
      <w:r>
        <w:t>Request validation and bounded query ranges.</w:t>
      </w:r>
    </w:p>
    <w:p>
      <w:pPr>
        <w:pStyle w:val="ListBullet"/>
      </w:pPr>
      <w:r>
        <w:t>Pagination for list endpoints.</w:t>
      </w:r>
    </w:p>
    <w:p>
      <w:pPr>
        <w:pStyle w:val="ListBullet"/>
      </w:pPr>
      <w:r>
        <w:t>Consistent error schema.</w:t>
      </w:r>
    </w:p>
    <w:p>
      <w:pPr>
        <w:pStyle w:val="ListBullet"/>
      </w:pPr>
      <w:r>
        <w:t>Correlation/request ID.</w:t>
      </w:r>
    </w:p>
    <w:p>
      <w:pPr>
        <w:pStyle w:val="ListBullet"/>
      </w:pPr>
      <w:r>
        <w:t>Audit logging for mutations.</w:t>
      </w:r>
    </w:p>
    <w:p>
      <w:pPr>
        <w:pStyle w:val="ListBullet"/>
      </w:pPr>
      <w:r>
        <w:t>Rate limiting for exposed interfaces.</w:t>
      </w:r>
    </w:p>
    <w:p>
      <w:pPr>
        <w:pStyle w:val="Heading1"/>
      </w:pPr>
      <w:r>
        <w:t>18. Data Model</w:t>
      </w:r>
    </w:p>
    <w:p>
      <w:pPr>
        <w:pStyle w:val="Heading2"/>
      </w:pPr>
      <w:r>
        <w:t>18.1 Core Entities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color w:val="FFFFFF"/>
              </w:rPr>
            </w:r>
            <w:r>
              <w:rPr>
                <w:b/>
                <w:color w:val="FFFFFF"/>
                <w:sz w:val="18"/>
              </w:rPr>
              <w:t>Entity</w:t>
            </w:r>
          </w:p>
        </w:tc>
        <w:tc>
          <w:tcPr>
            <w:tcW w:type="dxa" w:w="5112"/>
            <w:vAlign w:val="center"/>
            <w:shd w:fill="1F4E78"/>
          </w:tcPr>
          <w:p>
            <w:r>
              <w:rPr>
                <w:color w:val="FFFFFF"/>
              </w:rPr>
            </w:r>
            <w:r>
              <w:rPr>
                <w:b/>
                <w:color w:val="FFFFFF"/>
                <w:sz w:val="18"/>
              </w:rPr>
              <w:t>Relationships</w:t>
            </w:r>
          </w:p>
        </w:tc>
      </w:tr>
      <w:tr>
        <w:tc>
          <w:tcPr>
            <w:tcW w:type="dxa" w:w="5112"/>
            <w:vAlign w:val="center"/>
          </w:tcPr>
          <w:p>
            <w:r/>
            <w:r>
              <w:rPr>
                <w:b w:val="0"/>
                <w:sz w:val="17"/>
              </w:rPr>
              <w:t>Event</w:t>
            </w:r>
          </w:p>
        </w:tc>
        <w:tc>
          <w:tcPr>
            <w:tcW w:type="dxa" w:w="5112"/>
            <w:vAlign w:val="center"/>
          </w:tcPr>
          <w:p>
            <w:r/>
            <w:r>
              <w:rPr>
                <w:b w:val="0"/>
                <w:sz w:val="17"/>
              </w:rPr>
              <w:t>belongs to Source/Asset; may trigger Detection</w:t>
            </w:r>
          </w:p>
        </w:tc>
      </w:tr>
      <w:tr>
        <w:tc>
          <w:tcPr>
            <w:tcW w:type="dxa" w:w="5112"/>
            <w:vAlign w:val="center"/>
          </w:tcPr>
          <w:p>
            <w:r/>
            <w:r>
              <w:rPr>
                <w:b w:val="0"/>
                <w:sz w:val="17"/>
              </w:rPr>
              <w:t>Detection</w:t>
            </w:r>
          </w:p>
        </w:tc>
        <w:tc>
          <w:tcPr>
            <w:tcW w:type="dxa" w:w="5112"/>
            <w:vAlign w:val="center"/>
          </w:tcPr>
          <w:p>
            <w:r/>
            <w:r>
              <w:rPr>
                <w:b w:val="0"/>
                <w:sz w:val="17"/>
              </w:rPr>
              <w:t>maps to ATT&amp;CK; generates Alert</w:t>
            </w:r>
          </w:p>
        </w:tc>
      </w:tr>
      <w:tr>
        <w:tc>
          <w:tcPr>
            <w:tcW w:type="dxa" w:w="5112"/>
            <w:vAlign w:val="center"/>
          </w:tcPr>
          <w:p>
            <w:r/>
            <w:r>
              <w:rPr>
                <w:b w:val="0"/>
                <w:sz w:val="17"/>
              </w:rPr>
              <w:t>Alert</w:t>
            </w:r>
          </w:p>
        </w:tc>
        <w:tc>
          <w:tcPr>
            <w:tcW w:type="dxa" w:w="5112"/>
            <w:vAlign w:val="center"/>
          </w:tcPr>
          <w:p>
            <w:r/>
            <w:r>
              <w:rPr>
                <w:b w:val="0"/>
                <w:sz w:val="17"/>
              </w:rPr>
              <w:t>references Events, Assets, Users and IOCs</w:t>
            </w:r>
          </w:p>
        </w:tc>
      </w:tr>
      <w:tr>
        <w:tc>
          <w:tcPr>
            <w:tcW w:type="dxa" w:w="5112"/>
            <w:vAlign w:val="center"/>
          </w:tcPr>
          <w:p>
            <w:r/>
            <w:r>
              <w:rPr>
                <w:b w:val="0"/>
                <w:sz w:val="17"/>
              </w:rPr>
              <w:t>Case</w:t>
            </w:r>
          </w:p>
        </w:tc>
        <w:tc>
          <w:tcPr>
            <w:tcW w:type="dxa" w:w="5112"/>
            <w:vAlign w:val="center"/>
          </w:tcPr>
          <w:p>
            <w:r/>
            <w:r>
              <w:rPr>
                <w:b w:val="0"/>
                <w:sz w:val="17"/>
              </w:rPr>
              <w:t>contains Alerts, Evidence, Tasks, IOCs and Timeline entries</w:t>
            </w:r>
          </w:p>
        </w:tc>
      </w:tr>
      <w:tr>
        <w:tc>
          <w:tcPr>
            <w:tcW w:type="dxa" w:w="5112"/>
            <w:vAlign w:val="center"/>
          </w:tcPr>
          <w:p>
            <w:r/>
            <w:r>
              <w:rPr>
                <w:b w:val="0"/>
                <w:sz w:val="17"/>
              </w:rPr>
              <w:t>Asset</w:t>
            </w:r>
          </w:p>
        </w:tc>
        <w:tc>
          <w:tcPr>
            <w:tcW w:type="dxa" w:w="5112"/>
            <w:vAlign w:val="center"/>
          </w:tcPr>
          <w:p>
            <w:r/>
            <w:r>
              <w:rPr>
                <w:b w:val="0"/>
                <w:sz w:val="17"/>
              </w:rPr>
              <w:t>generates Events and has Risk/Vulnerability context</w:t>
            </w:r>
          </w:p>
        </w:tc>
      </w:tr>
      <w:tr>
        <w:tc>
          <w:tcPr>
            <w:tcW w:type="dxa" w:w="5112"/>
            <w:vAlign w:val="center"/>
          </w:tcPr>
          <w:p>
            <w:r/>
            <w:r>
              <w:rPr>
                <w:b w:val="0"/>
                <w:sz w:val="17"/>
              </w:rPr>
              <w:t>IOC</w:t>
            </w:r>
          </w:p>
        </w:tc>
        <w:tc>
          <w:tcPr>
            <w:tcW w:type="dxa" w:w="5112"/>
            <w:vAlign w:val="center"/>
          </w:tcPr>
          <w:p>
            <w:r/>
            <w:r>
              <w:rPr>
                <w:b w:val="0"/>
                <w:sz w:val="17"/>
              </w:rPr>
              <w:t>linked to Alerts, Cases and Intelligence sources</w:t>
            </w:r>
          </w:p>
        </w:tc>
      </w:tr>
      <w:tr>
        <w:tc>
          <w:tcPr>
            <w:tcW w:type="dxa" w:w="5112"/>
            <w:vAlign w:val="center"/>
          </w:tcPr>
          <w:p>
            <w:r/>
            <w:r>
              <w:rPr>
                <w:b w:val="0"/>
                <w:sz w:val="17"/>
              </w:rPr>
              <w:t>Playbook</w:t>
            </w:r>
          </w:p>
        </w:tc>
        <w:tc>
          <w:tcPr>
            <w:tcW w:type="dxa" w:w="5112"/>
            <w:vAlign w:val="center"/>
          </w:tcPr>
          <w:p>
            <w:r/>
            <w:r>
              <w:rPr>
                <w:b w:val="0"/>
                <w:sz w:val="17"/>
              </w:rPr>
              <w:t>triggered by Alert/Case policy and produces Action Runs</w:t>
            </w:r>
          </w:p>
        </w:tc>
      </w:tr>
      <w:tr>
        <w:tc>
          <w:tcPr>
            <w:tcW w:type="dxa" w:w="5112"/>
            <w:vAlign w:val="center"/>
          </w:tcPr>
          <w:p>
            <w:r/>
            <w:r>
              <w:rPr>
                <w:b w:val="0"/>
                <w:sz w:val="17"/>
              </w:rPr>
              <w:t>Action Run</w:t>
            </w:r>
          </w:p>
        </w:tc>
        <w:tc>
          <w:tcPr>
            <w:tcW w:type="dxa" w:w="5112"/>
            <w:vAlign w:val="center"/>
          </w:tcPr>
          <w:p>
            <w:r/>
            <w:r>
              <w:rPr>
                <w:b w:val="0"/>
                <w:sz w:val="17"/>
              </w:rPr>
              <w:t>belongs to Playbook and Case; creates Audit entries</w:t>
            </w:r>
          </w:p>
        </w:tc>
      </w:tr>
      <w:tr>
        <w:tc>
          <w:tcPr>
            <w:tcW w:type="dxa" w:w="5112"/>
            <w:vAlign w:val="center"/>
          </w:tcPr>
          <w:p>
            <w:r/>
            <w:r>
              <w:rPr>
                <w:b w:val="0"/>
                <w:sz w:val="17"/>
              </w:rPr>
              <w:t>Audit Event</w:t>
            </w:r>
          </w:p>
        </w:tc>
        <w:tc>
          <w:tcPr>
            <w:tcW w:type="dxa" w:w="5112"/>
            <w:vAlign w:val="center"/>
          </w:tcPr>
          <w:p>
            <w:r/>
            <w:r>
              <w:rPr>
                <w:b w:val="0"/>
                <w:sz w:val="17"/>
              </w:rPr>
              <w:t>records administrative or security-sensitive activity</w:t>
            </w:r>
          </w:p>
        </w:tc>
      </w:tr>
    </w:tbl>
    <w:p/>
    <w:p>
      <w:pPr>
        <w:pStyle w:val="Heading2"/>
      </w:pPr>
      <w:r>
        <w:t>18.2 Wazuh Event Context</w:t>
      </w:r>
    </w:p>
    <w:p>
      <w:r>
        <w:t>The supplied design identifies rule.id, rule.description, rule.level, rule.groups, rule.mitre.id, agent identity, source/destination IP, full_log and timestamp as core investigation fields. These should remain directly accessible in the professional analyst workflow. fileciteturn0file0L235-L247</w:t>
      </w:r>
    </w:p>
    <w:p>
      <w:pPr>
        <w:pStyle w:val="Heading1"/>
      </w:pPr>
      <w:r>
        <w:t>19. Security Architecture</w:t>
      </w:r>
    </w:p>
    <w:p>
      <w:pPr>
        <w:pStyle w:val="Heading2"/>
      </w:pPr>
      <w:r>
        <w:t>19.1 Secure-by-Design Controls</w:t>
      </w:r>
    </w:p>
    <w:p>
      <w:pPr>
        <w:pStyle w:val="ListBullet"/>
      </w:pPr>
      <w:r>
        <w:t>Default-deny network boundaries.</w:t>
      </w:r>
    </w:p>
    <w:p>
      <w:pPr>
        <w:pStyle w:val="ListBullet"/>
      </w:pPr>
      <w:r>
        <w:t>No public exposure for lab services.</w:t>
      </w:r>
    </w:p>
    <w:p>
      <w:pPr>
        <w:pStyle w:val="ListBullet"/>
      </w:pPr>
      <w:r>
        <w:t>Secrets outside source control.</w:t>
      </w:r>
    </w:p>
    <w:p>
      <w:pPr>
        <w:pStyle w:val="ListBullet"/>
      </w:pPr>
      <w:r>
        <w:t>Least-privilege containers and service accounts.</w:t>
      </w:r>
    </w:p>
    <w:p>
      <w:pPr>
        <w:pStyle w:val="ListBullet"/>
      </w:pPr>
      <w:r>
        <w:t>Pinned/reviewed container images.</w:t>
      </w:r>
    </w:p>
    <w:p>
      <w:pPr>
        <w:pStyle w:val="ListBullet"/>
      </w:pPr>
      <w:r>
        <w:t>Signed or checksum-verified release artifacts where possible.</w:t>
      </w:r>
    </w:p>
    <w:p>
      <w:pPr>
        <w:pStyle w:val="ListBullet"/>
      </w:pPr>
      <w:r>
        <w:t>RBAC and MFA in commercial deployment.</w:t>
      </w:r>
    </w:p>
    <w:p>
      <w:pPr>
        <w:pStyle w:val="ListBullet"/>
      </w:pPr>
      <w:r>
        <w:t>Immutable audit logging for sensitive actions.</w:t>
      </w:r>
    </w:p>
    <w:p>
      <w:pPr>
        <w:pStyle w:val="ListBullet"/>
      </w:pPr>
      <w:r>
        <w:t>Input validation on ingestion and APIs.</w:t>
      </w:r>
    </w:p>
    <w:p>
      <w:pPr>
        <w:pStyle w:val="ListBullet"/>
      </w:pPr>
      <w:r>
        <w:t>Rate limits and resource quotas.</w:t>
      </w:r>
    </w:p>
    <w:p>
      <w:pPr>
        <w:pStyle w:val="ListBullet"/>
      </w:pPr>
      <w:r>
        <w:t>Encrypted transport for remote collectors.</w:t>
      </w:r>
    </w:p>
    <w:p>
      <w:pPr>
        <w:pStyle w:val="ListBullet"/>
      </w:pPr>
      <w:r>
        <w:t>Encrypted storage for sensitive evidence.</w:t>
      </w:r>
    </w:p>
    <w:p>
      <w:pPr>
        <w:pStyle w:val="ListBullet"/>
      </w:pPr>
      <w:r>
        <w:t>Backup and restore testing.</w:t>
      </w:r>
    </w:p>
    <w:p>
      <w:pPr>
        <w:pStyle w:val="Heading2"/>
      </w:pPr>
      <w:r>
        <w:t>19.2 Lab Isolation</w:t>
      </w:r>
    </w:p>
    <w:p>
      <w:r>
        <w:rPr>
          <w:b/>
          <w:color w:val="1F4E79"/>
        </w:rPr>
        <w:t xml:space="preserve">Source security requirement: </w:t>
      </w:r>
      <w:r>
        <w:t>The supplied proposal requires internal Docker networking, localhost-only published services, no LAN/public exposure, current images, non-root execution where possible and reset/snapshot discipline. fileciteturn0file0L179-L196</w:t>
      </w:r>
    </w:p>
    <w:p>
      <w:pPr>
        <w:pStyle w:val="Heading1"/>
      </w:pPr>
      <w:r>
        <w:t>20. Reliability, Performance &amp; Scalability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8"/>
              </w:rPr>
              <w:t>Dimension</w:t>
            </w:r>
          </w:p>
        </w:tc>
        <w:tc>
          <w:tcPr>
            <w:tcW w:type="dxa" w:w="3408"/>
            <w:vAlign w:val="center"/>
            <w:shd w:fill="1F4E78"/>
          </w:tcPr>
          <w:p>
            <w:r>
              <w:rPr>
                <w:color w:val="FFFFFF"/>
              </w:rPr>
            </w:r>
            <w:r>
              <w:rPr>
                <w:b/>
                <w:color w:val="FFFFFF"/>
                <w:sz w:val="18"/>
              </w:rPr>
              <w:t>MVP Target</w:t>
            </w:r>
          </w:p>
        </w:tc>
        <w:tc>
          <w:tcPr>
            <w:tcW w:type="dxa" w:w="3408"/>
            <w:vAlign w:val="center"/>
            <w:shd w:fill="1F4E78"/>
          </w:tcPr>
          <w:p>
            <w:r>
              <w:rPr>
                <w:color w:val="FFFFFF"/>
              </w:rPr>
            </w:r>
            <w:r>
              <w:rPr>
                <w:b/>
                <w:color w:val="FFFFFF"/>
                <w:sz w:val="18"/>
              </w:rPr>
              <w:t>Commercial Target</w:t>
            </w:r>
          </w:p>
        </w:tc>
      </w:tr>
      <w:tr>
        <w:tc>
          <w:tcPr>
            <w:tcW w:type="dxa" w:w="3408"/>
            <w:vAlign w:val="center"/>
          </w:tcPr>
          <w:p>
            <w:r/>
            <w:r>
              <w:rPr>
                <w:b w:val="0"/>
                <w:sz w:val="17"/>
              </w:rPr>
              <w:t>Alert latency</w:t>
            </w:r>
          </w:p>
        </w:tc>
        <w:tc>
          <w:tcPr>
            <w:tcW w:type="dxa" w:w="3408"/>
            <w:vAlign w:val="center"/>
          </w:tcPr>
          <w:p>
            <w:r/>
            <w:r>
              <w:rPr>
                <w:b w:val="0"/>
                <w:sz w:val="17"/>
              </w:rPr>
              <w:t>&lt;60s validation gate</w:t>
            </w:r>
          </w:p>
        </w:tc>
        <w:tc>
          <w:tcPr>
            <w:tcW w:type="dxa" w:w="3408"/>
            <w:vAlign w:val="center"/>
          </w:tcPr>
          <w:p>
            <w:r/>
            <w:r>
              <w:rPr>
                <w:b w:val="0"/>
                <w:sz w:val="17"/>
              </w:rPr>
              <w:t>Near-real-time; SLO defined per source class</w:t>
            </w:r>
          </w:p>
        </w:tc>
      </w:tr>
      <w:tr>
        <w:tc>
          <w:tcPr>
            <w:tcW w:type="dxa" w:w="3408"/>
            <w:vAlign w:val="center"/>
          </w:tcPr>
          <w:p>
            <w:r/>
            <w:r>
              <w:rPr>
                <w:b w:val="0"/>
                <w:sz w:val="17"/>
              </w:rPr>
              <w:t>API availability</w:t>
            </w:r>
          </w:p>
        </w:tc>
        <w:tc>
          <w:tcPr>
            <w:tcW w:type="dxa" w:w="3408"/>
            <w:vAlign w:val="center"/>
          </w:tcPr>
          <w:p>
            <w:r/>
            <w:r>
              <w:rPr>
                <w:b w:val="0"/>
                <w:sz w:val="17"/>
              </w:rPr>
              <w:t>Best effort</w:t>
            </w:r>
          </w:p>
        </w:tc>
        <w:tc>
          <w:tcPr>
            <w:tcW w:type="dxa" w:w="3408"/>
            <w:vAlign w:val="center"/>
          </w:tcPr>
          <w:p>
            <w:r/>
            <w:r>
              <w:rPr>
                <w:b w:val="0"/>
                <w:sz w:val="17"/>
              </w:rPr>
              <w:t>≥99.9% for core API in HA deployment</w:t>
            </w:r>
          </w:p>
        </w:tc>
      </w:tr>
      <w:tr>
        <w:tc>
          <w:tcPr>
            <w:tcW w:type="dxa" w:w="3408"/>
            <w:vAlign w:val="center"/>
          </w:tcPr>
          <w:p>
            <w:r/>
            <w:r>
              <w:rPr>
                <w:b w:val="0"/>
                <w:sz w:val="17"/>
              </w:rPr>
              <w:t>Data durability</w:t>
            </w:r>
          </w:p>
        </w:tc>
        <w:tc>
          <w:tcPr>
            <w:tcW w:type="dxa" w:w="3408"/>
            <w:vAlign w:val="center"/>
          </w:tcPr>
          <w:p>
            <w:r/>
            <w:r>
              <w:rPr>
                <w:b w:val="0"/>
                <w:sz w:val="17"/>
              </w:rPr>
              <w:t>Docker volume backups</w:t>
            </w:r>
          </w:p>
        </w:tc>
        <w:tc>
          <w:tcPr>
            <w:tcW w:type="dxa" w:w="3408"/>
            <w:vAlign w:val="center"/>
          </w:tcPr>
          <w:p>
            <w:r/>
            <w:r>
              <w:rPr>
                <w:b w:val="0"/>
                <w:sz w:val="17"/>
              </w:rPr>
              <w:t>Replicated storage + tested backups</w:t>
            </w:r>
          </w:p>
        </w:tc>
      </w:tr>
      <w:tr>
        <w:tc>
          <w:tcPr>
            <w:tcW w:type="dxa" w:w="3408"/>
            <w:vAlign w:val="center"/>
          </w:tcPr>
          <w:p>
            <w:r/>
            <w:r>
              <w:rPr>
                <w:b w:val="0"/>
                <w:sz w:val="17"/>
              </w:rPr>
              <w:t>Collector health</w:t>
            </w:r>
          </w:p>
        </w:tc>
        <w:tc>
          <w:tcPr>
            <w:tcW w:type="dxa" w:w="3408"/>
            <w:vAlign w:val="center"/>
          </w:tcPr>
          <w:p>
            <w:r/>
            <w:r>
              <w:rPr>
                <w:b w:val="0"/>
                <w:sz w:val="17"/>
              </w:rPr>
              <w:t>Manual/container health checks</w:t>
            </w:r>
          </w:p>
        </w:tc>
        <w:tc>
          <w:tcPr>
            <w:tcW w:type="dxa" w:w="3408"/>
            <w:vAlign w:val="center"/>
          </w:tcPr>
          <w:p>
            <w:r/>
            <w:r>
              <w:rPr>
                <w:b w:val="0"/>
                <w:sz w:val="17"/>
              </w:rPr>
              <w:t>Automated heartbeat + alerting</w:t>
            </w:r>
          </w:p>
        </w:tc>
      </w:tr>
      <w:tr>
        <w:tc>
          <w:tcPr>
            <w:tcW w:type="dxa" w:w="3408"/>
            <w:vAlign w:val="center"/>
          </w:tcPr>
          <w:p>
            <w:r/>
            <w:r>
              <w:rPr>
                <w:b w:val="0"/>
                <w:sz w:val="17"/>
              </w:rPr>
              <w:t>Scale</w:t>
            </w:r>
          </w:p>
        </w:tc>
        <w:tc>
          <w:tcPr>
            <w:tcW w:type="dxa" w:w="3408"/>
            <w:vAlign w:val="center"/>
          </w:tcPr>
          <w:p>
            <w:r/>
            <w:r>
              <w:rPr>
                <w:b w:val="0"/>
                <w:sz w:val="17"/>
              </w:rPr>
              <w:t>Single host lab</w:t>
            </w:r>
          </w:p>
        </w:tc>
        <w:tc>
          <w:tcPr>
            <w:tcW w:type="dxa" w:w="3408"/>
            <w:vAlign w:val="center"/>
          </w:tcPr>
          <w:p>
            <w:r/>
            <w:r>
              <w:rPr>
                <w:b w:val="0"/>
                <w:sz w:val="17"/>
              </w:rPr>
              <w:t>Horizontal collector and processing scale</w:t>
            </w:r>
          </w:p>
        </w:tc>
      </w:tr>
      <w:tr>
        <w:tc>
          <w:tcPr>
            <w:tcW w:type="dxa" w:w="3408"/>
            <w:vAlign w:val="center"/>
          </w:tcPr>
          <w:p>
            <w:r/>
            <w:r>
              <w:rPr>
                <w:b w:val="0"/>
                <w:sz w:val="17"/>
              </w:rPr>
              <w:t>Retention</w:t>
            </w:r>
          </w:p>
        </w:tc>
        <w:tc>
          <w:tcPr>
            <w:tcW w:type="dxa" w:w="3408"/>
            <w:vAlign w:val="center"/>
          </w:tcPr>
          <w:p>
            <w:r/>
            <w:r>
              <w:rPr>
                <w:b w:val="0"/>
                <w:sz w:val="17"/>
              </w:rPr>
              <w:t>Lab-sized</w:t>
            </w:r>
          </w:p>
        </w:tc>
        <w:tc>
          <w:tcPr>
            <w:tcW w:type="dxa" w:w="3408"/>
            <w:vAlign w:val="center"/>
          </w:tcPr>
          <w:p>
            <w:r/>
            <w:r>
              <w:rPr>
                <w:b w:val="0"/>
                <w:sz w:val="17"/>
              </w:rPr>
              <w:t>Policy-driven hot/warm/archive</w:t>
            </w:r>
          </w:p>
        </w:tc>
      </w:tr>
      <w:tr>
        <w:tc>
          <w:tcPr>
            <w:tcW w:type="dxa" w:w="3408"/>
            <w:vAlign w:val="center"/>
          </w:tcPr>
          <w:p>
            <w:r/>
            <w:r>
              <w:rPr>
                <w:b w:val="0"/>
                <w:sz w:val="17"/>
              </w:rPr>
              <w:t>Recovery</w:t>
            </w:r>
          </w:p>
        </w:tc>
        <w:tc>
          <w:tcPr>
            <w:tcW w:type="dxa" w:w="3408"/>
            <w:vAlign w:val="center"/>
          </w:tcPr>
          <w:p>
            <w:r/>
            <w:r>
              <w:rPr>
                <w:b w:val="0"/>
                <w:sz w:val="17"/>
              </w:rPr>
              <w:t>Rebuild from compose</w:t>
            </w:r>
          </w:p>
        </w:tc>
        <w:tc>
          <w:tcPr>
            <w:tcW w:type="dxa" w:w="3408"/>
            <w:vAlign w:val="center"/>
          </w:tcPr>
          <w:p>
            <w:r/>
            <w:r>
              <w:rPr>
                <w:b w:val="0"/>
                <w:sz w:val="17"/>
              </w:rPr>
              <w:t>Documented RTO/RPO by deployment tier</w:t>
            </w:r>
          </w:p>
        </w:tc>
      </w:tr>
    </w:tbl>
    <w:p/>
    <w:p>
      <w:pPr>
        <w:pStyle w:val="Heading2"/>
      </w:pPr>
      <w:r>
        <w:t>20.1 Capacity Planning Inputs</w:t>
      </w:r>
    </w:p>
    <w:p>
      <w:pPr>
        <w:pStyle w:val="ListBullet"/>
      </w:pPr>
      <w:r>
        <w:t>Events/sec</w:t>
      </w:r>
    </w:p>
    <w:p>
      <w:pPr>
        <w:pStyle w:val="ListBullet"/>
      </w:pPr>
      <w:r>
        <w:t>Average event size</w:t>
      </w:r>
    </w:p>
    <w:p>
      <w:pPr>
        <w:pStyle w:val="ListBullet"/>
      </w:pPr>
      <w:r>
        <w:t>Peak burst rate</w:t>
      </w:r>
    </w:p>
    <w:p>
      <w:pPr>
        <w:pStyle w:val="ListBullet"/>
      </w:pPr>
      <w:r>
        <w:t>Retention days</w:t>
      </w:r>
    </w:p>
    <w:p>
      <w:pPr>
        <w:pStyle w:val="ListBullet"/>
      </w:pPr>
      <w:r>
        <w:t>Search concurrency</w:t>
      </w:r>
    </w:p>
    <w:p>
      <w:pPr>
        <w:pStyle w:val="ListBullet"/>
      </w:pPr>
      <w:r>
        <w:t>Alert rate</w:t>
      </w:r>
    </w:p>
    <w:p>
      <w:pPr>
        <w:pStyle w:val="ListBullet"/>
      </w:pPr>
      <w:r>
        <w:t>PCAP volume</w:t>
      </w:r>
    </w:p>
    <w:p>
      <w:pPr>
        <w:pStyle w:val="ListBullet"/>
      </w:pPr>
      <w:r>
        <w:t>Number of assets</w:t>
      </w:r>
    </w:p>
    <w:p>
      <w:pPr>
        <w:pStyle w:val="ListBullet"/>
      </w:pPr>
      <w:r>
        <w:t>Number of analysts</w:t>
      </w:r>
    </w:p>
    <w:p>
      <w:pPr>
        <w:pStyle w:val="Heading1"/>
      </w:pPr>
      <w:r>
        <w:t>21. Deployment &amp; DevSecOps</w:t>
      </w:r>
    </w:p>
    <w:p>
      <w:pPr>
        <w:pStyle w:val="Heading2"/>
      </w:pPr>
      <w:r>
        <w:t>21.1 Repository-First Delivery</w:t>
      </w:r>
    </w:p>
    <w:p>
      <w:r>
        <w:t>The lab should remain reproducible from source control. The supplied proposal explicitly targets a public repository containing Compose, rules, diagrams, ATT&amp;CK artifacts, reports and README instructions. fileciteturn0file0L388-L395</w:t>
      </w:r>
    </w:p>
    <w:p>
      <w:pPr>
        <w:pStyle w:val="Heading2"/>
      </w:pPr>
      <w:r>
        <w:t>21.2 CI/CD Gates</w:t>
      </w:r>
    </w:p>
    <w:p>
      <w:pPr>
        <w:pStyle w:val="ListNumber"/>
      </w:pPr>
      <w:r>
        <w:t>Lint configuration and application code.</w:t>
      </w:r>
    </w:p>
    <w:p>
      <w:pPr>
        <w:pStyle w:val="ListNumber"/>
      </w:pPr>
      <w:r>
        <w:t>Validate Docker Compose configuration.</w:t>
      </w:r>
    </w:p>
    <w:p>
      <w:pPr>
        <w:pStyle w:val="ListNumber"/>
      </w:pPr>
      <w:r>
        <w:t>Build images and scan dependencies.</w:t>
      </w:r>
    </w:p>
    <w:p>
      <w:pPr>
        <w:pStyle w:val="ListNumber"/>
      </w:pPr>
      <w:r>
        <w:t>Run unit tests for parsers, scoring and API validation.</w:t>
      </w:r>
    </w:p>
    <w:p>
      <w:pPr>
        <w:pStyle w:val="ListNumber"/>
      </w:pPr>
      <w:r>
        <w:t>Run detection rule syntax tests.</w:t>
      </w:r>
    </w:p>
    <w:p>
      <w:pPr>
        <w:pStyle w:val="ListNumber"/>
      </w:pPr>
      <w:r>
        <w:t>Replay known attack fixtures and verify expected alerts.</w:t>
      </w:r>
    </w:p>
    <w:p>
      <w:pPr>
        <w:pStyle w:val="ListNumber"/>
      </w:pPr>
      <w:r>
        <w:t>Publish versioned artifacts.</w:t>
      </w:r>
    </w:p>
    <w:p>
      <w:pPr>
        <w:pStyle w:val="ListNumber"/>
      </w:pPr>
      <w:r>
        <w:t>Require approval before production response-content deployment.</w:t>
      </w:r>
    </w:p>
    <w:p>
      <w:pPr>
        <w:pStyle w:val="Heading2"/>
      </w:pPr>
      <w:r>
        <w:t>21.3 Environments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color w:val="FFFFFF"/>
              </w:rPr>
            </w:r>
            <w:r>
              <w:rPr>
                <w:b/>
                <w:color w:val="FFFFFF"/>
                <w:sz w:val="18"/>
              </w:rPr>
              <w:t>Environment</w:t>
            </w:r>
          </w:p>
        </w:tc>
        <w:tc>
          <w:tcPr>
            <w:tcW w:type="dxa" w:w="5112"/>
            <w:vAlign w:val="center"/>
            <w:shd w:fill="1F4E78"/>
          </w:tcPr>
          <w:p>
            <w:r>
              <w:rPr>
                <w:color w:val="FFFFFF"/>
              </w:rPr>
            </w:r>
            <w:r>
              <w:rPr>
                <w:b/>
                <w:color w:val="FFFFFF"/>
                <w:sz w:val="18"/>
              </w:rPr>
              <w:t>Purpose</w:t>
            </w:r>
          </w:p>
        </w:tc>
      </w:tr>
      <w:tr>
        <w:tc>
          <w:tcPr>
            <w:tcW w:type="dxa" w:w="5112"/>
            <w:vAlign w:val="center"/>
          </w:tcPr>
          <w:p>
            <w:r/>
            <w:r>
              <w:rPr>
                <w:b w:val="0"/>
                <w:sz w:val="17"/>
              </w:rPr>
              <w:t>dev</w:t>
            </w:r>
          </w:p>
        </w:tc>
        <w:tc>
          <w:tcPr>
            <w:tcW w:type="dxa" w:w="5112"/>
            <w:vAlign w:val="center"/>
          </w:tcPr>
          <w:p>
            <w:r/>
            <w:r>
              <w:rPr>
                <w:b w:val="0"/>
                <w:sz w:val="17"/>
              </w:rPr>
              <w:t>Feature and rule development</w:t>
            </w:r>
          </w:p>
        </w:tc>
      </w:tr>
      <w:tr>
        <w:tc>
          <w:tcPr>
            <w:tcW w:type="dxa" w:w="5112"/>
            <w:vAlign w:val="center"/>
          </w:tcPr>
          <w:p>
            <w:r/>
            <w:r>
              <w:rPr>
                <w:b w:val="0"/>
                <w:sz w:val="17"/>
              </w:rPr>
              <w:t>test</w:t>
            </w:r>
          </w:p>
        </w:tc>
        <w:tc>
          <w:tcPr>
            <w:tcW w:type="dxa" w:w="5112"/>
            <w:vAlign w:val="center"/>
          </w:tcPr>
          <w:p>
            <w:r/>
            <w:r>
              <w:rPr>
                <w:b w:val="0"/>
                <w:sz w:val="17"/>
              </w:rPr>
              <w:t>Detection replay and integration tests</w:t>
            </w:r>
          </w:p>
        </w:tc>
      </w:tr>
      <w:tr>
        <w:tc>
          <w:tcPr>
            <w:tcW w:type="dxa" w:w="5112"/>
            <w:vAlign w:val="center"/>
          </w:tcPr>
          <w:p>
            <w:r/>
            <w:r>
              <w:rPr>
                <w:b w:val="0"/>
                <w:sz w:val="17"/>
              </w:rPr>
              <w:t>staging</w:t>
            </w:r>
          </w:p>
        </w:tc>
        <w:tc>
          <w:tcPr>
            <w:tcW w:type="dxa" w:w="5112"/>
            <w:vAlign w:val="center"/>
          </w:tcPr>
          <w:p>
            <w:r/>
            <w:r>
              <w:rPr>
                <w:b w:val="0"/>
                <w:sz w:val="17"/>
              </w:rPr>
              <w:t>Release candidate validation</w:t>
            </w:r>
          </w:p>
        </w:tc>
      </w:tr>
      <w:tr>
        <w:tc>
          <w:tcPr>
            <w:tcW w:type="dxa" w:w="5112"/>
            <w:vAlign w:val="center"/>
          </w:tcPr>
          <w:p>
            <w:r/>
            <w:r>
              <w:rPr>
                <w:b w:val="0"/>
                <w:sz w:val="17"/>
              </w:rPr>
              <w:t>lab/prod</w:t>
            </w:r>
          </w:p>
        </w:tc>
        <w:tc>
          <w:tcPr>
            <w:tcW w:type="dxa" w:w="5112"/>
            <w:vAlign w:val="center"/>
          </w:tcPr>
          <w:p>
            <w:r/>
            <w:r>
              <w:rPr>
                <w:b w:val="0"/>
                <w:sz w:val="17"/>
              </w:rPr>
              <w:t>Controlled operational deployment</w:t>
            </w:r>
          </w:p>
        </w:tc>
      </w:tr>
    </w:tbl>
    <w:p/>
    <w:p>
      <w:pPr>
        <w:pStyle w:val="Heading1"/>
      </w:pPr>
      <w:r>
        <w:t>22. Product Configuration</w:t>
      </w:r>
    </w:p>
    <w:p>
      <w:pPr>
        <w:pStyle w:val="NoSpacing"/>
        <w:spacing w:after="100"/>
        <w:ind w:left="360"/>
      </w:pPr>
      <w:r>
        <w:rPr>
          <w:rFonts w:ascii="Consolas" w:hAnsi="Consolas"/>
          <w:sz w:val="16"/>
        </w:rPr>
        <w:t>config/</w:t>
        <w:br/>
        <w:t xml:space="preserve">  platform.yaml</w:t>
        <w:br/>
        <w:t xml:space="preserve">  retention.yaml</w:t>
        <w:br/>
        <w:t xml:space="preserve">  rbac.yaml</w:t>
        <w:br/>
        <w:t xml:space="preserve">  detections/</w:t>
        <w:br/>
        <w:t xml:space="preserve">  playbooks/</w:t>
        <w:br/>
        <w:t xml:space="preserve">  integrations/</w:t>
        <w:br/>
        <w:t xml:space="preserve">  assets/</w:t>
        <w:br/>
        <w:t xml:space="preserve">  threat-intel/</w:t>
        <w:br/>
      </w:r>
    </w:p>
    <w:p>
      <w:pPr>
        <w:pStyle w:val="Heading2"/>
      </w:pPr>
      <w:r>
        <w:t>22.1 Configuration Principles</w:t>
      </w:r>
    </w:p>
    <w:p>
      <w:pPr>
        <w:pStyle w:val="ListBullet"/>
      </w:pPr>
      <w:r>
        <w:t>No hard-coded credentials.</w:t>
      </w:r>
    </w:p>
    <w:p>
      <w:pPr>
        <w:pStyle w:val="ListBullet"/>
      </w:pPr>
      <w:r>
        <w:t>Environment-specific overrides.</w:t>
      </w:r>
    </w:p>
    <w:p>
      <w:pPr>
        <w:pStyle w:val="ListBullet"/>
      </w:pPr>
      <w:r>
        <w:t>Schema validation before startup.</w:t>
      </w:r>
    </w:p>
    <w:p>
      <w:pPr>
        <w:pStyle w:val="ListBullet"/>
      </w:pPr>
      <w:r>
        <w:t>Configuration changes versioned and auditable.</w:t>
      </w:r>
    </w:p>
    <w:p>
      <w:pPr>
        <w:pStyle w:val="ListBullet"/>
      </w:pPr>
      <w:r>
        <w:t>Sensitive values loaded from secrets manager/environment.</w:t>
      </w:r>
    </w:p>
    <w:p>
      <w:pPr>
        <w:pStyle w:val="Heading1"/>
      </w:pPr>
      <w:r>
        <w:t>23. Testing &amp; Validation</w:t>
      </w:r>
    </w:p>
    <w:p>
      <w:pPr>
        <w:pStyle w:val="Heading2"/>
      </w:pPr>
      <w:r>
        <w:t>23.1 Test Pyramid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color w:val="FFFFFF"/>
              </w:rPr>
            </w:r>
            <w:r>
              <w:rPr>
                <w:b/>
                <w:color w:val="FFFFFF"/>
                <w:sz w:val="18"/>
              </w:rPr>
              <w:t>Level</w:t>
            </w:r>
          </w:p>
        </w:tc>
        <w:tc>
          <w:tcPr>
            <w:tcW w:type="dxa" w:w="5112"/>
            <w:vAlign w:val="center"/>
            <w:shd w:fill="1F4E78"/>
          </w:tcPr>
          <w:p>
            <w:r>
              <w:rPr>
                <w:color w:val="FFFFFF"/>
              </w:rPr>
            </w:r>
            <w:r>
              <w:rPr>
                <w:b/>
                <w:color w:val="FFFFFF"/>
                <w:sz w:val="18"/>
              </w:rPr>
              <w:t>Examples</w:t>
            </w:r>
          </w:p>
        </w:tc>
      </w:tr>
      <w:tr>
        <w:tc>
          <w:tcPr>
            <w:tcW w:type="dxa" w:w="5112"/>
            <w:vAlign w:val="center"/>
          </w:tcPr>
          <w:p>
            <w:r/>
            <w:r>
              <w:rPr>
                <w:b w:val="0"/>
                <w:sz w:val="17"/>
              </w:rPr>
              <w:t>Unit</w:t>
            </w:r>
          </w:p>
        </w:tc>
        <w:tc>
          <w:tcPr>
            <w:tcW w:type="dxa" w:w="5112"/>
            <w:vAlign w:val="center"/>
          </w:tcPr>
          <w:p>
            <w:r/>
            <w:r>
              <w:rPr>
                <w:b w:val="0"/>
                <w:sz w:val="17"/>
              </w:rPr>
              <w:t>Parser, normalizer, risk calculation, API validation</w:t>
            </w:r>
          </w:p>
        </w:tc>
      </w:tr>
      <w:tr>
        <w:tc>
          <w:tcPr>
            <w:tcW w:type="dxa" w:w="5112"/>
            <w:vAlign w:val="center"/>
          </w:tcPr>
          <w:p>
            <w:r/>
            <w:r>
              <w:rPr>
                <w:b w:val="0"/>
                <w:sz w:val="17"/>
              </w:rPr>
              <w:t>Rule Unit</w:t>
            </w:r>
          </w:p>
        </w:tc>
        <w:tc>
          <w:tcPr>
            <w:tcW w:type="dxa" w:w="5112"/>
            <w:vAlign w:val="center"/>
          </w:tcPr>
          <w:p>
            <w:r/>
            <w:r>
              <w:rPr>
                <w:b w:val="0"/>
                <w:sz w:val="17"/>
              </w:rPr>
              <w:t>Individual detection against positive/negative fixtures</w:t>
            </w:r>
          </w:p>
        </w:tc>
      </w:tr>
      <w:tr>
        <w:tc>
          <w:tcPr>
            <w:tcW w:type="dxa" w:w="5112"/>
            <w:vAlign w:val="center"/>
          </w:tcPr>
          <w:p>
            <w:r/>
            <w:r>
              <w:rPr>
                <w:b w:val="0"/>
                <w:sz w:val="17"/>
              </w:rPr>
              <w:t>Integration</w:t>
            </w:r>
          </w:p>
        </w:tc>
        <w:tc>
          <w:tcPr>
            <w:tcW w:type="dxa" w:w="5112"/>
            <w:vAlign w:val="center"/>
          </w:tcPr>
          <w:p>
            <w:r/>
            <w:r>
              <w:rPr>
                <w:b w:val="0"/>
                <w:sz w:val="17"/>
              </w:rPr>
              <w:t>Collector → Wazuh → alert → API</w:t>
            </w:r>
          </w:p>
        </w:tc>
      </w:tr>
      <w:tr>
        <w:tc>
          <w:tcPr>
            <w:tcW w:type="dxa" w:w="5112"/>
            <w:vAlign w:val="center"/>
          </w:tcPr>
          <w:p>
            <w:r/>
            <w:r>
              <w:rPr>
                <w:b w:val="0"/>
                <w:sz w:val="17"/>
              </w:rPr>
              <w:t>Scenario</w:t>
            </w:r>
          </w:p>
        </w:tc>
        <w:tc>
          <w:tcPr>
            <w:tcW w:type="dxa" w:w="5112"/>
            <w:vAlign w:val="center"/>
          </w:tcPr>
          <w:p>
            <w:r/>
            <w:r>
              <w:rPr>
                <w:b w:val="0"/>
                <w:sz w:val="17"/>
              </w:rPr>
              <w:t>End-to-end attack chain</w:t>
            </w:r>
          </w:p>
        </w:tc>
      </w:tr>
      <w:tr>
        <w:tc>
          <w:tcPr>
            <w:tcW w:type="dxa" w:w="5112"/>
            <w:vAlign w:val="center"/>
          </w:tcPr>
          <w:p>
            <w:r/>
            <w:r>
              <w:rPr>
                <w:b w:val="0"/>
                <w:sz w:val="17"/>
              </w:rPr>
              <w:t>Regression</w:t>
            </w:r>
          </w:p>
        </w:tc>
        <w:tc>
          <w:tcPr>
            <w:tcW w:type="dxa" w:w="5112"/>
            <w:vAlign w:val="center"/>
          </w:tcPr>
          <w:p>
            <w:r/>
            <w:r>
              <w:rPr>
                <w:b w:val="0"/>
                <w:sz w:val="17"/>
              </w:rPr>
              <w:t>Previously detected technique after rule change</w:t>
            </w:r>
          </w:p>
        </w:tc>
      </w:tr>
      <w:tr>
        <w:tc>
          <w:tcPr>
            <w:tcW w:type="dxa" w:w="5112"/>
            <w:vAlign w:val="center"/>
          </w:tcPr>
          <w:p>
            <w:r/>
            <w:r>
              <w:rPr>
                <w:b w:val="0"/>
                <w:sz w:val="17"/>
              </w:rPr>
              <w:t>Security</w:t>
            </w:r>
          </w:p>
        </w:tc>
        <w:tc>
          <w:tcPr>
            <w:tcW w:type="dxa" w:w="5112"/>
            <w:vAlign w:val="center"/>
          </w:tcPr>
          <w:p>
            <w:r/>
            <w:r>
              <w:rPr>
                <w:b w:val="0"/>
                <w:sz w:val="17"/>
              </w:rPr>
              <w:t>Auth, RBAC, injection, secret exposure, container hardening</w:t>
            </w:r>
          </w:p>
        </w:tc>
      </w:tr>
      <w:tr>
        <w:tc>
          <w:tcPr>
            <w:tcW w:type="dxa" w:w="5112"/>
            <w:vAlign w:val="center"/>
          </w:tcPr>
          <w:p>
            <w:r/>
            <w:r>
              <w:rPr>
                <w:b w:val="0"/>
                <w:sz w:val="17"/>
              </w:rPr>
              <w:t>Recovery</w:t>
            </w:r>
          </w:p>
        </w:tc>
        <w:tc>
          <w:tcPr>
            <w:tcW w:type="dxa" w:w="5112"/>
            <w:vAlign w:val="center"/>
          </w:tcPr>
          <w:p>
            <w:r/>
            <w:r>
              <w:rPr>
                <w:b w:val="0"/>
                <w:sz w:val="17"/>
              </w:rPr>
              <w:t>Backup restore and lab reset</w:t>
            </w:r>
          </w:p>
        </w:tc>
      </w:tr>
      <w:tr>
        <w:tc>
          <w:tcPr>
            <w:tcW w:type="dxa" w:w="5112"/>
            <w:vAlign w:val="center"/>
          </w:tcPr>
          <w:p>
            <w:r/>
            <w:r>
              <w:rPr>
                <w:b w:val="0"/>
                <w:sz w:val="17"/>
              </w:rPr>
              <w:t>Performance</w:t>
            </w:r>
          </w:p>
        </w:tc>
        <w:tc>
          <w:tcPr>
            <w:tcW w:type="dxa" w:w="5112"/>
            <w:vAlign w:val="center"/>
          </w:tcPr>
          <w:p>
            <w:r/>
            <w:r>
              <w:rPr>
                <w:b w:val="0"/>
                <w:sz w:val="17"/>
              </w:rPr>
              <w:t>Burst event ingestion and alert latency</w:t>
            </w:r>
          </w:p>
        </w:tc>
      </w:tr>
    </w:tbl>
    <w:p/>
    <w:p>
      <w:pPr>
        <w:pStyle w:val="Heading2"/>
      </w:pPr>
      <w:r>
        <w:t>23.2 Detection Validation Record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color w:val="FFFFFF"/>
              </w:rPr>
            </w:r>
            <w:r>
              <w:rPr>
                <w:b/>
                <w:color w:val="FFFFFF"/>
                <w:sz w:val="18"/>
              </w:rPr>
              <w:t>Field</w:t>
            </w:r>
          </w:p>
        </w:tc>
        <w:tc>
          <w:tcPr>
            <w:tcW w:type="dxa" w:w="5112"/>
            <w:vAlign w:val="center"/>
            <w:shd w:fill="1F4E78"/>
          </w:tcPr>
          <w:p>
            <w:r>
              <w:rPr>
                <w:color w:val="FFFFFF"/>
              </w:rPr>
            </w:r>
            <w:r>
              <w:rPr>
                <w:b/>
                <w:color w:val="FFFFFF"/>
                <w:sz w:val="18"/>
              </w:rPr>
              <w:t>Required</w:t>
            </w:r>
          </w:p>
        </w:tc>
      </w:tr>
      <w:tr>
        <w:tc>
          <w:tcPr>
            <w:tcW w:type="dxa" w:w="5112"/>
            <w:vAlign w:val="center"/>
          </w:tcPr>
          <w:p>
            <w:r/>
            <w:r>
              <w:rPr>
                <w:b w:val="0"/>
                <w:sz w:val="17"/>
              </w:rPr>
              <w:t>Scenario ID</w:t>
            </w:r>
          </w:p>
        </w:tc>
        <w:tc>
          <w:tcPr>
            <w:tcW w:type="dxa" w:w="5112"/>
            <w:vAlign w:val="center"/>
          </w:tcPr>
          <w:p>
            <w:r/>
            <w:r>
              <w:rPr>
                <w:b w:val="0"/>
                <w:sz w:val="17"/>
              </w:rPr>
              <w:t>Yes</w:t>
            </w:r>
          </w:p>
        </w:tc>
      </w:tr>
      <w:tr>
        <w:tc>
          <w:tcPr>
            <w:tcW w:type="dxa" w:w="5112"/>
            <w:vAlign w:val="center"/>
          </w:tcPr>
          <w:p>
            <w:r/>
            <w:r>
              <w:rPr>
                <w:b w:val="0"/>
                <w:sz w:val="17"/>
              </w:rPr>
              <w:t>Technique</w:t>
            </w:r>
          </w:p>
        </w:tc>
        <w:tc>
          <w:tcPr>
            <w:tcW w:type="dxa" w:w="5112"/>
            <w:vAlign w:val="center"/>
          </w:tcPr>
          <w:p>
            <w:r/>
            <w:r>
              <w:rPr>
                <w:b w:val="0"/>
                <w:sz w:val="17"/>
              </w:rPr>
              <w:t>Yes</w:t>
            </w:r>
          </w:p>
        </w:tc>
      </w:tr>
      <w:tr>
        <w:tc>
          <w:tcPr>
            <w:tcW w:type="dxa" w:w="5112"/>
            <w:vAlign w:val="center"/>
          </w:tcPr>
          <w:p>
            <w:r/>
            <w:r>
              <w:rPr>
                <w:b w:val="0"/>
                <w:sz w:val="17"/>
              </w:rPr>
              <w:t>Expected telemetry</w:t>
            </w:r>
          </w:p>
        </w:tc>
        <w:tc>
          <w:tcPr>
            <w:tcW w:type="dxa" w:w="5112"/>
            <w:vAlign w:val="center"/>
          </w:tcPr>
          <w:p>
            <w:r/>
            <w:r>
              <w:rPr>
                <w:b w:val="0"/>
                <w:sz w:val="17"/>
              </w:rPr>
              <w:t>Yes</w:t>
            </w:r>
          </w:p>
        </w:tc>
      </w:tr>
      <w:tr>
        <w:tc>
          <w:tcPr>
            <w:tcW w:type="dxa" w:w="5112"/>
            <w:vAlign w:val="center"/>
          </w:tcPr>
          <w:p>
            <w:r/>
            <w:r>
              <w:rPr>
                <w:b w:val="0"/>
                <w:sz w:val="17"/>
              </w:rPr>
              <w:t>Trigger</w:t>
            </w:r>
          </w:p>
        </w:tc>
        <w:tc>
          <w:tcPr>
            <w:tcW w:type="dxa" w:w="5112"/>
            <w:vAlign w:val="center"/>
          </w:tcPr>
          <w:p>
            <w:r/>
            <w:r>
              <w:rPr>
                <w:b w:val="0"/>
                <w:sz w:val="17"/>
              </w:rPr>
              <w:t>Yes</w:t>
            </w:r>
          </w:p>
        </w:tc>
      </w:tr>
      <w:tr>
        <w:tc>
          <w:tcPr>
            <w:tcW w:type="dxa" w:w="5112"/>
            <w:vAlign w:val="center"/>
          </w:tcPr>
          <w:p>
            <w:r/>
            <w:r>
              <w:rPr>
                <w:b w:val="0"/>
                <w:sz w:val="17"/>
              </w:rPr>
              <w:t>Expected alert</w:t>
            </w:r>
          </w:p>
        </w:tc>
        <w:tc>
          <w:tcPr>
            <w:tcW w:type="dxa" w:w="5112"/>
            <w:vAlign w:val="center"/>
          </w:tcPr>
          <w:p>
            <w:r/>
            <w:r>
              <w:rPr>
                <w:b w:val="0"/>
                <w:sz w:val="17"/>
              </w:rPr>
              <w:t>Yes</w:t>
            </w:r>
          </w:p>
        </w:tc>
      </w:tr>
      <w:tr>
        <w:tc>
          <w:tcPr>
            <w:tcW w:type="dxa" w:w="5112"/>
            <w:vAlign w:val="center"/>
          </w:tcPr>
          <w:p>
            <w:r/>
            <w:r>
              <w:rPr>
                <w:b w:val="0"/>
                <w:sz w:val="17"/>
              </w:rPr>
              <w:t>Observed alert</w:t>
            </w:r>
          </w:p>
        </w:tc>
        <w:tc>
          <w:tcPr>
            <w:tcW w:type="dxa" w:w="5112"/>
            <w:vAlign w:val="center"/>
          </w:tcPr>
          <w:p>
            <w:r/>
            <w:r>
              <w:rPr>
                <w:b w:val="0"/>
                <w:sz w:val="17"/>
              </w:rPr>
              <w:t>Yes</w:t>
            </w:r>
          </w:p>
        </w:tc>
      </w:tr>
      <w:tr>
        <w:tc>
          <w:tcPr>
            <w:tcW w:type="dxa" w:w="5112"/>
            <w:vAlign w:val="center"/>
          </w:tcPr>
          <w:p>
            <w:r/>
            <w:r>
              <w:rPr>
                <w:b w:val="0"/>
                <w:sz w:val="17"/>
              </w:rPr>
              <w:t>False-positive result</w:t>
            </w:r>
          </w:p>
        </w:tc>
        <w:tc>
          <w:tcPr>
            <w:tcW w:type="dxa" w:w="5112"/>
            <w:vAlign w:val="center"/>
          </w:tcPr>
          <w:p>
            <w:r/>
            <w:r>
              <w:rPr>
                <w:b w:val="0"/>
                <w:sz w:val="17"/>
              </w:rPr>
              <w:t>Yes</w:t>
            </w:r>
          </w:p>
        </w:tc>
      </w:tr>
      <w:tr>
        <w:tc>
          <w:tcPr>
            <w:tcW w:type="dxa" w:w="5112"/>
            <w:vAlign w:val="center"/>
          </w:tcPr>
          <w:p>
            <w:r/>
            <w:r>
              <w:rPr>
                <w:b w:val="0"/>
                <w:sz w:val="17"/>
              </w:rPr>
              <w:t>Evidence reference</w:t>
            </w:r>
          </w:p>
        </w:tc>
        <w:tc>
          <w:tcPr>
            <w:tcW w:type="dxa" w:w="5112"/>
            <w:vAlign w:val="center"/>
          </w:tcPr>
          <w:p>
            <w:r/>
            <w:r>
              <w:rPr>
                <w:b w:val="0"/>
                <w:sz w:val="17"/>
              </w:rPr>
              <w:t>Yes</w:t>
            </w:r>
          </w:p>
        </w:tc>
      </w:tr>
      <w:tr>
        <w:tc>
          <w:tcPr>
            <w:tcW w:type="dxa" w:w="5112"/>
            <w:vAlign w:val="center"/>
          </w:tcPr>
          <w:p>
            <w:r/>
            <w:r>
              <w:rPr>
                <w:b w:val="0"/>
                <w:sz w:val="17"/>
              </w:rPr>
              <w:t>Pass/Fail</w:t>
            </w:r>
          </w:p>
        </w:tc>
        <w:tc>
          <w:tcPr>
            <w:tcW w:type="dxa" w:w="5112"/>
            <w:vAlign w:val="center"/>
          </w:tcPr>
          <w:p>
            <w:r/>
            <w:r>
              <w:rPr>
                <w:b w:val="0"/>
                <w:sz w:val="17"/>
              </w:rPr>
              <w:t>Yes</w:t>
            </w:r>
          </w:p>
        </w:tc>
      </w:tr>
      <w:tr>
        <w:tc>
          <w:tcPr>
            <w:tcW w:type="dxa" w:w="5112"/>
            <w:vAlign w:val="center"/>
          </w:tcPr>
          <w:p>
            <w:r/>
            <w:r>
              <w:rPr>
                <w:b w:val="0"/>
                <w:sz w:val="17"/>
              </w:rPr>
              <w:t>Rule version</w:t>
            </w:r>
          </w:p>
        </w:tc>
        <w:tc>
          <w:tcPr>
            <w:tcW w:type="dxa" w:w="5112"/>
            <w:vAlign w:val="center"/>
          </w:tcPr>
          <w:p>
            <w:r/>
            <w:r>
              <w:rPr>
                <w:b w:val="0"/>
                <w:sz w:val="17"/>
              </w:rPr>
              <w:t>Yes</w:t>
            </w:r>
          </w:p>
        </w:tc>
      </w:tr>
    </w:tbl>
    <w:p/>
    <w:p>
      <w:pPr>
        <w:pStyle w:val="Heading1"/>
      </w:pPr>
      <w:r>
        <w:t>24. Acceptance Criteria</w:t>
      </w:r>
    </w:p>
    <w:p>
      <w:r>
        <w:t>☐ Clean deployment creates all required services and internal networking.</w:t>
      </w:r>
    </w:p>
    <w:p>
      <w:r>
        <w:t>☐ Lab services are not exposed to the real LAN/public internet.</w:t>
      </w:r>
    </w:p>
    <w:p>
      <w:r>
        <w:t>☐ A known-good authentication failure reaches the SIEM before attack testing.</w:t>
      </w:r>
    </w:p>
    <w:p>
      <w:r>
        <w:t>☐ At least eight ATT&amp;CK techniques are executed in controlled scope.</w:t>
      </w:r>
    </w:p>
    <w:p>
      <w:r>
        <w:t>☐ At least 80% of executed techniques generate an actionable alert.</w:t>
      </w:r>
    </w:p>
    <w:p>
      <w:r>
        <w:t>☐ At least three custom detections are authored, tested and version-controlled.</w:t>
      </w:r>
    </w:p>
    <w:p>
      <w:r>
        <w:t>☐ Every tested technique has detected/missed evidence recorded.</w:t>
      </w:r>
    </w:p>
    <w:p>
      <w:r>
        <w:t>☐ The capstone chain can be reconstructed from telemetry without relying on operator memory.</w:t>
      </w:r>
    </w:p>
    <w:p>
      <w:r>
        <w:t>☐ An alert can be escalated to a case with timeline and evidence.</w:t>
      </w:r>
    </w:p>
    <w:p>
      <w:r>
        <w:t>☐ An approved response playbook can execute a safe containment action and record its audit trail.</w:t>
      </w:r>
    </w:p>
    <w:p>
      <w:r>
        <w:t>☐ Detection gaps generate a documented engineering task.</w:t>
      </w:r>
    </w:p>
    <w:p>
      <w:r>
        <w:t>☐ A third party can reproduce the MVP from repository instructions.</w:t>
      </w:r>
    </w:p>
    <w:p>
      <w:pPr>
        <w:pStyle w:val="Heading1"/>
      </w:pPr>
      <w:r>
        <w:t>25. Commercial Readiness</w:t>
      </w:r>
    </w:p>
    <w:p>
      <w:pPr>
        <w:pStyle w:val="Heading2"/>
      </w:pPr>
      <w:r>
        <w:t>25.1 Productization Gaps from the Current MVP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color w:val="FFFFFF"/>
              </w:rPr>
            </w:r>
            <w:r>
              <w:rPr>
                <w:b/>
                <w:color w:val="FFFFFF"/>
                <w:sz w:val="18"/>
              </w:rPr>
              <w:t>MVP State</w:t>
            </w:r>
          </w:p>
        </w:tc>
        <w:tc>
          <w:tcPr>
            <w:tcW w:type="dxa" w:w="5112"/>
            <w:vAlign w:val="center"/>
            <w:shd w:fill="1F4E78"/>
          </w:tcPr>
          <w:p>
            <w:r>
              <w:rPr>
                <w:color w:val="FFFFFF"/>
              </w:rPr>
            </w:r>
            <w:r>
              <w:rPr>
                <w:b/>
                <w:color w:val="FFFFFF"/>
                <w:sz w:val="18"/>
              </w:rPr>
              <w:t>Commercial Requirement</w:t>
            </w:r>
          </w:p>
        </w:tc>
      </w:tr>
      <w:tr>
        <w:tc>
          <w:tcPr>
            <w:tcW w:type="dxa" w:w="5112"/>
            <w:vAlign w:val="center"/>
          </w:tcPr>
          <w:p>
            <w:r/>
            <w:r>
              <w:rPr>
                <w:b w:val="0"/>
                <w:sz w:val="17"/>
              </w:rPr>
              <w:t>Single operator</w:t>
            </w:r>
          </w:p>
        </w:tc>
        <w:tc>
          <w:tcPr>
            <w:tcW w:type="dxa" w:w="5112"/>
            <w:vAlign w:val="center"/>
          </w:tcPr>
          <w:p>
            <w:r/>
            <w:r>
              <w:rPr>
                <w:b w:val="0"/>
                <w:sz w:val="17"/>
              </w:rPr>
              <w:t>Multi-user RBAC, tenant/org boundaries, audit</w:t>
            </w:r>
          </w:p>
        </w:tc>
      </w:tr>
      <w:tr>
        <w:tc>
          <w:tcPr>
            <w:tcW w:type="dxa" w:w="5112"/>
            <w:vAlign w:val="center"/>
          </w:tcPr>
          <w:p>
            <w:r/>
            <w:r>
              <w:rPr>
                <w:b w:val="0"/>
                <w:sz w:val="17"/>
              </w:rPr>
              <w:t>Wazuh Dashboard-centric</w:t>
            </w:r>
          </w:p>
        </w:tc>
        <w:tc>
          <w:tcPr>
            <w:tcW w:type="dxa" w:w="5112"/>
            <w:vAlign w:val="center"/>
          </w:tcPr>
          <w:p>
            <w:r/>
            <w:r>
              <w:rPr>
                <w:b w:val="0"/>
                <w:sz w:val="17"/>
              </w:rPr>
              <w:t>Dedicated analyst UX and API abstraction</w:t>
            </w:r>
          </w:p>
        </w:tc>
      </w:tr>
      <w:tr>
        <w:tc>
          <w:tcPr>
            <w:tcW w:type="dxa" w:w="5112"/>
            <w:vAlign w:val="center"/>
          </w:tcPr>
          <w:p>
            <w:r/>
            <w:r>
              <w:rPr>
                <w:b w:val="0"/>
                <w:sz w:val="17"/>
              </w:rPr>
              <w:t>Local logs</w:t>
            </w:r>
          </w:p>
        </w:tc>
        <w:tc>
          <w:tcPr>
            <w:tcW w:type="dxa" w:w="5112"/>
            <w:vAlign w:val="center"/>
          </w:tcPr>
          <w:p>
            <w:r/>
            <w:r>
              <w:rPr>
                <w:b w:val="0"/>
                <w:sz w:val="17"/>
              </w:rPr>
              <w:t>Remote collectors and secure ingestion</w:t>
            </w:r>
          </w:p>
        </w:tc>
      </w:tr>
      <w:tr>
        <w:tc>
          <w:tcPr>
            <w:tcW w:type="dxa" w:w="5112"/>
            <w:vAlign w:val="center"/>
          </w:tcPr>
          <w:p>
            <w:r/>
            <w:r>
              <w:rPr>
                <w:b w:val="0"/>
                <w:sz w:val="17"/>
              </w:rPr>
              <w:t>Manual evidence handling</w:t>
            </w:r>
          </w:p>
        </w:tc>
        <w:tc>
          <w:tcPr>
            <w:tcW w:type="dxa" w:w="5112"/>
            <w:vAlign w:val="center"/>
          </w:tcPr>
          <w:p>
            <w:r/>
            <w:r>
              <w:rPr>
                <w:b w:val="0"/>
                <w:sz w:val="17"/>
              </w:rPr>
              <w:t>Case/evidence lifecycle and integrity controls</w:t>
            </w:r>
          </w:p>
        </w:tc>
      </w:tr>
      <w:tr>
        <w:tc>
          <w:tcPr>
            <w:tcW w:type="dxa" w:w="5112"/>
            <w:vAlign w:val="center"/>
          </w:tcPr>
          <w:p>
            <w:r/>
            <w:r>
              <w:rPr>
                <w:b w:val="0"/>
                <w:sz w:val="17"/>
              </w:rPr>
              <w:t>Basic active response</w:t>
            </w:r>
          </w:p>
        </w:tc>
        <w:tc>
          <w:tcPr>
            <w:tcW w:type="dxa" w:w="5112"/>
            <w:vAlign w:val="center"/>
          </w:tcPr>
          <w:p>
            <w:r/>
            <w:r>
              <w:rPr>
                <w:b w:val="0"/>
                <w:sz w:val="17"/>
              </w:rPr>
              <w:t>Policy-controlled SOAR with approvals</w:t>
            </w:r>
          </w:p>
        </w:tc>
      </w:tr>
      <w:tr>
        <w:tc>
          <w:tcPr>
            <w:tcW w:type="dxa" w:w="5112"/>
            <w:vAlign w:val="center"/>
          </w:tcPr>
          <w:p>
            <w:r/>
            <w:r>
              <w:rPr>
                <w:b w:val="0"/>
                <w:sz w:val="17"/>
              </w:rPr>
              <w:t>Static rules</w:t>
            </w:r>
          </w:p>
        </w:tc>
        <w:tc>
          <w:tcPr>
            <w:tcW w:type="dxa" w:w="5112"/>
            <w:vAlign w:val="center"/>
          </w:tcPr>
          <w:p>
            <w:r/>
            <w:r>
              <w:rPr>
                <w:b w:val="0"/>
                <w:sz w:val="17"/>
              </w:rPr>
              <w:t>Detection content lifecycle and regression testing</w:t>
            </w:r>
          </w:p>
        </w:tc>
      </w:tr>
      <w:tr>
        <w:tc>
          <w:tcPr>
            <w:tcW w:type="dxa" w:w="5112"/>
            <w:vAlign w:val="center"/>
          </w:tcPr>
          <w:p>
            <w:r/>
            <w:r>
              <w:rPr>
                <w:b w:val="0"/>
                <w:sz w:val="17"/>
              </w:rPr>
              <w:t>Lab-sized storage</w:t>
            </w:r>
          </w:p>
        </w:tc>
        <w:tc>
          <w:tcPr>
            <w:tcW w:type="dxa" w:w="5112"/>
            <w:vAlign w:val="center"/>
          </w:tcPr>
          <w:p>
            <w:r/>
            <w:r>
              <w:rPr>
                <w:b w:val="0"/>
                <w:sz w:val="17"/>
              </w:rPr>
              <w:t>Retention tiers and capacity planning</w:t>
            </w:r>
          </w:p>
        </w:tc>
      </w:tr>
      <w:tr>
        <w:tc>
          <w:tcPr>
            <w:tcW w:type="dxa" w:w="5112"/>
            <w:vAlign w:val="center"/>
          </w:tcPr>
          <w:p>
            <w:r/>
            <w:r>
              <w:rPr>
                <w:b w:val="0"/>
                <w:sz w:val="17"/>
              </w:rPr>
              <w:t>Local accounts</w:t>
            </w:r>
          </w:p>
        </w:tc>
        <w:tc>
          <w:tcPr>
            <w:tcW w:type="dxa" w:w="5112"/>
            <w:vAlign w:val="center"/>
          </w:tcPr>
          <w:p>
            <w:r/>
            <w:r>
              <w:rPr>
                <w:b w:val="0"/>
                <w:sz w:val="17"/>
              </w:rPr>
              <w:t>Enterprise identity integration</w:t>
            </w:r>
          </w:p>
        </w:tc>
      </w:tr>
      <w:tr>
        <w:tc>
          <w:tcPr>
            <w:tcW w:type="dxa" w:w="5112"/>
            <w:vAlign w:val="center"/>
          </w:tcPr>
          <w:p>
            <w:r/>
            <w:r>
              <w:rPr>
                <w:b w:val="0"/>
                <w:sz w:val="17"/>
              </w:rPr>
              <w:t>Manual reporting</w:t>
            </w:r>
          </w:p>
        </w:tc>
        <w:tc>
          <w:tcPr>
            <w:tcW w:type="dxa" w:w="5112"/>
            <w:vAlign w:val="center"/>
          </w:tcPr>
          <w:p>
            <w:r/>
            <w:r>
              <w:rPr>
                <w:b w:val="0"/>
                <w:sz w:val="17"/>
              </w:rPr>
              <w:t>Scheduled and exportable reports</w:t>
            </w:r>
          </w:p>
        </w:tc>
      </w:tr>
      <w:tr>
        <w:tc>
          <w:tcPr>
            <w:tcW w:type="dxa" w:w="5112"/>
            <w:vAlign w:val="center"/>
          </w:tcPr>
          <w:p>
            <w:r/>
            <w:r>
              <w:rPr>
                <w:b w:val="0"/>
                <w:sz w:val="17"/>
              </w:rPr>
              <w:t>Single host</w:t>
            </w:r>
          </w:p>
        </w:tc>
        <w:tc>
          <w:tcPr>
            <w:tcW w:type="dxa" w:w="5112"/>
            <w:vAlign w:val="center"/>
          </w:tcPr>
          <w:p>
            <w:r/>
            <w:r>
              <w:rPr>
                <w:b w:val="0"/>
                <w:sz w:val="17"/>
              </w:rPr>
              <w:t>Scalable/HA deployment profiles</w:t>
            </w:r>
          </w:p>
        </w:tc>
      </w:tr>
    </w:tbl>
    <w:p/>
    <w:p>
      <w:pPr>
        <w:pStyle w:val="Heading2"/>
      </w:pPr>
      <w:r>
        <w:t>25.2 Commercial Quality Bar</w:t>
      </w:r>
    </w:p>
    <w:p>
      <w:pPr>
        <w:pStyle w:val="ListBullet"/>
      </w:pPr>
      <w:r>
        <w:t>Predictable installation and upgrade process.</w:t>
      </w:r>
    </w:p>
    <w:p>
      <w:pPr>
        <w:pStyle w:val="ListBullet"/>
      </w:pPr>
      <w:r>
        <w:t>Documented supported versions.</w:t>
      </w:r>
    </w:p>
    <w:p>
      <w:pPr>
        <w:pStyle w:val="ListBullet"/>
      </w:pPr>
      <w:r>
        <w:t>Health checks and actionable diagnostics.</w:t>
      </w:r>
    </w:p>
    <w:p>
      <w:pPr>
        <w:pStyle w:val="ListBullet"/>
      </w:pPr>
      <w:r>
        <w:t>Backups and tested restore procedure.</w:t>
      </w:r>
    </w:p>
    <w:p>
      <w:pPr>
        <w:pStyle w:val="ListBullet"/>
      </w:pPr>
      <w:r>
        <w:t>Security disclosure and patch process.</w:t>
      </w:r>
    </w:p>
    <w:p>
      <w:pPr>
        <w:pStyle w:val="ListBullet"/>
      </w:pPr>
      <w:r>
        <w:t>Release notes and migration notes.</w:t>
      </w:r>
    </w:p>
    <w:p>
      <w:pPr>
        <w:pStyle w:val="ListBullet"/>
      </w:pPr>
      <w:r>
        <w:t>API documentation.</w:t>
      </w:r>
    </w:p>
    <w:p>
      <w:pPr>
        <w:pStyle w:val="ListBullet"/>
      </w:pPr>
      <w:r>
        <w:t>Operational runbooks.</w:t>
      </w:r>
    </w:p>
    <w:p>
      <w:pPr>
        <w:pStyle w:val="ListBullet"/>
      </w:pPr>
      <w:r>
        <w:t>Customer-facing architecture and security documentation.</w:t>
      </w:r>
    </w:p>
    <w:p>
      <w:pPr>
        <w:pStyle w:val="ListBullet"/>
      </w:pPr>
      <w:r>
        <w:t>Clear separation between community/open-source components and proprietary platform code.</w:t>
      </w:r>
    </w:p>
    <w:p>
      <w:pPr>
        <w:pStyle w:val="Heading1"/>
      </w:pPr>
      <w:r>
        <w:t>26. Licensing &amp; Packaging Strategy</w:t>
      </w:r>
    </w:p>
    <w:p>
      <w:r>
        <w:t>The product can be packaged without changing the core lab concept. A practical strategy is to keep the reproducible lab and detection content open where licensing permits, while optional enterprise services provide operational value.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8"/>
              </w:rPr>
              <w:t>Edition</w:t>
            </w:r>
          </w:p>
        </w:tc>
        <w:tc>
          <w:tcPr>
            <w:tcW w:type="dxa" w:w="3408"/>
            <w:vAlign w:val="center"/>
            <w:shd w:fill="1F4E78"/>
          </w:tcPr>
          <w:p>
            <w:r>
              <w:rPr>
                <w:color w:val="FFFFFF"/>
              </w:rPr>
            </w:r>
            <w:r>
              <w:rPr>
                <w:b/>
                <w:color w:val="FFFFFF"/>
                <w:sz w:val="18"/>
              </w:rPr>
              <w:t>Target</w:t>
            </w:r>
          </w:p>
        </w:tc>
        <w:tc>
          <w:tcPr>
            <w:tcW w:type="dxa" w:w="3408"/>
            <w:vAlign w:val="center"/>
            <w:shd w:fill="1F4E78"/>
          </w:tcPr>
          <w:p>
            <w:r>
              <w:rPr>
                <w:color w:val="FFFFFF"/>
              </w:rPr>
            </w:r>
            <w:r>
              <w:rPr>
                <w:b/>
                <w:color w:val="FFFFFF"/>
                <w:sz w:val="18"/>
              </w:rPr>
              <w:t>Features</w:t>
            </w:r>
          </w:p>
        </w:tc>
      </w:tr>
      <w:tr>
        <w:tc>
          <w:tcPr>
            <w:tcW w:type="dxa" w:w="3408"/>
            <w:vAlign w:val="center"/>
          </w:tcPr>
          <w:p>
            <w:r/>
            <w:r>
              <w:rPr>
                <w:b w:val="0"/>
                <w:sz w:val="17"/>
              </w:rPr>
              <w:t>Community Lab</w:t>
            </w:r>
          </w:p>
        </w:tc>
        <w:tc>
          <w:tcPr>
            <w:tcW w:type="dxa" w:w="3408"/>
            <w:vAlign w:val="center"/>
          </w:tcPr>
          <w:p>
            <w:r/>
            <w:r>
              <w:rPr>
                <w:b w:val="0"/>
                <w:sz w:val="17"/>
              </w:rPr>
              <w:t>Students / researchers</w:t>
            </w:r>
          </w:p>
        </w:tc>
        <w:tc>
          <w:tcPr>
            <w:tcW w:type="dxa" w:w="3408"/>
            <w:vAlign w:val="center"/>
          </w:tcPr>
          <w:p>
            <w:r/>
            <w:r>
              <w:rPr>
                <w:b w:val="0"/>
                <w:sz w:val="17"/>
              </w:rPr>
              <w:t>Docker deployment, core detections, ATT&amp;CK scenarios, documentation</w:t>
            </w:r>
          </w:p>
        </w:tc>
      </w:tr>
      <w:tr>
        <w:tc>
          <w:tcPr>
            <w:tcW w:type="dxa" w:w="3408"/>
            <w:vAlign w:val="center"/>
          </w:tcPr>
          <w:p>
            <w:r/>
            <w:r>
              <w:rPr>
                <w:b w:val="0"/>
                <w:sz w:val="17"/>
              </w:rPr>
              <w:t>Professional</w:t>
            </w:r>
          </w:p>
        </w:tc>
        <w:tc>
          <w:tcPr>
            <w:tcW w:type="dxa" w:w="3408"/>
            <w:vAlign w:val="center"/>
          </w:tcPr>
          <w:p>
            <w:r/>
            <w:r>
              <w:rPr>
                <w:b w:val="0"/>
                <w:sz w:val="17"/>
              </w:rPr>
              <w:t>Small SOC / training teams</w:t>
            </w:r>
          </w:p>
        </w:tc>
        <w:tc>
          <w:tcPr>
            <w:tcW w:type="dxa" w:w="3408"/>
            <w:vAlign w:val="center"/>
          </w:tcPr>
          <w:p>
            <w:r/>
            <w:r>
              <w:rPr>
                <w:b w:val="0"/>
                <w:sz w:val="17"/>
              </w:rPr>
              <w:t>Analyst console, cases, reports, additional integrations, playbooks</w:t>
            </w:r>
          </w:p>
        </w:tc>
      </w:tr>
      <w:tr>
        <w:tc>
          <w:tcPr>
            <w:tcW w:type="dxa" w:w="3408"/>
            <w:vAlign w:val="center"/>
          </w:tcPr>
          <w:p>
            <w:r/>
            <w:r>
              <w:rPr>
                <w:b w:val="0"/>
                <w:sz w:val="17"/>
              </w:rPr>
              <w:t>Enterprise</w:t>
            </w:r>
          </w:p>
        </w:tc>
        <w:tc>
          <w:tcPr>
            <w:tcW w:type="dxa" w:w="3408"/>
            <w:vAlign w:val="center"/>
          </w:tcPr>
          <w:p>
            <w:r/>
            <w:r>
              <w:rPr>
                <w:b w:val="0"/>
                <w:sz w:val="17"/>
              </w:rPr>
              <w:t>Organizations / MSSPs</w:t>
            </w:r>
          </w:p>
        </w:tc>
        <w:tc>
          <w:tcPr>
            <w:tcW w:type="dxa" w:w="3408"/>
            <w:vAlign w:val="center"/>
          </w:tcPr>
          <w:p>
            <w:r/>
            <w:r>
              <w:rPr>
                <w:b w:val="0"/>
                <w:sz w:val="17"/>
              </w:rPr>
              <w:t>RBAC/SSO, multi-tenant controls, HA, advanced integrations, support</w:t>
            </w:r>
          </w:p>
        </w:tc>
      </w:tr>
      <w:tr>
        <w:tc>
          <w:tcPr>
            <w:tcW w:type="dxa" w:w="3408"/>
            <w:vAlign w:val="center"/>
          </w:tcPr>
          <w:p>
            <w:r/>
            <w:r>
              <w:rPr>
                <w:b w:val="0"/>
                <w:sz w:val="17"/>
              </w:rPr>
              <w:t>Managed</w:t>
            </w:r>
          </w:p>
        </w:tc>
        <w:tc>
          <w:tcPr>
            <w:tcW w:type="dxa" w:w="3408"/>
            <w:vAlign w:val="center"/>
          </w:tcPr>
          <w:p>
            <w:r/>
            <w:r>
              <w:rPr>
                <w:b w:val="0"/>
                <w:sz w:val="17"/>
              </w:rPr>
              <w:t>Customers without SOC platform staff</w:t>
            </w:r>
          </w:p>
        </w:tc>
        <w:tc>
          <w:tcPr>
            <w:tcW w:type="dxa" w:w="3408"/>
            <w:vAlign w:val="center"/>
          </w:tcPr>
          <w:p>
            <w:r/>
            <w:r>
              <w:rPr>
                <w:b w:val="0"/>
                <w:sz w:val="17"/>
              </w:rPr>
              <w:t>Hosted/managed operations subject to deployment/security model</w:t>
            </w:r>
          </w:p>
        </w:tc>
      </w:tr>
    </w:tbl>
    <w:p/>
    <w:p>
      <w:r>
        <w:rPr>
          <w:b/>
          <w:color w:val="1F4E79"/>
        </w:rPr>
        <w:t xml:space="preserve">Licensing caution: </w:t>
      </w:r>
      <w:r>
        <w:t>Before commercial distribution, verify the licenses and redistribution terms of every bundled or referenced third-party component, including Wazuh, OpenSearch, Docker images, detection content and threat-intelligence feeds.</w:t>
      </w:r>
    </w:p>
    <w:p>
      <w:pPr>
        <w:pStyle w:val="Heading1"/>
      </w:pPr>
      <w:r>
        <w:t>27. Implementation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8"/>
              </w:rPr>
              <w:t>Phase</w:t>
            </w:r>
          </w:p>
        </w:tc>
        <w:tc>
          <w:tcPr>
            <w:tcW w:type="dxa" w:w="3408"/>
            <w:vAlign w:val="center"/>
            <w:shd w:fill="1F4E78"/>
          </w:tcPr>
          <w:p>
            <w:r>
              <w:rPr>
                <w:color w:val="FFFFFF"/>
              </w:rPr>
            </w:r>
            <w:r>
              <w:rPr>
                <w:b/>
                <w:color w:val="FFFFFF"/>
                <w:sz w:val="18"/>
              </w:rPr>
              <w:t>Duration</w:t>
            </w:r>
          </w:p>
        </w:tc>
        <w:tc>
          <w:tcPr>
            <w:tcW w:type="dxa" w:w="3408"/>
            <w:vAlign w:val="center"/>
            <w:shd w:fill="1F4E78"/>
          </w:tcPr>
          <w:p>
            <w:r>
              <w:rPr>
                <w:color w:val="FFFFFF"/>
              </w:rPr>
            </w:r>
            <w:r>
              <w:rPr>
                <w:b/>
                <w:color w:val="FFFFFF"/>
                <w:sz w:val="18"/>
              </w:rPr>
              <w:t>Major Deliverables</w:t>
            </w:r>
          </w:p>
        </w:tc>
      </w:tr>
      <w:tr>
        <w:tc>
          <w:tcPr>
            <w:tcW w:type="dxa" w:w="3408"/>
            <w:vAlign w:val="center"/>
          </w:tcPr>
          <w:p>
            <w:r/>
            <w:r>
              <w:rPr>
                <w:b w:val="0"/>
                <w:sz w:val="17"/>
              </w:rPr>
              <w:t>Phase 0 — Architecture</w:t>
            </w:r>
          </w:p>
        </w:tc>
        <w:tc>
          <w:tcPr>
            <w:tcW w:type="dxa" w:w="3408"/>
            <w:vAlign w:val="center"/>
          </w:tcPr>
          <w:p>
            <w:r/>
            <w:r>
              <w:rPr>
                <w:b w:val="0"/>
                <w:sz w:val="17"/>
              </w:rPr>
              <w:t>2–3 days</w:t>
            </w:r>
          </w:p>
        </w:tc>
        <w:tc>
          <w:tcPr>
            <w:tcW w:type="dxa" w:w="3408"/>
            <w:vAlign w:val="center"/>
          </w:tcPr>
          <w:p>
            <w:r/>
            <w:r>
              <w:rPr>
                <w:b w:val="0"/>
                <w:sz w:val="17"/>
              </w:rPr>
              <w:t>Repo structure, threat model, network design, service inventory</w:t>
            </w:r>
          </w:p>
        </w:tc>
      </w:tr>
      <w:tr>
        <w:tc>
          <w:tcPr>
            <w:tcW w:type="dxa" w:w="3408"/>
            <w:vAlign w:val="center"/>
          </w:tcPr>
          <w:p>
            <w:r/>
            <w:r>
              <w:rPr>
                <w:b w:val="0"/>
                <w:sz w:val="17"/>
              </w:rPr>
              <w:t>Phase 1 — Core Lab</w:t>
            </w:r>
          </w:p>
        </w:tc>
        <w:tc>
          <w:tcPr>
            <w:tcW w:type="dxa" w:w="3408"/>
            <w:vAlign w:val="center"/>
          </w:tcPr>
          <w:p>
            <w:r/>
            <w:r>
              <w:rPr>
                <w:b w:val="0"/>
                <w:sz w:val="17"/>
              </w:rPr>
              <w:t>Week 1</w:t>
            </w:r>
          </w:p>
        </w:tc>
        <w:tc>
          <w:tcPr>
            <w:tcW w:type="dxa" w:w="3408"/>
            <w:vAlign w:val="center"/>
          </w:tcPr>
          <w:p>
            <w:r/>
            <w:r>
              <w:rPr>
                <w:b w:val="0"/>
                <w:sz w:val="17"/>
              </w:rPr>
              <w:t>Wazuh, DVWA, monitored host, telemetry gate, isolation</w:t>
            </w:r>
          </w:p>
        </w:tc>
      </w:tr>
      <w:tr>
        <w:tc>
          <w:tcPr>
            <w:tcW w:type="dxa" w:w="3408"/>
            <w:vAlign w:val="center"/>
          </w:tcPr>
          <w:p>
            <w:r/>
            <w:r>
              <w:rPr>
                <w:b w:val="0"/>
                <w:sz w:val="17"/>
              </w:rPr>
              <w:t>Phase 2 — Detection</w:t>
            </w:r>
          </w:p>
        </w:tc>
        <w:tc>
          <w:tcPr>
            <w:tcW w:type="dxa" w:w="3408"/>
            <w:vAlign w:val="center"/>
          </w:tcPr>
          <w:p>
            <w:r/>
            <w:r>
              <w:rPr>
                <w:b w:val="0"/>
                <w:sz w:val="17"/>
              </w:rPr>
              <w:t>Week 2</w:t>
            </w:r>
          </w:p>
        </w:tc>
        <w:tc>
          <w:tcPr>
            <w:tcW w:type="dxa" w:w="3408"/>
            <w:vAlign w:val="center"/>
          </w:tcPr>
          <w:p>
            <w:r/>
            <w:r>
              <w:rPr>
                <w:b w:val="0"/>
                <w:sz w:val="17"/>
              </w:rPr>
              <w:t>8+ ATT&amp;CK techniques, custom rules, detection matrix</w:t>
            </w:r>
          </w:p>
        </w:tc>
      </w:tr>
      <w:tr>
        <w:tc>
          <w:tcPr>
            <w:tcW w:type="dxa" w:w="3408"/>
            <w:vAlign w:val="center"/>
          </w:tcPr>
          <w:p>
            <w:r/>
            <w:r>
              <w:rPr>
                <w:b w:val="0"/>
                <w:sz w:val="17"/>
              </w:rPr>
              <w:t>Phase 3 — Investigation</w:t>
            </w:r>
          </w:p>
        </w:tc>
        <w:tc>
          <w:tcPr>
            <w:tcW w:type="dxa" w:w="3408"/>
            <w:vAlign w:val="center"/>
          </w:tcPr>
          <w:p>
            <w:r/>
            <w:r>
              <w:rPr>
                <w:b w:val="0"/>
                <w:sz w:val="17"/>
              </w:rPr>
              <w:t>Week 3</w:t>
            </w:r>
          </w:p>
        </w:tc>
        <w:tc>
          <w:tcPr>
            <w:tcW w:type="dxa" w:w="3408"/>
            <w:vAlign w:val="center"/>
          </w:tcPr>
          <w:p>
            <w:r/>
            <w:r>
              <w:rPr>
                <w:b w:val="0"/>
                <w:sz w:val="17"/>
              </w:rPr>
              <w:t>Timeline, cases, evidence, hunt workflow, capstone</w:t>
            </w:r>
          </w:p>
        </w:tc>
      </w:tr>
      <w:tr>
        <w:tc>
          <w:tcPr>
            <w:tcW w:type="dxa" w:w="3408"/>
            <w:vAlign w:val="center"/>
          </w:tcPr>
          <w:p>
            <w:r/>
            <w:r>
              <w:rPr>
                <w:b w:val="0"/>
                <w:sz w:val="17"/>
              </w:rPr>
              <w:t>Phase 4 — Response</w:t>
            </w:r>
          </w:p>
        </w:tc>
        <w:tc>
          <w:tcPr>
            <w:tcW w:type="dxa" w:w="3408"/>
            <w:vAlign w:val="center"/>
          </w:tcPr>
          <w:p>
            <w:r/>
            <w:r>
              <w:rPr>
                <w:b w:val="0"/>
                <w:sz w:val="17"/>
              </w:rPr>
              <w:t>Week 4</w:t>
            </w:r>
          </w:p>
        </w:tc>
        <w:tc>
          <w:tcPr>
            <w:tcW w:type="dxa" w:w="3408"/>
            <w:vAlign w:val="center"/>
          </w:tcPr>
          <w:p>
            <w:r/>
            <w:r>
              <w:rPr>
                <w:b w:val="0"/>
                <w:sz w:val="17"/>
              </w:rPr>
              <w:t>Controlled playbooks, approval, rollback, audit</w:t>
            </w:r>
          </w:p>
        </w:tc>
      </w:tr>
      <w:tr>
        <w:tc>
          <w:tcPr>
            <w:tcW w:type="dxa" w:w="3408"/>
            <w:vAlign w:val="center"/>
          </w:tcPr>
          <w:p>
            <w:r/>
            <w:r>
              <w:rPr>
                <w:b w:val="0"/>
                <w:sz w:val="17"/>
              </w:rPr>
              <w:t>Phase 5 — Product UX</w:t>
            </w:r>
          </w:p>
        </w:tc>
        <w:tc>
          <w:tcPr>
            <w:tcW w:type="dxa" w:w="3408"/>
            <w:vAlign w:val="center"/>
          </w:tcPr>
          <w:p>
            <w:r/>
            <w:r>
              <w:rPr>
                <w:b w:val="0"/>
                <w:sz w:val="17"/>
              </w:rPr>
              <w:t>Weeks 5–6</w:t>
            </w:r>
          </w:p>
        </w:tc>
        <w:tc>
          <w:tcPr>
            <w:tcW w:type="dxa" w:w="3408"/>
            <w:vAlign w:val="center"/>
          </w:tcPr>
          <w:p>
            <w:r/>
            <w:r>
              <w:rPr>
                <w:b w:val="0"/>
                <w:sz w:val="17"/>
              </w:rPr>
              <w:t>Dedicated frontend, APIs, RBAC, dashboards</w:t>
            </w:r>
          </w:p>
        </w:tc>
      </w:tr>
      <w:tr>
        <w:tc>
          <w:tcPr>
            <w:tcW w:type="dxa" w:w="3408"/>
            <w:vAlign w:val="center"/>
          </w:tcPr>
          <w:p>
            <w:r/>
            <w:r>
              <w:rPr>
                <w:b w:val="0"/>
                <w:sz w:val="17"/>
              </w:rPr>
              <w:t>Phase 6 — Intelligence</w:t>
            </w:r>
          </w:p>
        </w:tc>
        <w:tc>
          <w:tcPr>
            <w:tcW w:type="dxa" w:w="3408"/>
            <w:vAlign w:val="center"/>
          </w:tcPr>
          <w:p>
            <w:r/>
            <w:r>
              <w:rPr>
                <w:b w:val="0"/>
                <w:sz w:val="17"/>
              </w:rPr>
              <w:t>Weeks 7–8</w:t>
            </w:r>
          </w:p>
        </w:tc>
        <w:tc>
          <w:tcPr>
            <w:tcW w:type="dxa" w:w="3408"/>
            <w:vAlign w:val="center"/>
          </w:tcPr>
          <w:p>
            <w:r/>
            <w:r>
              <w:rPr>
                <w:b w:val="0"/>
                <w:sz w:val="17"/>
              </w:rPr>
              <w:t>IOC enrichment, asset risk, reporting</w:t>
            </w:r>
          </w:p>
        </w:tc>
      </w:tr>
      <w:tr>
        <w:tc>
          <w:tcPr>
            <w:tcW w:type="dxa" w:w="3408"/>
            <w:vAlign w:val="center"/>
          </w:tcPr>
          <w:p>
            <w:r/>
            <w:r>
              <w:rPr>
                <w:b w:val="0"/>
                <w:sz w:val="17"/>
              </w:rPr>
              <w:t>Phase 7 — Commercial Hardening</w:t>
            </w:r>
          </w:p>
        </w:tc>
        <w:tc>
          <w:tcPr>
            <w:tcW w:type="dxa" w:w="3408"/>
            <w:vAlign w:val="center"/>
          </w:tcPr>
          <w:p>
            <w:r/>
            <w:r>
              <w:rPr>
                <w:b w:val="0"/>
                <w:sz w:val="17"/>
              </w:rPr>
              <w:t>Weeks 9–12</w:t>
            </w:r>
          </w:p>
        </w:tc>
        <w:tc>
          <w:tcPr>
            <w:tcW w:type="dxa" w:w="3408"/>
            <w:vAlign w:val="center"/>
          </w:tcPr>
          <w:p>
            <w:r/>
            <w:r>
              <w:rPr>
                <w:b w:val="0"/>
                <w:sz w:val="17"/>
              </w:rPr>
              <w:t>CI/CD, security testing, observability, packaging, upgrade/backup</w:t>
            </w:r>
          </w:p>
        </w:tc>
      </w:tr>
    </w:tbl>
    <w:p/>
    <w:p>
      <w:pPr>
        <w:pStyle w:val="Heading2"/>
      </w:pPr>
      <w:r>
        <w:t>27.1 Existing 2–4 Week MVP Alignment</w:t>
      </w:r>
    </w:p>
    <w:p>
      <w:r>
        <w:t>The supplied proposal already defines a four-week path: Week 1 core Wazuh/Docker telemetry, Week 2 technique execution and custom detections, Week 3 capstone reconstruction, and Week 4 reporting/ATT&amp;CK/README publication. fileciteturn0file0L326-L377</w:t>
      </w:r>
    </w:p>
    <w:p>
      <w:pPr>
        <w:pStyle w:val="Heading1"/>
      </w:pPr>
      <w:r>
        <w:t>28. Risk Register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8"/>
              </w:rPr>
              <w:t>Risk</w:t>
            </w:r>
          </w:p>
        </w:tc>
        <w:tc>
          <w:tcPr>
            <w:tcW w:type="dxa" w:w="3408"/>
            <w:vAlign w:val="center"/>
            <w:shd w:fill="1F4E78"/>
          </w:tcPr>
          <w:p>
            <w:r>
              <w:rPr>
                <w:color w:val="FFFFFF"/>
              </w:rPr>
            </w:r>
            <w:r>
              <w:rPr>
                <w:b/>
                <w:color w:val="FFFFFF"/>
                <w:sz w:val="18"/>
              </w:rPr>
              <w:t>Impact</w:t>
            </w:r>
          </w:p>
        </w:tc>
        <w:tc>
          <w:tcPr>
            <w:tcW w:type="dxa" w:w="3408"/>
            <w:vAlign w:val="center"/>
            <w:shd w:fill="1F4E78"/>
          </w:tcPr>
          <w:p>
            <w:r>
              <w:rPr>
                <w:color w:val="FFFFFF"/>
              </w:rPr>
            </w:r>
            <w:r>
              <w:rPr>
                <w:b/>
                <w:color w:val="FFFFFF"/>
                <w:sz w:val="18"/>
              </w:rPr>
              <w:t>Mitigation</w:t>
            </w:r>
          </w:p>
        </w:tc>
      </w:tr>
      <w:tr>
        <w:tc>
          <w:tcPr>
            <w:tcW w:type="dxa" w:w="3408"/>
            <w:vAlign w:val="center"/>
          </w:tcPr>
          <w:p>
            <w:r/>
            <w:r>
              <w:rPr>
                <w:b w:val="0"/>
                <w:sz w:val="17"/>
              </w:rPr>
              <w:t>Telemetry silently fails</w:t>
            </w:r>
          </w:p>
        </w:tc>
        <w:tc>
          <w:tcPr>
            <w:tcW w:type="dxa" w:w="3408"/>
            <w:vAlign w:val="center"/>
          </w:tcPr>
          <w:p>
            <w:r/>
            <w:r>
              <w:rPr>
                <w:b w:val="0"/>
                <w:sz w:val="17"/>
              </w:rPr>
              <w:t>Critical</w:t>
            </w:r>
          </w:p>
        </w:tc>
        <w:tc>
          <w:tcPr>
            <w:tcW w:type="dxa" w:w="3408"/>
            <w:vAlign w:val="center"/>
          </w:tcPr>
          <w:p>
            <w:r/>
            <w:r>
              <w:rPr>
                <w:b w:val="0"/>
                <w:sz w:val="17"/>
              </w:rPr>
              <w:t>Hard telemetry gate, health monitoring and heartbeat alerts</w:t>
            </w:r>
          </w:p>
        </w:tc>
      </w:tr>
      <w:tr>
        <w:tc>
          <w:tcPr>
            <w:tcW w:type="dxa" w:w="3408"/>
            <w:vAlign w:val="center"/>
          </w:tcPr>
          <w:p>
            <w:r/>
            <w:r>
              <w:rPr>
                <w:b w:val="0"/>
                <w:sz w:val="17"/>
              </w:rPr>
              <w:t>Container escape / host compromise</w:t>
            </w:r>
          </w:p>
        </w:tc>
        <w:tc>
          <w:tcPr>
            <w:tcW w:type="dxa" w:w="3408"/>
            <w:vAlign w:val="center"/>
          </w:tcPr>
          <w:p>
            <w:r/>
            <w:r>
              <w:rPr>
                <w:b w:val="0"/>
                <w:sz w:val="17"/>
              </w:rPr>
              <w:t>Critical</w:t>
            </w:r>
          </w:p>
        </w:tc>
        <w:tc>
          <w:tcPr>
            <w:tcW w:type="dxa" w:w="3408"/>
            <w:vAlign w:val="center"/>
          </w:tcPr>
          <w:p>
            <w:r/>
            <w:r>
              <w:rPr>
                <w:b w:val="0"/>
                <w:sz w:val="17"/>
              </w:rPr>
              <w:t>Isolation, patching, non-root, minimal privileges, dedicated host</w:t>
            </w:r>
          </w:p>
        </w:tc>
      </w:tr>
      <w:tr>
        <w:tc>
          <w:tcPr>
            <w:tcW w:type="dxa" w:w="3408"/>
            <w:vAlign w:val="center"/>
          </w:tcPr>
          <w:p>
            <w:r/>
            <w:r>
              <w:rPr>
                <w:b w:val="0"/>
                <w:sz w:val="17"/>
              </w:rPr>
              <w:t>False-positive overload</w:t>
            </w:r>
          </w:p>
        </w:tc>
        <w:tc>
          <w:tcPr>
            <w:tcW w:type="dxa" w:w="3408"/>
            <w:vAlign w:val="center"/>
          </w:tcPr>
          <w:p>
            <w:r/>
            <w:r>
              <w:rPr>
                <w:b w:val="0"/>
                <w:sz w:val="17"/>
              </w:rPr>
              <w:t>High</w:t>
            </w:r>
          </w:p>
        </w:tc>
        <w:tc>
          <w:tcPr>
            <w:tcW w:type="dxa" w:w="3408"/>
            <w:vAlign w:val="center"/>
          </w:tcPr>
          <w:p>
            <w:r/>
            <w:r>
              <w:rPr>
                <w:b w:val="0"/>
                <w:sz w:val="17"/>
              </w:rPr>
              <w:t>Rule testing, suppression, confidence, tuning metrics</w:t>
            </w:r>
          </w:p>
        </w:tc>
      </w:tr>
      <w:tr>
        <w:tc>
          <w:tcPr>
            <w:tcW w:type="dxa" w:w="3408"/>
            <w:vAlign w:val="center"/>
          </w:tcPr>
          <w:p>
            <w:r/>
            <w:r>
              <w:rPr>
                <w:b w:val="0"/>
                <w:sz w:val="17"/>
              </w:rPr>
              <w:t>Indexer resource exhaustion</w:t>
            </w:r>
          </w:p>
        </w:tc>
        <w:tc>
          <w:tcPr>
            <w:tcW w:type="dxa" w:w="3408"/>
            <w:vAlign w:val="center"/>
          </w:tcPr>
          <w:p>
            <w:r/>
            <w:r>
              <w:rPr>
                <w:b w:val="0"/>
                <w:sz w:val="17"/>
              </w:rPr>
              <w:t>High</w:t>
            </w:r>
          </w:p>
        </w:tc>
        <w:tc>
          <w:tcPr>
            <w:tcW w:type="dxa" w:w="3408"/>
            <w:vAlign w:val="center"/>
          </w:tcPr>
          <w:p>
            <w:r/>
            <w:r>
              <w:rPr>
                <w:b w:val="0"/>
                <w:sz w:val="17"/>
              </w:rPr>
              <w:t>Capacity limits, retention policy, resource monitoring</w:t>
            </w:r>
          </w:p>
        </w:tc>
      </w:tr>
      <w:tr>
        <w:tc>
          <w:tcPr>
            <w:tcW w:type="dxa" w:w="3408"/>
            <w:vAlign w:val="center"/>
          </w:tcPr>
          <w:p>
            <w:r/>
            <w:r>
              <w:rPr>
                <w:b w:val="0"/>
                <w:sz w:val="17"/>
              </w:rPr>
              <w:t>Automation causes wrong containment</w:t>
            </w:r>
          </w:p>
        </w:tc>
        <w:tc>
          <w:tcPr>
            <w:tcW w:type="dxa" w:w="3408"/>
            <w:vAlign w:val="center"/>
          </w:tcPr>
          <w:p>
            <w:r/>
            <w:r>
              <w:rPr>
                <w:b w:val="0"/>
                <w:sz w:val="17"/>
              </w:rPr>
              <w:t>Critical</w:t>
            </w:r>
          </w:p>
        </w:tc>
        <w:tc>
          <w:tcPr>
            <w:tcW w:type="dxa" w:w="3408"/>
            <w:vAlign w:val="center"/>
          </w:tcPr>
          <w:p>
            <w:r/>
            <w:r>
              <w:rPr>
                <w:b w:val="0"/>
                <w:sz w:val="17"/>
              </w:rPr>
              <w:t>Approval, scope checks, dry-run, rollback, kill switch</w:t>
            </w:r>
          </w:p>
        </w:tc>
      </w:tr>
      <w:tr>
        <w:tc>
          <w:tcPr>
            <w:tcW w:type="dxa" w:w="3408"/>
            <w:vAlign w:val="center"/>
          </w:tcPr>
          <w:p>
            <w:r/>
            <w:r>
              <w:rPr>
                <w:b w:val="0"/>
                <w:sz w:val="17"/>
              </w:rPr>
              <w:t>Sensitive evidence leakage</w:t>
            </w:r>
          </w:p>
        </w:tc>
        <w:tc>
          <w:tcPr>
            <w:tcW w:type="dxa" w:w="3408"/>
            <w:vAlign w:val="center"/>
          </w:tcPr>
          <w:p>
            <w:r/>
            <w:r>
              <w:rPr>
                <w:b w:val="0"/>
                <w:sz w:val="17"/>
              </w:rPr>
              <w:t>High</w:t>
            </w:r>
          </w:p>
        </w:tc>
        <w:tc>
          <w:tcPr>
            <w:tcW w:type="dxa" w:w="3408"/>
            <w:vAlign w:val="center"/>
          </w:tcPr>
          <w:p>
            <w:r/>
            <w:r>
              <w:rPr>
                <w:b w:val="0"/>
                <w:sz w:val="17"/>
              </w:rPr>
              <w:t>Access control, encryption, retention and export auditing</w:t>
            </w:r>
          </w:p>
        </w:tc>
      </w:tr>
      <w:tr>
        <w:tc>
          <w:tcPr>
            <w:tcW w:type="dxa" w:w="3408"/>
            <w:vAlign w:val="center"/>
          </w:tcPr>
          <w:p>
            <w:r/>
            <w:r>
              <w:rPr>
                <w:b w:val="0"/>
                <w:sz w:val="17"/>
              </w:rPr>
              <w:t>Scope creep</w:t>
            </w:r>
          </w:p>
        </w:tc>
        <w:tc>
          <w:tcPr>
            <w:tcW w:type="dxa" w:w="3408"/>
            <w:vAlign w:val="center"/>
          </w:tcPr>
          <w:p>
            <w:r/>
            <w:r>
              <w:rPr>
                <w:b w:val="0"/>
                <w:sz w:val="17"/>
              </w:rPr>
              <w:t>Medium</w:t>
            </w:r>
          </w:p>
        </w:tc>
        <w:tc>
          <w:tcPr>
            <w:tcW w:type="dxa" w:w="3408"/>
            <w:vAlign w:val="center"/>
          </w:tcPr>
          <w:p>
            <w:r/>
            <w:r>
              <w:rPr>
                <w:b w:val="0"/>
                <w:sz w:val="17"/>
              </w:rPr>
              <w:t>Phase gates and explicit MVP boundary</w:t>
            </w:r>
          </w:p>
        </w:tc>
      </w:tr>
      <w:tr>
        <w:tc>
          <w:tcPr>
            <w:tcW w:type="dxa" w:w="3408"/>
            <w:vAlign w:val="center"/>
          </w:tcPr>
          <w:p>
            <w:r/>
            <w:r>
              <w:rPr>
                <w:b w:val="0"/>
                <w:sz w:val="17"/>
              </w:rPr>
              <w:t>Product becomes offense-focused</w:t>
            </w:r>
          </w:p>
        </w:tc>
        <w:tc>
          <w:tcPr>
            <w:tcW w:type="dxa" w:w="3408"/>
            <w:vAlign w:val="center"/>
          </w:tcPr>
          <w:p>
            <w:r/>
            <w:r>
              <w:rPr>
                <w:b w:val="0"/>
                <w:sz w:val="17"/>
              </w:rPr>
              <w:t>High</w:t>
            </w:r>
          </w:p>
        </w:tc>
        <w:tc>
          <w:tcPr>
            <w:tcW w:type="dxa" w:w="3408"/>
            <w:vAlign w:val="center"/>
          </w:tcPr>
          <w:p>
            <w:r/>
            <w:r>
              <w:rPr>
                <w:b w:val="0"/>
                <w:sz w:val="17"/>
              </w:rPr>
              <w:t>Measure detection, investigation, response and reporting outcomes</w:t>
            </w:r>
          </w:p>
        </w:tc>
      </w:tr>
    </w:tbl>
    <w:p/>
    <w:p>
      <w:r>
        <w:rPr>
          <w:b/>
          <w:color w:val="1F4E79"/>
        </w:rPr>
        <w:t xml:space="preserve">Source risks: </w:t>
      </w:r>
      <w:r>
        <w:t>The original proposal highlights silent agent failure, container escape, alert fatigue, resource exhaustion, scope creep and the risk of the project reading as offensive rather than defensive. fileciteturn0file0L396-L433</w:t>
      </w:r>
    </w:p>
    <w:p>
      <w:pPr>
        <w:pStyle w:val="Heading1"/>
      </w:pPr>
      <w:r>
        <w:t>29. Future Roadmap</w:t>
      </w:r>
    </w:p>
    <w:p>
      <w:pPr>
        <w:pStyle w:val="ListBullet"/>
      </w:pPr>
      <w:r>
        <w:t>Windows/Sysmon telemetry.</w:t>
      </w:r>
    </w:p>
    <w:p>
      <w:pPr>
        <w:pStyle w:val="ListBullet"/>
      </w:pPr>
      <w:r>
        <w:t>OWASP Juice Shop as a second application target.</w:t>
      </w:r>
    </w:p>
    <w:p>
      <w:pPr>
        <w:pStyle w:val="ListBullet"/>
      </w:pPr>
      <w:r>
        <w:t>Zeek and Suricata network telemetry.</w:t>
      </w:r>
    </w:p>
    <w:p>
      <w:pPr>
        <w:pStyle w:val="ListBullet"/>
      </w:pPr>
      <w:r>
        <w:t>IoT-specific protocol telemetry and device profiling.</w:t>
      </w:r>
    </w:p>
    <w:p>
      <w:pPr>
        <w:pStyle w:val="ListBullet"/>
      </w:pPr>
      <w:r>
        <w:t>Behavioral anomaly detection.</w:t>
      </w:r>
    </w:p>
    <w:p>
      <w:pPr>
        <w:pStyle w:val="ListBullet"/>
      </w:pPr>
      <w:r>
        <w:t>Automated ATT&amp;CK coverage scoring.</w:t>
      </w:r>
    </w:p>
    <w:p>
      <w:pPr>
        <w:pStyle w:val="ListBullet"/>
      </w:pPr>
      <w:r>
        <w:t>Detection-as-code CI pipeline.</w:t>
      </w:r>
    </w:p>
    <w:p>
      <w:pPr>
        <w:pStyle w:val="ListBullet"/>
      </w:pPr>
      <w:r>
        <w:t>Advanced case collaboration.</w:t>
      </w:r>
    </w:p>
    <w:p>
      <w:pPr>
        <w:pStyle w:val="ListBullet"/>
      </w:pPr>
      <w:r>
        <w:t>Threat-intelligence feed connectors.</w:t>
      </w:r>
    </w:p>
    <w:p>
      <w:pPr>
        <w:pStyle w:val="ListBullet"/>
      </w:pPr>
      <w:r>
        <w:t>Identity provider integration and MFA.</w:t>
      </w:r>
    </w:p>
    <w:p>
      <w:pPr>
        <w:pStyle w:val="ListBullet"/>
      </w:pPr>
      <w:r>
        <w:t>Multi-tenant MSSP architecture.</w:t>
      </w:r>
    </w:p>
    <w:p>
      <w:pPr>
        <w:pStyle w:val="ListBullet"/>
      </w:pPr>
      <w:r>
        <w:t>High availability and disaster recovery.</w:t>
      </w:r>
    </w:p>
    <w:p>
      <w:pPr>
        <w:pStyle w:val="ListBullet"/>
      </w:pPr>
      <w:r>
        <w:t>Cloud and Kubernetes telemetry.</w:t>
      </w:r>
    </w:p>
    <w:p>
      <w:pPr>
        <w:pStyle w:val="ListBullet"/>
      </w:pPr>
      <w:r>
        <w:t>Purple-team validation and continuous control testing.</w:t>
      </w:r>
    </w:p>
    <w:p>
      <w:r>
        <w:rPr>
          <w:b/>
          <w:color w:val="1F4E79"/>
        </w:rPr>
        <w:t xml:space="preserve">Source roadmap: </w:t>
      </w:r>
      <w:r>
        <w:t>The supplied proposal explicitly identifies Windows/Sysmon, Juice Shop, SOAR-style response and a purple-team retrospective as post-MVP extensions. fileciteturn0file0L434-L444</w:t>
      </w:r>
    </w:p>
    <w:p>
      <w:pPr>
        <w:pStyle w:val="Heading1"/>
      </w:pPr>
      <w:r>
        <w:t>30. Appendix A — Reference Attack-to-Detection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78"/>
          </w:tcPr>
          <w:p>
            <w:r>
              <w:rPr>
                <w:color w:val="FFFFFF"/>
              </w:rPr>
            </w:r>
            <w:r>
              <w:rPr>
                <w:b/>
                <w:color w:val="FFFFFF"/>
                <w:sz w:val="18"/>
              </w:rPr>
              <w:t>Tactic</w:t>
            </w:r>
          </w:p>
        </w:tc>
        <w:tc>
          <w:tcPr>
            <w:tcW w:type="dxa" w:w="2045"/>
            <w:vAlign w:val="center"/>
            <w:shd w:fill="1F4E78"/>
          </w:tcPr>
          <w:p>
            <w:r>
              <w:rPr>
                <w:color w:val="FFFFFF"/>
              </w:rPr>
            </w:r>
            <w:r>
              <w:rPr>
                <w:b/>
                <w:color w:val="FFFFFF"/>
                <w:sz w:val="18"/>
              </w:rPr>
              <w:t>Technique / Scenario</w:t>
            </w:r>
          </w:p>
        </w:tc>
        <w:tc>
          <w:tcPr>
            <w:tcW w:type="dxa" w:w="2045"/>
            <w:vAlign w:val="center"/>
            <w:shd w:fill="1F4E78"/>
          </w:tcPr>
          <w:p>
            <w:r>
              <w:rPr>
                <w:color w:val="FFFFFF"/>
              </w:rPr>
            </w:r>
            <w:r>
              <w:rPr>
                <w:b/>
                <w:color w:val="FFFFFF"/>
                <w:sz w:val="18"/>
              </w:rPr>
              <w:t>Telemetry</w:t>
            </w:r>
          </w:p>
        </w:tc>
        <w:tc>
          <w:tcPr>
            <w:tcW w:type="dxa" w:w="2045"/>
            <w:vAlign w:val="center"/>
            <w:shd w:fill="1F4E78"/>
          </w:tcPr>
          <w:p>
            <w:r>
              <w:rPr>
                <w:color w:val="FFFFFF"/>
              </w:rPr>
            </w:r>
            <w:r>
              <w:rPr>
                <w:b/>
                <w:color w:val="FFFFFF"/>
                <w:sz w:val="18"/>
              </w:rPr>
              <w:t>Detection</w:t>
            </w:r>
          </w:p>
        </w:tc>
        <w:tc>
          <w:tcPr>
            <w:tcW w:type="dxa" w:w="2045"/>
            <w:vAlign w:val="center"/>
            <w:shd w:fill="1F4E78"/>
          </w:tcPr>
          <w:p>
            <w:r>
              <w:rPr>
                <w:color w:val="FFFFFF"/>
              </w:rPr>
            </w:r>
            <w:r>
              <w:rPr>
                <w:b/>
                <w:color w:val="FFFFFF"/>
                <w:sz w:val="18"/>
              </w:rPr>
              <w:t>Evidence</w:t>
            </w:r>
          </w:p>
        </w:tc>
      </w:tr>
      <w:tr>
        <w:tc>
          <w:tcPr>
            <w:tcW w:type="dxa" w:w="2045"/>
            <w:vAlign w:val="center"/>
          </w:tcPr>
          <w:p>
            <w:r/>
            <w:r>
              <w:rPr>
                <w:b w:val="0"/>
                <w:sz w:val="17"/>
              </w:rPr>
              <w:t>Recon</w:t>
            </w:r>
          </w:p>
        </w:tc>
        <w:tc>
          <w:tcPr>
            <w:tcW w:type="dxa" w:w="2045"/>
            <w:vAlign w:val="center"/>
          </w:tcPr>
          <w:p>
            <w:r/>
            <w:r>
              <w:rPr>
                <w:b w:val="0"/>
                <w:sz w:val="17"/>
              </w:rPr>
              <w:t>Port scanning</w:t>
            </w:r>
          </w:p>
        </w:tc>
        <w:tc>
          <w:tcPr>
            <w:tcW w:type="dxa" w:w="2045"/>
            <w:vAlign w:val="center"/>
          </w:tcPr>
          <w:p>
            <w:r/>
            <w:r>
              <w:rPr>
                <w:b w:val="0"/>
                <w:sz w:val="17"/>
              </w:rPr>
              <w:t>Network/web logs</w:t>
            </w:r>
          </w:p>
        </w:tc>
        <w:tc>
          <w:tcPr>
            <w:tcW w:type="dxa" w:w="2045"/>
            <w:vAlign w:val="center"/>
          </w:tcPr>
          <w:p>
            <w:r/>
            <w:r>
              <w:rPr>
                <w:b w:val="0"/>
                <w:sz w:val="17"/>
              </w:rPr>
              <w:t>Rate/scan rule</w:t>
            </w:r>
          </w:p>
        </w:tc>
        <w:tc>
          <w:tcPr>
            <w:tcW w:type="dxa" w:w="2045"/>
            <w:vAlign w:val="center"/>
          </w:tcPr>
          <w:p>
            <w:r/>
            <w:r>
              <w:rPr>
                <w:b w:val="0"/>
                <w:sz w:val="17"/>
              </w:rPr>
              <w:t>Source IP + target ports</w:t>
            </w:r>
          </w:p>
        </w:tc>
      </w:tr>
      <w:tr>
        <w:tc>
          <w:tcPr>
            <w:tcW w:type="dxa" w:w="2045"/>
            <w:vAlign w:val="center"/>
          </w:tcPr>
          <w:p>
            <w:r/>
            <w:r>
              <w:rPr>
                <w:b w:val="0"/>
                <w:sz w:val="17"/>
              </w:rPr>
              <w:t>Recon</w:t>
            </w:r>
          </w:p>
        </w:tc>
        <w:tc>
          <w:tcPr>
            <w:tcW w:type="dxa" w:w="2045"/>
            <w:vAlign w:val="center"/>
          </w:tcPr>
          <w:p>
            <w:r/>
            <w:r>
              <w:rPr>
                <w:b w:val="0"/>
                <w:sz w:val="17"/>
              </w:rPr>
              <w:t>Directory discovery</w:t>
            </w:r>
          </w:p>
        </w:tc>
        <w:tc>
          <w:tcPr>
            <w:tcW w:type="dxa" w:w="2045"/>
            <w:vAlign w:val="center"/>
          </w:tcPr>
          <w:p>
            <w:r/>
            <w:r>
              <w:rPr>
                <w:b w:val="0"/>
                <w:sz w:val="17"/>
              </w:rPr>
              <w:t>Web access log</w:t>
            </w:r>
          </w:p>
        </w:tc>
        <w:tc>
          <w:tcPr>
            <w:tcW w:type="dxa" w:w="2045"/>
            <w:vAlign w:val="center"/>
          </w:tcPr>
          <w:p>
            <w:r/>
            <w:r>
              <w:rPr>
                <w:b w:val="0"/>
                <w:sz w:val="17"/>
              </w:rPr>
              <w:t>Request pattern/rate</w:t>
            </w:r>
          </w:p>
        </w:tc>
        <w:tc>
          <w:tcPr>
            <w:tcW w:type="dxa" w:w="2045"/>
            <w:vAlign w:val="center"/>
          </w:tcPr>
          <w:p>
            <w:r/>
            <w:r>
              <w:rPr>
                <w:b w:val="0"/>
                <w:sz w:val="17"/>
              </w:rPr>
              <w:t>URI timeline</w:t>
            </w:r>
          </w:p>
        </w:tc>
      </w:tr>
      <w:tr>
        <w:tc>
          <w:tcPr>
            <w:tcW w:type="dxa" w:w="2045"/>
            <w:vAlign w:val="center"/>
          </w:tcPr>
          <w:p>
            <w:r/>
            <w:r>
              <w:rPr>
                <w:b w:val="0"/>
                <w:sz w:val="17"/>
              </w:rPr>
              <w:t>Recon</w:t>
            </w:r>
          </w:p>
        </w:tc>
        <w:tc>
          <w:tcPr>
            <w:tcW w:type="dxa" w:w="2045"/>
            <w:vAlign w:val="center"/>
          </w:tcPr>
          <w:p>
            <w:r/>
            <w:r>
              <w:rPr>
                <w:b w:val="0"/>
                <w:sz w:val="17"/>
              </w:rPr>
              <w:t>Technology fingerprinting</w:t>
            </w:r>
          </w:p>
        </w:tc>
        <w:tc>
          <w:tcPr>
            <w:tcW w:type="dxa" w:w="2045"/>
            <w:vAlign w:val="center"/>
          </w:tcPr>
          <w:p>
            <w:r/>
            <w:r>
              <w:rPr>
                <w:b w:val="0"/>
                <w:sz w:val="17"/>
              </w:rPr>
              <w:t>Web/error logs</w:t>
            </w:r>
          </w:p>
        </w:tc>
        <w:tc>
          <w:tcPr>
            <w:tcW w:type="dxa" w:w="2045"/>
            <w:vAlign w:val="center"/>
          </w:tcPr>
          <w:p>
            <w:r/>
            <w:r>
              <w:rPr>
                <w:b w:val="0"/>
                <w:sz w:val="17"/>
              </w:rPr>
              <w:t>Pattern rule</w:t>
            </w:r>
          </w:p>
        </w:tc>
        <w:tc>
          <w:tcPr>
            <w:tcW w:type="dxa" w:w="2045"/>
            <w:vAlign w:val="center"/>
          </w:tcPr>
          <w:p>
            <w:r/>
            <w:r>
              <w:rPr>
                <w:b w:val="0"/>
                <w:sz w:val="17"/>
              </w:rPr>
              <w:t>Headers/status codes</w:t>
            </w:r>
          </w:p>
        </w:tc>
      </w:tr>
      <w:tr>
        <w:tc>
          <w:tcPr>
            <w:tcW w:type="dxa" w:w="2045"/>
            <w:vAlign w:val="center"/>
          </w:tcPr>
          <w:p>
            <w:r/>
            <w:r>
              <w:rPr>
                <w:b w:val="0"/>
                <w:sz w:val="17"/>
              </w:rPr>
              <w:t>Initial Access</w:t>
            </w:r>
          </w:p>
        </w:tc>
        <w:tc>
          <w:tcPr>
            <w:tcW w:type="dxa" w:w="2045"/>
            <w:vAlign w:val="center"/>
          </w:tcPr>
          <w:p>
            <w:r/>
            <w:r>
              <w:rPr>
                <w:b w:val="0"/>
                <w:sz w:val="17"/>
              </w:rPr>
              <w:t>SQL injection</w:t>
            </w:r>
          </w:p>
        </w:tc>
        <w:tc>
          <w:tcPr>
            <w:tcW w:type="dxa" w:w="2045"/>
            <w:vAlign w:val="center"/>
          </w:tcPr>
          <w:p>
            <w:r/>
            <w:r>
              <w:rPr>
                <w:b w:val="0"/>
                <w:sz w:val="17"/>
              </w:rPr>
              <w:t>DVWA access/error</w:t>
            </w:r>
          </w:p>
        </w:tc>
        <w:tc>
          <w:tcPr>
            <w:tcW w:type="dxa" w:w="2045"/>
            <w:vAlign w:val="center"/>
          </w:tcPr>
          <w:p>
            <w:r/>
            <w:r>
              <w:rPr>
                <w:b w:val="0"/>
                <w:sz w:val="17"/>
              </w:rPr>
              <w:t>Payload-pattern rule</w:t>
            </w:r>
          </w:p>
        </w:tc>
        <w:tc>
          <w:tcPr>
            <w:tcW w:type="dxa" w:w="2045"/>
            <w:vAlign w:val="center"/>
          </w:tcPr>
          <w:p>
            <w:r/>
            <w:r>
              <w:rPr>
                <w:b w:val="0"/>
                <w:sz w:val="17"/>
              </w:rPr>
              <w:t>Raw request + alert</w:t>
            </w:r>
          </w:p>
        </w:tc>
      </w:tr>
      <w:tr>
        <w:tc>
          <w:tcPr>
            <w:tcW w:type="dxa" w:w="2045"/>
            <w:vAlign w:val="center"/>
          </w:tcPr>
          <w:p>
            <w:r/>
            <w:r>
              <w:rPr>
                <w:b w:val="0"/>
                <w:sz w:val="17"/>
              </w:rPr>
              <w:t>Credential Access</w:t>
            </w:r>
          </w:p>
        </w:tc>
        <w:tc>
          <w:tcPr>
            <w:tcW w:type="dxa" w:w="2045"/>
            <w:vAlign w:val="center"/>
          </w:tcPr>
          <w:p>
            <w:r/>
            <w:r>
              <w:rPr>
                <w:b w:val="0"/>
                <w:sz w:val="17"/>
              </w:rPr>
              <w:t>Brute force</w:t>
            </w:r>
          </w:p>
        </w:tc>
        <w:tc>
          <w:tcPr>
            <w:tcW w:type="dxa" w:w="2045"/>
            <w:vAlign w:val="center"/>
          </w:tcPr>
          <w:p>
            <w:r/>
            <w:r>
              <w:rPr>
                <w:b w:val="0"/>
                <w:sz w:val="17"/>
              </w:rPr>
              <w:t>Auth logs</w:t>
            </w:r>
          </w:p>
        </w:tc>
        <w:tc>
          <w:tcPr>
            <w:tcW w:type="dxa" w:w="2045"/>
            <w:vAlign w:val="center"/>
          </w:tcPr>
          <w:p>
            <w:r/>
            <w:r>
              <w:rPr>
                <w:b w:val="0"/>
                <w:sz w:val="17"/>
              </w:rPr>
              <w:t>Frequency rule</w:t>
            </w:r>
          </w:p>
        </w:tc>
        <w:tc>
          <w:tcPr>
            <w:tcW w:type="dxa" w:w="2045"/>
            <w:vAlign w:val="center"/>
          </w:tcPr>
          <w:p>
            <w:r/>
            <w:r>
              <w:rPr>
                <w:b w:val="0"/>
                <w:sz w:val="17"/>
              </w:rPr>
              <w:t>Failed-login sequence</w:t>
            </w:r>
          </w:p>
        </w:tc>
      </w:tr>
      <w:tr>
        <w:tc>
          <w:tcPr>
            <w:tcW w:type="dxa" w:w="2045"/>
            <w:vAlign w:val="center"/>
          </w:tcPr>
          <w:p>
            <w:r/>
            <w:r>
              <w:rPr>
                <w:b w:val="0"/>
                <w:sz w:val="17"/>
              </w:rPr>
              <w:t>Valid Accounts</w:t>
            </w:r>
          </w:p>
        </w:tc>
        <w:tc>
          <w:tcPr>
            <w:tcW w:type="dxa" w:w="2045"/>
            <w:vAlign w:val="center"/>
          </w:tcPr>
          <w:p>
            <w:r/>
            <w:r>
              <w:rPr>
                <w:b w:val="0"/>
                <w:sz w:val="17"/>
              </w:rPr>
              <w:t>Credential reuse</w:t>
            </w:r>
          </w:p>
        </w:tc>
        <w:tc>
          <w:tcPr>
            <w:tcW w:type="dxa" w:w="2045"/>
            <w:vAlign w:val="center"/>
          </w:tcPr>
          <w:p>
            <w:r/>
            <w:r>
              <w:rPr>
                <w:b w:val="0"/>
                <w:sz w:val="17"/>
              </w:rPr>
              <w:t>SSH/auth logs</w:t>
            </w:r>
          </w:p>
        </w:tc>
        <w:tc>
          <w:tcPr>
            <w:tcW w:type="dxa" w:w="2045"/>
            <w:vAlign w:val="center"/>
          </w:tcPr>
          <w:p>
            <w:r/>
            <w:r>
              <w:rPr>
                <w:b w:val="0"/>
                <w:sz w:val="17"/>
              </w:rPr>
              <w:t>Cross-source correlation</w:t>
            </w:r>
          </w:p>
        </w:tc>
        <w:tc>
          <w:tcPr>
            <w:tcW w:type="dxa" w:w="2045"/>
            <w:vAlign w:val="center"/>
          </w:tcPr>
          <w:p>
            <w:r/>
            <w:r>
              <w:rPr>
                <w:b w:val="0"/>
                <w:sz w:val="17"/>
              </w:rPr>
              <w:t>Source/user timeline</w:t>
            </w:r>
          </w:p>
        </w:tc>
      </w:tr>
      <w:tr>
        <w:tc>
          <w:tcPr>
            <w:tcW w:type="dxa" w:w="2045"/>
            <w:vAlign w:val="center"/>
          </w:tcPr>
          <w:p>
            <w:r/>
            <w:r>
              <w:rPr>
                <w:b w:val="0"/>
                <w:sz w:val="17"/>
              </w:rPr>
              <w:t>Execution</w:t>
            </w:r>
          </w:p>
        </w:tc>
        <w:tc>
          <w:tcPr>
            <w:tcW w:type="dxa" w:w="2045"/>
            <w:vAlign w:val="center"/>
          </w:tcPr>
          <w:p>
            <w:r/>
            <w:r>
              <w:rPr>
                <w:b w:val="0"/>
                <w:sz w:val="17"/>
              </w:rPr>
              <w:t>Command injection</w:t>
            </w:r>
          </w:p>
        </w:tc>
        <w:tc>
          <w:tcPr>
            <w:tcW w:type="dxa" w:w="2045"/>
            <w:vAlign w:val="center"/>
          </w:tcPr>
          <w:p>
            <w:r/>
            <w:r>
              <w:rPr>
                <w:b w:val="0"/>
                <w:sz w:val="17"/>
              </w:rPr>
              <w:t>auditd/process</w:t>
            </w:r>
          </w:p>
        </w:tc>
        <w:tc>
          <w:tcPr>
            <w:tcW w:type="dxa" w:w="2045"/>
            <w:vAlign w:val="center"/>
          </w:tcPr>
          <w:p>
            <w:r/>
            <w:r>
              <w:rPr>
                <w:b w:val="0"/>
                <w:sz w:val="17"/>
              </w:rPr>
              <w:t>Suspicious child process rule</w:t>
            </w:r>
          </w:p>
        </w:tc>
        <w:tc>
          <w:tcPr>
            <w:tcW w:type="dxa" w:w="2045"/>
            <w:vAlign w:val="center"/>
          </w:tcPr>
          <w:p>
            <w:r/>
            <w:r>
              <w:rPr>
                <w:b w:val="0"/>
                <w:sz w:val="17"/>
              </w:rPr>
              <w:t>Command/process event</w:t>
            </w:r>
          </w:p>
        </w:tc>
      </w:tr>
      <w:tr>
        <w:tc>
          <w:tcPr>
            <w:tcW w:type="dxa" w:w="2045"/>
            <w:vAlign w:val="center"/>
          </w:tcPr>
          <w:p>
            <w:r/>
            <w:r>
              <w:rPr>
                <w:b w:val="0"/>
                <w:sz w:val="17"/>
              </w:rPr>
              <w:t>Exfiltration</w:t>
            </w:r>
          </w:p>
        </w:tc>
        <w:tc>
          <w:tcPr>
            <w:tcW w:type="dxa" w:w="2045"/>
            <w:vAlign w:val="center"/>
          </w:tcPr>
          <w:p>
            <w:r/>
            <w:r>
              <w:rPr>
                <w:b w:val="0"/>
                <w:sz w:val="17"/>
              </w:rPr>
              <w:t>Controlled data staging</w:t>
            </w:r>
          </w:p>
        </w:tc>
        <w:tc>
          <w:tcPr>
            <w:tcW w:type="dxa" w:w="2045"/>
            <w:vAlign w:val="center"/>
          </w:tcPr>
          <w:p>
            <w:r/>
            <w:r>
              <w:rPr>
                <w:b w:val="0"/>
                <w:sz w:val="17"/>
              </w:rPr>
              <w:t>FIM/web/file logs</w:t>
            </w:r>
          </w:p>
        </w:tc>
        <w:tc>
          <w:tcPr>
            <w:tcW w:type="dxa" w:w="2045"/>
            <w:vAlign w:val="center"/>
          </w:tcPr>
          <w:p>
            <w:r/>
            <w:r>
              <w:rPr>
                <w:b w:val="0"/>
                <w:sz w:val="17"/>
              </w:rPr>
              <w:t>Unusual file/access pattern</w:t>
            </w:r>
          </w:p>
        </w:tc>
        <w:tc>
          <w:tcPr>
            <w:tcW w:type="dxa" w:w="2045"/>
            <w:vAlign w:val="center"/>
          </w:tcPr>
          <w:p>
            <w:r/>
            <w:r>
              <w:rPr>
                <w:b w:val="0"/>
                <w:sz w:val="17"/>
              </w:rPr>
              <w:t>File/event evidence</w:t>
            </w:r>
          </w:p>
        </w:tc>
      </w:tr>
      <w:tr>
        <w:tc>
          <w:tcPr>
            <w:tcW w:type="dxa" w:w="2045"/>
            <w:vAlign w:val="center"/>
          </w:tcPr>
          <w:p>
            <w:r/>
            <w:r>
              <w:rPr>
                <w:b w:val="0"/>
                <w:sz w:val="17"/>
              </w:rPr>
              <w:t>Impact</w:t>
            </w:r>
          </w:p>
        </w:tc>
        <w:tc>
          <w:tcPr>
            <w:tcW w:type="dxa" w:w="2045"/>
            <w:vAlign w:val="center"/>
          </w:tcPr>
          <w:p>
            <w:r/>
            <w:r>
              <w:rPr>
                <w:b w:val="0"/>
                <w:sz w:val="17"/>
              </w:rPr>
              <w:t>Simulated access/impact</w:t>
            </w:r>
          </w:p>
        </w:tc>
        <w:tc>
          <w:tcPr>
            <w:tcW w:type="dxa" w:w="2045"/>
            <w:vAlign w:val="center"/>
          </w:tcPr>
          <w:p>
            <w:r/>
            <w:r>
              <w:rPr>
                <w:b w:val="0"/>
                <w:sz w:val="17"/>
              </w:rPr>
              <w:t>Application/system logs</w:t>
            </w:r>
          </w:p>
        </w:tc>
        <w:tc>
          <w:tcPr>
            <w:tcW w:type="dxa" w:w="2045"/>
            <w:vAlign w:val="center"/>
          </w:tcPr>
          <w:p>
            <w:r/>
            <w:r>
              <w:rPr>
                <w:b w:val="0"/>
                <w:sz w:val="17"/>
              </w:rPr>
              <w:t>Scenario-specific rule</w:t>
            </w:r>
          </w:p>
        </w:tc>
        <w:tc>
          <w:tcPr>
            <w:tcW w:type="dxa" w:w="2045"/>
            <w:vAlign w:val="center"/>
          </w:tcPr>
          <w:p>
            <w:r/>
            <w:r>
              <w:rPr>
                <w:b w:val="0"/>
                <w:sz w:val="17"/>
              </w:rPr>
              <w:t>Case timeline</w:t>
            </w:r>
          </w:p>
        </w:tc>
      </w:tr>
    </w:tbl>
    <w:p/>
    <w:p>
      <w:r>
        <w:rPr>
          <w:b/>
          <w:color w:val="1F4E79"/>
        </w:rPr>
        <w:t xml:space="preserve">Source scenario: </w:t>
      </w:r>
      <w:r>
        <w:t>The supplied proposal's capstone chain uses recon, SQL injection, credential reuse/brute force, command execution and documented impact without live destructive impact. fileciteturn0file0L317-L325</w:t>
      </w:r>
    </w:p>
    <w:p>
      <w:pPr>
        <w:pStyle w:val="Heading1"/>
      </w:pPr>
      <w:r>
        <w:t>31. Appendix B — Suggested Repository Structure</w:t>
      </w:r>
    </w:p>
    <w:p>
      <w:pPr>
        <w:pStyle w:val="NoSpacing"/>
        <w:spacing w:after="100"/>
        <w:ind w:left="360"/>
      </w:pPr>
      <w:r>
        <w:rPr>
          <w:rFonts w:ascii="Consolas" w:hAnsi="Consolas"/>
          <w:sz w:val="16"/>
        </w:rPr>
        <w:t>soc-detection-lab/</w:t>
        <w:br/>
        <w:t>├── docker-compose.yml</w:t>
        <w:br/>
        <w:t>├── .env.example</w:t>
        <w:br/>
        <w:t>├── README.md</w:t>
        <w:br/>
        <w:t>├── LICENSE</w:t>
        <w:br/>
        <w:t>├── docs/</w:t>
        <w:br/>
        <w:t>│   ├── product/</w:t>
        <w:br/>
        <w:t>│   ├── architecture/</w:t>
        <w:br/>
        <w:t>│   ├── runbooks/</w:t>
        <w:br/>
        <w:t>│   ├── incident-reports/</w:t>
        <w:br/>
        <w:t>│   └── threat-model/</w:t>
        <w:br/>
        <w:t>├── infrastructure/</w:t>
        <w:br/>
        <w:t>│   ├── docker/</w:t>
        <w:br/>
        <w:t>│   ├── k8s/</w:t>
        <w:br/>
        <w:t>│   └── scripts/</w:t>
        <w:br/>
        <w:t>├── detections/</w:t>
        <w:br/>
        <w:t>│   ├── wazuh/</w:t>
        <w:br/>
        <w:t>│   ├── sigma/</w:t>
        <w:br/>
        <w:t>│   ├── tests/</w:t>
        <w:br/>
        <w:t>│   └── fixtures/</w:t>
        <w:br/>
        <w:t>├── playbooks/</w:t>
        <w:br/>
        <w:t>│   ├── brute-force/</w:t>
        <w:br/>
        <w:t>│   ├── web-attack/</w:t>
        <w:br/>
        <w:t>│   ├── quarantine/</w:t>
        <w:br/>
        <w:t>│   └── ioc-sweep/</w:t>
        <w:br/>
        <w:t>├── collectors/</w:t>
        <w:br/>
        <w:t>├── parsers/</w:t>
        <w:br/>
        <w:t>├── api/</w:t>
        <w:br/>
        <w:t>├── backend/</w:t>
        <w:br/>
        <w:t>│   ├── alerts/</w:t>
        <w:br/>
        <w:t>│   ├── cases/</w:t>
        <w:br/>
        <w:t>│   ├── hunting/</w:t>
        <w:br/>
        <w:t>│   ├── assets/</w:t>
        <w:br/>
        <w:t>│   ├── intelligence/</w:t>
        <w:br/>
        <w:t>│   └── reporting/</w:t>
        <w:br/>
        <w:t>├── frontend/</w:t>
        <w:br/>
        <w:t>├── scenarios/</w:t>
        <w:br/>
        <w:t>│   ├── dvwa/</w:t>
        <w:br/>
        <w:t>│   └── monitored-host/</w:t>
        <w:br/>
        <w:t>├── evidence/</w:t>
        <w:br/>
        <w:t>│   ├── fixtures/</w:t>
        <w:br/>
        <w:t>│   └── exports/</w:t>
        <w:br/>
        <w:t>└── tests/</w:t>
        <w:br/>
        <w:t xml:space="preserve">    ├── unit/</w:t>
        <w:br/>
        <w:t xml:space="preserve">    ├── integration/</w:t>
        <w:br/>
        <w:t xml:space="preserve">    ├── security/</w:t>
        <w:br/>
        <w:t xml:space="preserve">    └── end-to-end/</w:t>
        <w:br/>
      </w:r>
    </w:p>
    <w:p>
      <w:pPr>
        <w:pStyle w:val="Heading2"/>
      </w:pPr>
      <w:r>
        <w:t>31.1 Engineering Rule</w:t>
      </w:r>
    </w:p>
    <w:p>
      <w:r>
        <w:t>No detection should exist only as an undocumented command or dashboard screenshot. Every important detection must have source-controlled logic, ATT&amp;CK mapping, test evidence, expected telemetry, known false positives and a version.</w:t>
      </w:r>
    </w:p>
    <w:p>
      <w:r>
        <w:br w:type="page"/>
      </w:r>
    </w:p>
    <w:p>
      <w:pPr>
        <w:jc w:val="center"/>
      </w:pPr>
      <w:r>
        <w:rPr>
          <w:b/>
          <w:color w:val="17365D"/>
          <w:sz w:val="40"/>
        </w:rPr>
        <w:t>PRODUCT NORTH STAR</w:t>
      </w:r>
    </w:p>
    <w:p>
      <w:pPr>
        <w:jc w:val="center"/>
      </w:pPr>
      <w:r>
        <w:t>A successful build is not measured by how many attacks the lab can launch. It is measured by how reliably the platform can turn adversary behavior into trustworthy telemetry, high-fidelity detections, explainable analyst decisions, controlled response and auditable evidence.</w:t>
      </w:r>
    </w:p>
    <w:p/>
    <w:p>
      <w:pPr>
        <w:jc w:val="center"/>
      </w:pPr>
      <w:r>
        <w:rPr>
          <w:i/>
          <w:sz w:val="18"/>
        </w:rPr>
        <w:t>End of Product Document — Version 1.0</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5"/>
      </w:rPr>
      <w:t>SOC Detection Lab | Commercial-Ready Product Specification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rPr>
      <w:rFonts w:ascii="Aptos" w:hAnsi="Aptos"/>
      <w:b/>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