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56B8" w:rsidRDefault="006556B8">
      <w:pPr>
        <w:spacing w:before="1200"/>
      </w:pPr>
    </w:p>
    <w:p w:rsidR="006556B8" w:rsidRDefault="00A65B26">
      <w:pPr>
        <w:spacing w:after="60"/>
        <w:jc w:val="center"/>
      </w:pPr>
      <w:r>
        <w:rPr>
          <w:b/>
          <w:bCs/>
          <w:color w:val="5B6577"/>
          <w:spacing w:val="40"/>
          <w:sz w:val="30"/>
          <w:szCs w:val="30"/>
        </w:rPr>
        <w:t>MIDAS CORE</w:t>
      </w:r>
    </w:p>
    <w:p w:rsidR="006556B8" w:rsidRDefault="00A65B26">
      <w:pPr>
        <w:pBdr>
          <w:bottom w:val="single" w:sz="6" w:space="14" w:color="9C7A1E"/>
        </w:pBdr>
        <w:spacing w:after="400"/>
        <w:jc w:val="center"/>
      </w:pPr>
      <w:r>
        <w:rPr>
          <w:i/>
          <w:iCs/>
          <w:color w:val="3B4A66"/>
        </w:rPr>
        <w:t>Financial Transaction Processing Service</w:t>
      </w:r>
    </w:p>
    <w:p w:rsidR="006556B8" w:rsidRDefault="00A65B26">
      <w:pPr>
        <w:spacing w:before="400" w:after="120"/>
        <w:jc w:val="center"/>
      </w:pPr>
      <w:r>
        <w:rPr>
          <w:b/>
          <w:bCs/>
          <w:color w:val="1F2A44"/>
          <w:sz w:val="56"/>
          <w:szCs w:val="56"/>
        </w:rPr>
        <w:t>Product &amp; Engineering Specification</w:t>
      </w:r>
    </w:p>
    <w:p w:rsidR="006556B8" w:rsidRDefault="00A65B26">
      <w:pPr>
        <w:spacing w:after="40"/>
        <w:jc w:val="center"/>
      </w:pPr>
      <w:r>
        <w:rPr>
          <w:color w:val="3B4A66"/>
          <w:sz w:val="20"/>
          <w:szCs w:val="20"/>
        </w:rPr>
        <w:t xml:space="preserve">Product </w:t>
      </w:r>
      <w:r w:rsidR="00EC00BA">
        <w:rPr>
          <w:color w:val="3B4A66"/>
          <w:sz w:val="20"/>
          <w:szCs w:val="20"/>
        </w:rPr>
        <w:t>Requirements · Technical</w:t>
      </w:r>
      <w:r>
        <w:rPr>
          <w:color w:val="3B4A66"/>
          <w:sz w:val="20"/>
          <w:szCs w:val="20"/>
        </w:rPr>
        <w:t xml:space="preserve"> </w:t>
      </w:r>
      <w:r w:rsidR="00EC00BA">
        <w:rPr>
          <w:color w:val="3B4A66"/>
          <w:sz w:val="20"/>
          <w:szCs w:val="20"/>
        </w:rPr>
        <w:t>Requirements · System</w:t>
      </w:r>
      <w:r>
        <w:rPr>
          <w:color w:val="3B4A66"/>
          <w:sz w:val="20"/>
          <w:szCs w:val="20"/>
        </w:rPr>
        <w:t xml:space="preserve"> Interaction </w:t>
      </w:r>
      <w:r w:rsidR="00EC00BA">
        <w:rPr>
          <w:color w:val="3B4A66"/>
          <w:sz w:val="20"/>
          <w:szCs w:val="20"/>
        </w:rPr>
        <w:t>Flow · Implementation</w:t>
      </w:r>
      <w:r>
        <w:rPr>
          <w:color w:val="3B4A66"/>
          <w:sz w:val="20"/>
          <w:szCs w:val="20"/>
        </w:rPr>
        <w:t xml:space="preserve"> Plan</w:t>
      </w:r>
    </w:p>
    <w:p w:rsidR="006556B8" w:rsidRDefault="006556B8">
      <w:pPr>
        <w:spacing w:before="1600"/>
      </w:pPr>
    </w:p>
    <w:tbl>
      <w:tblPr>
        <w:tblW w:w="81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2"/>
        <w:gridCol w:w="4975"/>
      </w:tblGrid>
      <w:tr w:rsidR="006556B8" w:rsidTr="00EC00BA">
        <w:tblPrEx>
          <w:tblCellMar>
            <w:top w:w="0" w:type="dxa"/>
            <w:bottom w:w="0" w:type="dxa"/>
          </w:tblCellMar>
        </w:tblPrEx>
        <w:trPr>
          <w:trHeight w:val="330"/>
          <w:jc w:val="center"/>
        </w:trPr>
        <w:tc>
          <w:tcPr>
            <w:tcW w:w="3142" w:type="dxa"/>
            <w:tcBorders>
              <w:top w:val="single" w:sz="2" w:space="0" w:color="B7BFCC"/>
              <w:left w:val="single" w:sz="2" w:space="0" w:color="B7BFCC"/>
              <w:bottom w:val="single" w:sz="2" w:space="0" w:color="B7BFCC"/>
              <w:right w:val="single" w:sz="2" w:space="0" w:color="B7BFCC"/>
            </w:tcBorders>
            <w:shd w:val="clear" w:color="auto" w:fill="F2F4F8"/>
            <w:tcMar>
              <w:top w:w="90" w:type="dxa"/>
              <w:left w:w="120" w:type="dxa"/>
              <w:bottom w:w="90" w:type="dxa"/>
              <w:right w:w="120" w:type="dxa"/>
            </w:tcMar>
          </w:tcPr>
          <w:p w:rsidR="006556B8" w:rsidRDefault="00A65B26">
            <w:r>
              <w:rPr>
                <w:b/>
                <w:bCs/>
                <w:color w:val="3B4A66"/>
                <w:sz w:val="18"/>
                <w:szCs w:val="18"/>
              </w:rPr>
              <w:t>Document Owner</w:t>
            </w:r>
          </w:p>
        </w:tc>
        <w:tc>
          <w:tcPr>
            <w:tcW w:w="4975" w:type="dxa"/>
            <w:tcBorders>
              <w:top w:val="single" w:sz="2" w:space="0" w:color="B7BFCC"/>
              <w:left w:val="single" w:sz="2" w:space="0" w:color="B7BFCC"/>
              <w:bottom w:val="single" w:sz="2" w:space="0" w:color="B7BFCC"/>
              <w:right w:val="single" w:sz="2" w:space="0" w:color="B7BFCC"/>
            </w:tcBorders>
            <w:tcMar>
              <w:top w:w="90" w:type="dxa"/>
              <w:left w:w="120" w:type="dxa"/>
              <w:bottom w:w="90" w:type="dxa"/>
              <w:right w:w="120" w:type="dxa"/>
            </w:tcMar>
          </w:tcPr>
          <w:p w:rsidR="006556B8" w:rsidRDefault="00A65B26">
            <w:r>
              <w:rPr>
                <w:sz w:val="18"/>
                <w:szCs w:val="18"/>
              </w:rPr>
              <w:t>Engineering — Midas Core Team</w:t>
            </w:r>
          </w:p>
        </w:tc>
      </w:tr>
      <w:tr w:rsidR="006556B8" w:rsidTr="00EC00BA">
        <w:tblPrEx>
          <w:tblCellMar>
            <w:top w:w="0" w:type="dxa"/>
            <w:bottom w:w="0" w:type="dxa"/>
          </w:tblCellMar>
        </w:tblPrEx>
        <w:trPr>
          <w:trHeight w:val="660"/>
          <w:jc w:val="center"/>
        </w:trPr>
        <w:tc>
          <w:tcPr>
            <w:tcW w:w="3142" w:type="dxa"/>
            <w:tcBorders>
              <w:top w:val="single" w:sz="2" w:space="0" w:color="B7BFCC"/>
              <w:left w:val="single" w:sz="2" w:space="0" w:color="B7BFCC"/>
              <w:bottom w:val="single" w:sz="2" w:space="0" w:color="B7BFCC"/>
              <w:right w:val="single" w:sz="2" w:space="0" w:color="B7BFCC"/>
            </w:tcBorders>
            <w:shd w:val="clear" w:color="auto" w:fill="F2F4F8"/>
            <w:tcMar>
              <w:top w:w="90" w:type="dxa"/>
              <w:left w:w="120" w:type="dxa"/>
              <w:bottom w:w="90" w:type="dxa"/>
              <w:right w:w="120" w:type="dxa"/>
            </w:tcMar>
          </w:tcPr>
          <w:p w:rsidR="006556B8" w:rsidRDefault="00A65B26">
            <w:r>
              <w:rPr>
                <w:b/>
                <w:bCs/>
                <w:color w:val="3B4A66"/>
                <w:sz w:val="18"/>
                <w:szCs w:val="18"/>
              </w:rPr>
              <w:t>Program</w:t>
            </w:r>
          </w:p>
        </w:tc>
        <w:tc>
          <w:tcPr>
            <w:tcW w:w="4975" w:type="dxa"/>
            <w:tcBorders>
              <w:top w:val="single" w:sz="2" w:space="0" w:color="B7BFCC"/>
              <w:left w:val="single" w:sz="2" w:space="0" w:color="B7BFCC"/>
              <w:bottom w:val="single" w:sz="2" w:space="0" w:color="B7BFCC"/>
              <w:right w:val="single" w:sz="2" w:space="0" w:color="B7BFCC"/>
            </w:tcBorders>
            <w:tcMar>
              <w:top w:w="90" w:type="dxa"/>
              <w:left w:w="120" w:type="dxa"/>
              <w:bottom w:w="90" w:type="dxa"/>
              <w:right w:w="120" w:type="dxa"/>
            </w:tcMar>
          </w:tcPr>
          <w:p w:rsidR="006556B8" w:rsidRDefault="00A65B26">
            <w:r>
              <w:rPr>
                <w:sz w:val="18"/>
                <w:szCs w:val="18"/>
              </w:rPr>
              <w:t xml:space="preserve">Forage × </w:t>
            </w:r>
            <w:r w:rsidR="00EC00BA">
              <w:rPr>
                <w:sz w:val="18"/>
                <w:szCs w:val="18"/>
              </w:rPr>
              <w:t>JPMorgan Chase</w:t>
            </w:r>
            <w:r>
              <w:rPr>
                <w:sz w:val="18"/>
                <w:szCs w:val="18"/>
              </w:rPr>
              <w:t xml:space="preserve"> Software Engineering Virtual Internship</w:t>
            </w:r>
          </w:p>
        </w:tc>
      </w:tr>
      <w:tr w:rsidR="006556B8" w:rsidTr="00EC00BA">
        <w:tblPrEx>
          <w:tblCellMar>
            <w:top w:w="0" w:type="dxa"/>
            <w:bottom w:w="0" w:type="dxa"/>
          </w:tblCellMar>
        </w:tblPrEx>
        <w:trPr>
          <w:trHeight w:val="660"/>
          <w:jc w:val="center"/>
        </w:trPr>
        <w:tc>
          <w:tcPr>
            <w:tcW w:w="3142" w:type="dxa"/>
            <w:tcBorders>
              <w:top w:val="single" w:sz="2" w:space="0" w:color="B7BFCC"/>
              <w:left w:val="single" w:sz="2" w:space="0" w:color="B7BFCC"/>
              <w:bottom w:val="single" w:sz="2" w:space="0" w:color="B7BFCC"/>
              <w:right w:val="single" w:sz="2" w:space="0" w:color="B7BFCC"/>
            </w:tcBorders>
            <w:shd w:val="clear" w:color="auto" w:fill="F2F4F8"/>
            <w:tcMar>
              <w:top w:w="90" w:type="dxa"/>
              <w:left w:w="120" w:type="dxa"/>
              <w:bottom w:w="90" w:type="dxa"/>
              <w:right w:w="120" w:type="dxa"/>
            </w:tcMar>
          </w:tcPr>
          <w:p w:rsidR="006556B8" w:rsidRDefault="00A65B26">
            <w:r>
              <w:rPr>
                <w:b/>
                <w:bCs/>
                <w:color w:val="3B4A66"/>
                <w:sz w:val="18"/>
                <w:szCs w:val="18"/>
              </w:rPr>
              <w:t>Document Type</w:t>
            </w:r>
          </w:p>
        </w:tc>
        <w:tc>
          <w:tcPr>
            <w:tcW w:w="4975" w:type="dxa"/>
            <w:tcBorders>
              <w:top w:val="single" w:sz="2" w:space="0" w:color="B7BFCC"/>
              <w:left w:val="single" w:sz="2" w:space="0" w:color="B7BFCC"/>
              <w:bottom w:val="single" w:sz="2" w:space="0" w:color="B7BFCC"/>
              <w:right w:val="single" w:sz="2" w:space="0" w:color="B7BFCC"/>
            </w:tcBorders>
            <w:tcMar>
              <w:top w:w="90" w:type="dxa"/>
              <w:left w:w="120" w:type="dxa"/>
              <w:bottom w:w="90" w:type="dxa"/>
              <w:right w:w="120" w:type="dxa"/>
            </w:tcMar>
          </w:tcPr>
          <w:p w:rsidR="006556B8" w:rsidRDefault="00A65B26">
            <w:r>
              <w:rPr>
                <w:sz w:val="18"/>
                <w:szCs w:val="18"/>
              </w:rPr>
              <w:t>Consolidated PRD / TRD / System Interaction / Implementation Plan</w:t>
            </w:r>
          </w:p>
        </w:tc>
      </w:tr>
      <w:tr w:rsidR="006556B8" w:rsidTr="00EC00BA">
        <w:tblPrEx>
          <w:tblCellMar>
            <w:top w:w="0" w:type="dxa"/>
            <w:bottom w:w="0" w:type="dxa"/>
          </w:tblCellMar>
        </w:tblPrEx>
        <w:trPr>
          <w:trHeight w:val="330"/>
          <w:jc w:val="center"/>
        </w:trPr>
        <w:tc>
          <w:tcPr>
            <w:tcW w:w="3142" w:type="dxa"/>
            <w:tcBorders>
              <w:top w:val="single" w:sz="2" w:space="0" w:color="B7BFCC"/>
              <w:left w:val="single" w:sz="2" w:space="0" w:color="B7BFCC"/>
              <w:bottom w:val="single" w:sz="2" w:space="0" w:color="B7BFCC"/>
              <w:right w:val="single" w:sz="2" w:space="0" w:color="B7BFCC"/>
            </w:tcBorders>
            <w:shd w:val="clear" w:color="auto" w:fill="F2F4F8"/>
            <w:tcMar>
              <w:top w:w="90" w:type="dxa"/>
              <w:left w:w="120" w:type="dxa"/>
              <w:bottom w:w="90" w:type="dxa"/>
              <w:right w:w="120" w:type="dxa"/>
            </w:tcMar>
          </w:tcPr>
          <w:p w:rsidR="006556B8" w:rsidRDefault="00A65B26">
            <w:r>
              <w:rPr>
                <w:b/>
                <w:bCs/>
                <w:color w:val="3B4A66"/>
                <w:sz w:val="18"/>
                <w:szCs w:val="18"/>
              </w:rPr>
              <w:t>Version</w:t>
            </w:r>
          </w:p>
        </w:tc>
        <w:tc>
          <w:tcPr>
            <w:tcW w:w="4975" w:type="dxa"/>
            <w:tcBorders>
              <w:top w:val="single" w:sz="2" w:space="0" w:color="B7BFCC"/>
              <w:left w:val="single" w:sz="2" w:space="0" w:color="B7BFCC"/>
              <w:bottom w:val="single" w:sz="2" w:space="0" w:color="B7BFCC"/>
              <w:right w:val="single" w:sz="2" w:space="0" w:color="B7BFCC"/>
            </w:tcBorders>
            <w:tcMar>
              <w:top w:w="90" w:type="dxa"/>
              <w:left w:w="120" w:type="dxa"/>
              <w:bottom w:w="90" w:type="dxa"/>
              <w:right w:w="120" w:type="dxa"/>
            </w:tcMar>
          </w:tcPr>
          <w:p w:rsidR="006556B8" w:rsidRDefault="00A65B26">
            <w:r>
              <w:rPr>
                <w:sz w:val="18"/>
                <w:szCs w:val="18"/>
              </w:rPr>
              <w:t>1.0</w:t>
            </w:r>
          </w:p>
        </w:tc>
      </w:tr>
      <w:tr w:rsidR="006556B8" w:rsidTr="00EC00BA">
        <w:tblPrEx>
          <w:tblCellMar>
            <w:top w:w="0" w:type="dxa"/>
            <w:bottom w:w="0" w:type="dxa"/>
          </w:tblCellMar>
        </w:tblPrEx>
        <w:trPr>
          <w:trHeight w:val="311"/>
          <w:jc w:val="center"/>
        </w:trPr>
        <w:tc>
          <w:tcPr>
            <w:tcW w:w="3142" w:type="dxa"/>
            <w:tcBorders>
              <w:top w:val="single" w:sz="2" w:space="0" w:color="B7BFCC"/>
              <w:left w:val="single" w:sz="2" w:space="0" w:color="B7BFCC"/>
              <w:bottom w:val="single" w:sz="2" w:space="0" w:color="B7BFCC"/>
              <w:right w:val="single" w:sz="2" w:space="0" w:color="B7BFCC"/>
            </w:tcBorders>
            <w:shd w:val="clear" w:color="auto" w:fill="F2F4F8"/>
            <w:tcMar>
              <w:top w:w="90" w:type="dxa"/>
              <w:left w:w="120" w:type="dxa"/>
              <w:bottom w:w="90" w:type="dxa"/>
              <w:right w:w="120" w:type="dxa"/>
            </w:tcMar>
          </w:tcPr>
          <w:p w:rsidR="006556B8" w:rsidRDefault="00A65B26">
            <w:r>
              <w:rPr>
                <w:b/>
                <w:bCs/>
                <w:color w:val="3B4A66"/>
                <w:sz w:val="18"/>
                <w:szCs w:val="18"/>
              </w:rPr>
              <w:t>Status</w:t>
            </w:r>
          </w:p>
        </w:tc>
        <w:tc>
          <w:tcPr>
            <w:tcW w:w="4975" w:type="dxa"/>
            <w:tcBorders>
              <w:top w:val="single" w:sz="2" w:space="0" w:color="B7BFCC"/>
              <w:left w:val="single" w:sz="2" w:space="0" w:color="B7BFCC"/>
              <w:bottom w:val="single" w:sz="2" w:space="0" w:color="B7BFCC"/>
              <w:right w:val="single" w:sz="2" w:space="0" w:color="B7BFCC"/>
            </w:tcBorders>
            <w:tcMar>
              <w:top w:w="90" w:type="dxa"/>
              <w:left w:w="120" w:type="dxa"/>
              <w:bottom w:w="90" w:type="dxa"/>
              <w:right w:w="120" w:type="dxa"/>
            </w:tcMar>
          </w:tcPr>
          <w:p w:rsidR="006556B8" w:rsidRDefault="00A65B26">
            <w:r>
              <w:rPr>
                <w:sz w:val="18"/>
                <w:szCs w:val="18"/>
              </w:rPr>
              <w:t>Draft — For Review</w:t>
            </w:r>
          </w:p>
        </w:tc>
      </w:tr>
      <w:tr w:rsidR="006556B8" w:rsidTr="00EC00BA">
        <w:tblPrEx>
          <w:tblCellMar>
            <w:top w:w="0" w:type="dxa"/>
            <w:bottom w:w="0" w:type="dxa"/>
          </w:tblCellMar>
        </w:tblPrEx>
        <w:trPr>
          <w:trHeight w:val="330"/>
          <w:jc w:val="center"/>
        </w:trPr>
        <w:tc>
          <w:tcPr>
            <w:tcW w:w="3142" w:type="dxa"/>
            <w:tcBorders>
              <w:top w:val="single" w:sz="2" w:space="0" w:color="B7BFCC"/>
              <w:left w:val="single" w:sz="2" w:space="0" w:color="B7BFCC"/>
              <w:bottom w:val="single" w:sz="2" w:space="0" w:color="B7BFCC"/>
              <w:right w:val="single" w:sz="2" w:space="0" w:color="B7BFCC"/>
            </w:tcBorders>
            <w:shd w:val="clear" w:color="auto" w:fill="F2F4F8"/>
            <w:tcMar>
              <w:top w:w="90" w:type="dxa"/>
              <w:left w:w="120" w:type="dxa"/>
              <w:bottom w:w="90" w:type="dxa"/>
              <w:right w:w="120" w:type="dxa"/>
            </w:tcMar>
          </w:tcPr>
          <w:p w:rsidR="006556B8" w:rsidRDefault="00A65B26">
            <w:r>
              <w:rPr>
                <w:b/>
                <w:bCs/>
                <w:color w:val="3B4A66"/>
                <w:sz w:val="18"/>
                <w:szCs w:val="18"/>
              </w:rPr>
              <w:t>Date</w:t>
            </w:r>
          </w:p>
        </w:tc>
        <w:tc>
          <w:tcPr>
            <w:tcW w:w="4975" w:type="dxa"/>
            <w:tcBorders>
              <w:top w:val="single" w:sz="2" w:space="0" w:color="B7BFCC"/>
              <w:left w:val="single" w:sz="2" w:space="0" w:color="B7BFCC"/>
              <w:bottom w:val="single" w:sz="2" w:space="0" w:color="B7BFCC"/>
              <w:right w:val="single" w:sz="2" w:space="0" w:color="B7BFCC"/>
            </w:tcBorders>
            <w:tcMar>
              <w:top w:w="90" w:type="dxa"/>
              <w:left w:w="120" w:type="dxa"/>
              <w:bottom w:w="90" w:type="dxa"/>
              <w:right w:w="120" w:type="dxa"/>
            </w:tcMar>
          </w:tcPr>
          <w:p w:rsidR="006556B8" w:rsidRDefault="00A65B26">
            <w:r>
              <w:rPr>
                <w:sz w:val="18"/>
                <w:szCs w:val="18"/>
              </w:rPr>
              <w:t>September 2026</w:t>
            </w:r>
          </w:p>
        </w:tc>
      </w:tr>
      <w:tr w:rsidR="006556B8" w:rsidTr="00EC00BA">
        <w:tblPrEx>
          <w:tblCellMar>
            <w:top w:w="0" w:type="dxa"/>
            <w:bottom w:w="0" w:type="dxa"/>
          </w:tblCellMar>
        </w:tblPrEx>
        <w:trPr>
          <w:trHeight w:val="330"/>
          <w:jc w:val="center"/>
        </w:trPr>
        <w:tc>
          <w:tcPr>
            <w:tcW w:w="3142" w:type="dxa"/>
            <w:tcBorders>
              <w:top w:val="single" w:sz="2" w:space="0" w:color="B7BFCC"/>
              <w:left w:val="single" w:sz="2" w:space="0" w:color="B7BFCC"/>
              <w:bottom w:val="single" w:sz="2" w:space="0" w:color="B7BFCC"/>
              <w:right w:val="single" w:sz="2" w:space="0" w:color="B7BFCC"/>
            </w:tcBorders>
            <w:shd w:val="clear" w:color="auto" w:fill="F2F4F8"/>
            <w:tcMar>
              <w:top w:w="90" w:type="dxa"/>
              <w:left w:w="120" w:type="dxa"/>
              <w:bottom w:w="90" w:type="dxa"/>
              <w:right w:w="120" w:type="dxa"/>
            </w:tcMar>
          </w:tcPr>
          <w:p w:rsidR="006556B8" w:rsidRDefault="00A65B26">
            <w:r>
              <w:rPr>
                <w:b/>
                <w:bCs/>
                <w:color w:val="3B4A66"/>
                <w:sz w:val="18"/>
                <w:szCs w:val="18"/>
              </w:rPr>
              <w:t>Classification</w:t>
            </w:r>
          </w:p>
        </w:tc>
        <w:tc>
          <w:tcPr>
            <w:tcW w:w="4975" w:type="dxa"/>
            <w:tcBorders>
              <w:top w:val="single" w:sz="2" w:space="0" w:color="B7BFCC"/>
              <w:left w:val="single" w:sz="2" w:space="0" w:color="B7BFCC"/>
              <w:bottom w:val="single" w:sz="2" w:space="0" w:color="B7BFCC"/>
              <w:right w:val="single" w:sz="2" w:space="0" w:color="B7BFCC"/>
            </w:tcBorders>
            <w:tcMar>
              <w:top w:w="90" w:type="dxa"/>
              <w:left w:w="120" w:type="dxa"/>
              <w:bottom w:w="90" w:type="dxa"/>
              <w:right w:w="120" w:type="dxa"/>
            </w:tcMar>
          </w:tcPr>
          <w:p w:rsidR="006556B8" w:rsidRDefault="00A65B26">
            <w:r>
              <w:rPr>
                <w:sz w:val="18"/>
                <w:szCs w:val="18"/>
              </w:rPr>
              <w:t>Internal Use — Simulation Project</w:t>
            </w:r>
          </w:p>
        </w:tc>
      </w:tr>
    </w:tbl>
    <w:p w:rsidR="006556B8" w:rsidRDefault="00A65B26">
      <w:r>
        <w:br w:type="page"/>
      </w:r>
    </w:p>
    <w:p w:rsidR="006556B8" w:rsidRDefault="00A65B26">
      <w:pPr>
        <w:pStyle w:val="Heading1"/>
        <w:pBdr>
          <w:bottom w:val="single" w:sz="8" w:space="6" w:color="1F2A44"/>
        </w:pBdr>
        <w:spacing w:before="240" w:after="160"/>
      </w:pPr>
      <w:r>
        <w:rPr>
          <w:b/>
          <w:bCs/>
          <w:color w:val="1F2A44"/>
          <w:sz w:val="30"/>
          <w:szCs w:val="30"/>
        </w:rPr>
        <w:lastRenderedPageBreak/>
        <w:t>Document Control</w:t>
      </w:r>
    </w:p>
    <w:p w:rsidR="006556B8" w:rsidRDefault="00A65B26">
      <w:pPr>
        <w:pStyle w:val="Heading3"/>
        <w:spacing w:before="220" w:after="100"/>
      </w:pPr>
      <w:r>
        <w:rPr>
          <w:b/>
          <w:bCs/>
          <w:color w:val="3B4A66"/>
          <w:sz w:val="21"/>
          <w:szCs w:val="21"/>
        </w:rPr>
        <w:t>Revision History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400"/>
        <w:gridCol w:w="3750"/>
      </w:tblGrid>
      <w:tr w:rsidR="006556B8">
        <w:tblPrEx>
          <w:tblCellMar>
            <w:top w:w="0" w:type="dxa"/>
            <w:bottom w:w="0" w:type="dxa"/>
          </w:tblCellMar>
        </w:tblPrEx>
        <w:trPr>
          <w:tblHeader/>
        </w:trPr>
        <w:tc>
          <w:tcPr>
            <w:tcW w:w="14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Version</w:t>
            </w:r>
          </w:p>
        </w:tc>
        <w:tc>
          <w:tcPr>
            <w:tcW w:w="18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Date</w:t>
            </w:r>
          </w:p>
        </w:tc>
        <w:tc>
          <w:tcPr>
            <w:tcW w:w="24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Author</w:t>
            </w:r>
          </w:p>
        </w:tc>
        <w:tc>
          <w:tcPr>
            <w:tcW w:w="37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Summary of Changes</w:t>
            </w:r>
          </w:p>
        </w:tc>
      </w:tr>
      <w:tr w:rsidR="006556B8">
        <w:tblPrEx>
          <w:tblCellMar>
            <w:top w:w="0" w:type="dxa"/>
            <w:bottom w:w="0" w:type="dxa"/>
          </w:tblCellMar>
        </w:tblPrEx>
        <w:tc>
          <w:tcPr>
            <w:tcW w:w="14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0.1</w:t>
            </w:r>
          </w:p>
        </w:tc>
        <w:tc>
          <w:tcPr>
            <w:tcW w:w="18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Sep 2026</w:t>
            </w:r>
          </w:p>
        </w:tc>
        <w:tc>
          <w:tcPr>
            <w:tcW w:w="24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Engineering (Draft)</w:t>
            </w:r>
          </w:p>
        </w:tc>
        <w:tc>
          <w:tcPr>
            <w:tcW w:w="37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Initial project understanding notes captured from program brief.</w:t>
            </w:r>
          </w:p>
        </w:tc>
      </w:tr>
      <w:tr w:rsidR="006556B8">
        <w:tblPrEx>
          <w:tblCellMar>
            <w:top w:w="0" w:type="dxa"/>
            <w:bottom w:w="0" w:type="dxa"/>
          </w:tblCellMar>
        </w:tblPrEx>
        <w:tc>
          <w:tcPr>
            <w:tcW w:w="14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1.0</w:t>
            </w:r>
          </w:p>
        </w:tc>
        <w:tc>
          <w:tcPr>
            <w:tcW w:w="18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Sep 2026</w:t>
            </w:r>
          </w:p>
        </w:tc>
        <w:tc>
          <w:tcPr>
            <w:tcW w:w="24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Engineering</w:t>
            </w:r>
          </w:p>
        </w:tc>
        <w:tc>
          <w:tcPr>
            <w:tcW w:w="37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Consolidated PRD, TRD, System Interaction Flow, and Implementation Plan; added architecture, sequence and data model diagrams; added risk register and RAID log.</w:t>
            </w:r>
          </w:p>
        </w:tc>
      </w:tr>
    </w:tbl>
    <w:p w:rsidR="006556B8" w:rsidRDefault="00A65B26">
      <w:pPr>
        <w:pStyle w:val="Heading3"/>
        <w:spacing w:before="220" w:after="100"/>
      </w:pPr>
      <w:r>
        <w:rPr>
          <w:b/>
          <w:bCs/>
          <w:color w:val="3B4A66"/>
          <w:sz w:val="21"/>
          <w:szCs w:val="21"/>
        </w:rPr>
        <w:t>Approval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200"/>
        <w:gridCol w:w="1950"/>
      </w:tblGrid>
      <w:tr w:rsidR="006556B8">
        <w:tblPrEx>
          <w:tblCellMar>
            <w:top w:w="0" w:type="dxa"/>
            <w:bottom w:w="0" w:type="dxa"/>
          </w:tblCellMar>
        </w:tblPrEx>
        <w:trPr>
          <w:tblHeader/>
        </w:trPr>
        <w:tc>
          <w:tcPr>
            <w:tcW w:w="26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Role</w:t>
            </w:r>
          </w:p>
        </w:tc>
        <w:tc>
          <w:tcPr>
            <w:tcW w:w="26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Name</w:t>
            </w:r>
          </w:p>
        </w:tc>
        <w:tc>
          <w:tcPr>
            <w:tcW w:w="22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Status</w:t>
            </w:r>
          </w:p>
        </w:tc>
        <w:tc>
          <w:tcPr>
            <w:tcW w:w="19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Date</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Technical Reviewer</w:t>
            </w:r>
          </w:p>
        </w:tc>
        <w:tc>
          <w:tcPr>
            <w:tcW w:w="2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TBD</w:t>
            </w:r>
          </w:p>
        </w:tc>
        <w:tc>
          <w:tcPr>
            <w:tcW w:w="22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Pending</w:t>
            </w:r>
          </w:p>
        </w:tc>
        <w:tc>
          <w:tcPr>
            <w:tcW w:w="19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Product Owner</w:t>
            </w:r>
          </w:p>
        </w:tc>
        <w:tc>
          <w:tcPr>
            <w:tcW w:w="2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TBD</w:t>
            </w:r>
          </w:p>
        </w:tc>
        <w:tc>
          <w:tcPr>
            <w:tcW w:w="22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Pending</w:t>
            </w:r>
          </w:p>
        </w:tc>
        <w:tc>
          <w:tcPr>
            <w:tcW w:w="19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w:t>
            </w:r>
          </w:p>
        </w:tc>
      </w:tr>
    </w:tbl>
    <w:p w:rsidR="006556B8" w:rsidRDefault="00A65B26">
      <w:pPr>
        <w:pStyle w:val="Heading3"/>
        <w:spacing w:before="220" w:after="100"/>
      </w:pPr>
      <w:r>
        <w:rPr>
          <w:b/>
          <w:bCs/>
          <w:color w:val="3B4A66"/>
          <w:sz w:val="21"/>
          <w:szCs w:val="21"/>
        </w:rPr>
        <w:t>Related Documents</w:t>
      </w:r>
    </w:p>
    <w:p w:rsidR="006556B8" w:rsidRDefault="00A65B26">
      <w:pPr>
        <w:pStyle w:val="ListParagraph"/>
        <w:numPr>
          <w:ilvl w:val="0"/>
          <w:numId w:val="1"/>
        </w:numPr>
        <w:spacing w:after="80" w:line="264" w:lineRule="auto"/>
      </w:pPr>
      <w:r>
        <w:t>Program scaffold repository — https://github.com/vagabond-systems/forage-midas</w:t>
      </w:r>
    </w:p>
    <w:p w:rsidR="006556B8" w:rsidRDefault="00A65B26">
      <w:pPr>
        <w:pStyle w:val="ListParagraph"/>
        <w:numPr>
          <w:ilvl w:val="0"/>
          <w:numId w:val="1"/>
        </w:numPr>
        <w:spacing w:after="80" w:line="264" w:lineRule="auto"/>
      </w:pPr>
      <w:r>
        <w:t>Original project understanding notes — Project_Understanding_Draft.md (source input for this document)</w:t>
      </w:r>
    </w:p>
    <w:p w:rsidR="006556B8" w:rsidRDefault="00A65B26">
      <w:r>
        <w:br w:type="page"/>
      </w:r>
    </w:p>
    <w:p w:rsidR="006556B8" w:rsidRDefault="00A65B26">
      <w:pPr>
        <w:pStyle w:val="Heading1"/>
        <w:pBdr>
          <w:bottom w:val="single" w:sz="8" w:space="6" w:color="1F2A44"/>
        </w:pBdr>
        <w:spacing w:before="240" w:after="160"/>
      </w:pPr>
      <w:r>
        <w:rPr>
          <w:b/>
          <w:bCs/>
          <w:color w:val="1F2A44"/>
          <w:sz w:val="30"/>
          <w:szCs w:val="30"/>
        </w:rPr>
        <w:lastRenderedPageBreak/>
        <w:t>Table of Contents</w:t>
      </w:r>
    </w:p>
    <w:p w:rsidR="006556B8" w:rsidRDefault="00A65B26">
      <w:pPr>
        <w:tabs>
          <w:tab w:val="right" w:leader="dot" w:pos="9350"/>
        </w:tabs>
        <w:spacing w:before="140" w:after="120"/>
      </w:pPr>
      <w:r>
        <w:rPr>
          <w:b/>
          <w:bCs/>
          <w:color w:val="1F2A44"/>
        </w:rPr>
        <w:t>1.  Executive Summary</w:t>
      </w:r>
      <w:r>
        <w:rPr>
          <w:b/>
          <w:bCs/>
          <w:color w:val="1F2A44"/>
        </w:rPr>
        <w:tab/>
        <w:t>5</w:t>
      </w:r>
    </w:p>
    <w:p w:rsidR="006556B8" w:rsidRDefault="00A65B26">
      <w:pPr>
        <w:tabs>
          <w:tab w:val="right" w:leader="dot" w:pos="9350"/>
        </w:tabs>
        <w:spacing w:before="140" w:after="120"/>
      </w:pPr>
      <w:r>
        <w:rPr>
          <w:b/>
          <w:bCs/>
          <w:color w:val="1F2A44"/>
        </w:rPr>
        <w:t>2.  Part I — Product Requirements Document (PRD)</w:t>
      </w:r>
      <w:r>
        <w:rPr>
          <w:b/>
          <w:bCs/>
          <w:color w:val="1F2A44"/>
        </w:rPr>
        <w:tab/>
        <w:t>6</w:t>
      </w:r>
    </w:p>
    <w:p w:rsidR="006556B8" w:rsidRDefault="00A65B26">
      <w:pPr>
        <w:tabs>
          <w:tab w:val="right" w:leader="dot" w:pos="9030"/>
        </w:tabs>
        <w:spacing w:after="60"/>
        <w:ind w:left="320"/>
      </w:pPr>
      <w:proofErr w:type="gramStart"/>
      <w:r>
        <w:rPr>
          <w:sz w:val="20"/>
          <w:szCs w:val="20"/>
        </w:rPr>
        <w:t>2.1  Purpose</w:t>
      </w:r>
      <w:proofErr w:type="gramEnd"/>
      <w:r>
        <w:rPr>
          <w:color w:val="5B6577"/>
          <w:sz w:val="20"/>
          <w:szCs w:val="20"/>
        </w:rPr>
        <w:tab/>
        <w:t>6</w:t>
      </w:r>
    </w:p>
    <w:p w:rsidR="006556B8" w:rsidRDefault="00A65B26">
      <w:pPr>
        <w:tabs>
          <w:tab w:val="right" w:leader="dot" w:pos="9030"/>
        </w:tabs>
        <w:spacing w:after="60"/>
        <w:ind w:left="320"/>
      </w:pPr>
      <w:proofErr w:type="gramStart"/>
      <w:r>
        <w:rPr>
          <w:sz w:val="20"/>
          <w:szCs w:val="20"/>
        </w:rPr>
        <w:t>2.2  Background</w:t>
      </w:r>
      <w:proofErr w:type="gramEnd"/>
      <w:r>
        <w:rPr>
          <w:color w:val="5B6577"/>
          <w:sz w:val="20"/>
          <w:szCs w:val="20"/>
        </w:rPr>
        <w:tab/>
        <w:t>6</w:t>
      </w:r>
    </w:p>
    <w:p w:rsidR="006556B8" w:rsidRDefault="00A65B26">
      <w:pPr>
        <w:tabs>
          <w:tab w:val="right" w:leader="dot" w:pos="9030"/>
        </w:tabs>
        <w:spacing w:after="60"/>
        <w:ind w:left="320"/>
      </w:pPr>
      <w:proofErr w:type="gramStart"/>
      <w:r>
        <w:rPr>
          <w:sz w:val="20"/>
          <w:szCs w:val="20"/>
        </w:rPr>
        <w:t>2.3  Goals</w:t>
      </w:r>
      <w:proofErr w:type="gramEnd"/>
      <w:r>
        <w:rPr>
          <w:sz w:val="20"/>
          <w:szCs w:val="20"/>
        </w:rPr>
        <w:t xml:space="preserve"> and Objectives</w:t>
      </w:r>
      <w:r>
        <w:rPr>
          <w:color w:val="5B6577"/>
          <w:sz w:val="20"/>
          <w:szCs w:val="20"/>
        </w:rPr>
        <w:tab/>
        <w:t>6</w:t>
      </w:r>
    </w:p>
    <w:p w:rsidR="006556B8" w:rsidRDefault="00A65B26">
      <w:pPr>
        <w:tabs>
          <w:tab w:val="right" w:leader="dot" w:pos="9030"/>
        </w:tabs>
        <w:spacing w:after="60"/>
        <w:ind w:left="320"/>
      </w:pPr>
      <w:proofErr w:type="gramStart"/>
      <w:r>
        <w:rPr>
          <w:sz w:val="20"/>
          <w:szCs w:val="20"/>
        </w:rPr>
        <w:t>2.4  Scope</w:t>
      </w:r>
      <w:proofErr w:type="gramEnd"/>
      <w:r>
        <w:rPr>
          <w:color w:val="5B6577"/>
          <w:sz w:val="20"/>
          <w:szCs w:val="20"/>
        </w:rPr>
        <w:tab/>
        <w:t>6</w:t>
      </w:r>
    </w:p>
    <w:p w:rsidR="006556B8" w:rsidRDefault="00A65B26">
      <w:pPr>
        <w:tabs>
          <w:tab w:val="right" w:leader="dot" w:pos="9030"/>
        </w:tabs>
        <w:spacing w:after="60"/>
        <w:ind w:left="320"/>
      </w:pPr>
      <w:proofErr w:type="gramStart"/>
      <w:r>
        <w:rPr>
          <w:sz w:val="20"/>
          <w:szCs w:val="20"/>
        </w:rPr>
        <w:t>2.5  Stakeholders</w:t>
      </w:r>
      <w:proofErr w:type="gramEnd"/>
      <w:r>
        <w:rPr>
          <w:sz w:val="20"/>
          <w:szCs w:val="20"/>
        </w:rPr>
        <w:t xml:space="preserve"> and Actors</w:t>
      </w:r>
      <w:r>
        <w:rPr>
          <w:color w:val="5B6577"/>
          <w:sz w:val="20"/>
          <w:szCs w:val="20"/>
        </w:rPr>
        <w:tab/>
        <w:t>7</w:t>
      </w:r>
    </w:p>
    <w:p w:rsidR="006556B8" w:rsidRDefault="00A65B26">
      <w:pPr>
        <w:tabs>
          <w:tab w:val="right" w:leader="dot" w:pos="9030"/>
        </w:tabs>
        <w:spacing w:after="60"/>
        <w:ind w:left="320"/>
      </w:pPr>
      <w:proofErr w:type="gramStart"/>
      <w:r>
        <w:rPr>
          <w:sz w:val="20"/>
          <w:szCs w:val="20"/>
        </w:rPr>
        <w:t>2.6  Functional</w:t>
      </w:r>
      <w:proofErr w:type="gramEnd"/>
      <w:r>
        <w:rPr>
          <w:sz w:val="20"/>
          <w:szCs w:val="20"/>
        </w:rPr>
        <w:t xml:space="preserve"> Requirements</w:t>
      </w:r>
      <w:r>
        <w:rPr>
          <w:color w:val="5B6577"/>
          <w:sz w:val="20"/>
          <w:szCs w:val="20"/>
        </w:rPr>
        <w:tab/>
        <w:t>7</w:t>
      </w:r>
    </w:p>
    <w:p w:rsidR="006556B8" w:rsidRDefault="00A65B26">
      <w:pPr>
        <w:tabs>
          <w:tab w:val="right" w:leader="dot" w:pos="9030"/>
        </w:tabs>
        <w:spacing w:after="60"/>
        <w:ind w:left="320"/>
      </w:pPr>
      <w:proofErr w:type="gramStart"/>
      <w:r>
        <w:rPr>
          <w:sz w:val="20"/>
          <w:szCs w:val="20"/>
        </w:rPr>
        <w:t>2.7  Non</w:t>
      </w:r>
      <w:proofErr w:type="gramEnd"/>
      <w:r>
        <w:rPr>
          <w:sz w:val="20"/>
          <w:szCs w:val="20"/>
        </w:rPr>
        <w:t>-Functional Requirements</w:t>
      </w:r>
      <w:r>
        <w:rPr>
          <w:color w:val="5B6577"/>
          <w:sz w:val="20"/>
          <w:szCs w:val="20"/>
        </w:rPr>
        <w:tab/>
        <w:t>8</w:t>
      </w:r>
    </w:p>
    <w:p w:rsidR="006556B8" w:rsidRDefault="00A65B26">
      <w:pPr>
        <w:tabs>
          <w:tab w:val="right" w:leader="dot" w:pos="9030"/>
        </w:tabs>
        <w:spacing w:after="60"/>
        <w:ind w:left="320"/>
      </w:pPr>
      <w:proofErr w:type="gramStart"/>
      <w:r>
        <w:rPr>
          <w:sz w:val="20"/>
          <w:szCs w:val="20"/>
        </w:rPr>
        <w:t>2.8  Assumptions</w:t>
      </w:r>
      <w:proofErr w:type="gramEnd"/>
      <w:r>
        <w:rPr>
          <w:color w:val="5B6577"/>
          <w:sz w:val="20"/>
          <w:szCs w:val="20"/>
        </w:rPr>
        <w:tab/>
        <w:t>9</w:t>
      </w:r>
    </w:p>
    <w:p w:rsidR="006556B8" w:rsidRDefault="00A65B26">
      <w:pPr>
        <w:tabs>
          <w:tab w:val="right" w:leader="dot" w:pos="9030"/>
        </w:tabs>
        <w:spacing w:after="60"/>
        <w:ind w:left="320"/>
      </w:pPr>
      <w:proofErr w:type="gramStart"/>
      <w:r>
        <w:rPr>
          <w:sz w:val="20"/>
          <w:szCs w:val="20"/>
        </w:rPr>
        <w:t>2.9  Constraints</w:t>
      </w:r>
      <w:proofErr w:type="gramEnd"/>
      <w:r>
        <w:rPr>
          <w:color w:val="5B6577"/>
          <w:sz w:val="20"/>
          <w:szCs w:val="20"/>
        </w:rPr>
        <w:tab/>
        <w:t>9</w:t>
      </w:r>
    </w:p>
    <w:p w:rsidR="006556B8" w:rsidRDefault="00A65B26">
      <w:pPr>
        <w:tabs>
          <w:tab w:val="right" w:leader="dot" w:pos="9030"/>
        </w:tabs>
        <w:spacing w:after="60"/>
        <w:ind w:left="320"/>
      </w:pPr>
      <w:proofErr w:type="gramStart"/>
      <w:r>
        <w:rPr>
          <w:sz w:val="20"/>
          <w:szCs w:val="20"/>
        </w:rPr>
        <w:t>2.10  Success</w:t>
      </w:r>
      <w:proofErr w:type="gramEnd"/>
      <w:r>
        <w:rPr>
          <w:sz w:val="20"/>
          <w:szCs w:val="20"/>
        </w:rPr>
        <w:t xml:space="preserve"> Metrics and Acceptance Criteria</w:t>
      </w:r>
      <w:r>
        <w:rPr>
          <w:color w:val="5B6577"/>
          <w:sz w:val="20"/>
          <w:szCs w:val="20"/>
        </w:rPr>
        <w:tab/>
        <w:t>9</w:t>
      </w:r>
    </w:p>
    <w:p w:rsidR="006556B8" w:rsidRDefault="00A65B26">
      <w:pPr>
        <w:tabs>
          <w:tab w:val="right" w:leader="dot" w:pos="9030"/>
        </w:tabs>
        <w:spacing w:after="60"/>
        <w:ind w:left="320"/>
      </w:pPr>
      <w:proofErr w:type="gramStart"/>
      <w:r>
        <w:rPr>
          <w:sz w:val="20"/>
          <w:szCs w:val="20"/>
        </w:rPr>
        <w:t>2.11  Future</w:t>
      </w:r>
      <w:proofErr w:type="gramEnd"/>
      <w:r>
        <w:rPr>
          <w:sz w:val="20"/>
          <w:szCs w:val="20"/>
        </w:rPr>
        <w:t xml:space="preserve"> Enhancements (Out of Current Scope)</w:t>
      </w:r>
      <w:r>
        <w:rPr>
          <w:color w:val="5B6577"/>
          <w:sz w:val="20"/>
          <w:szCs w:val="20"/>
        </w:rPr>
        <w:tab/>
        <w:t>9</w:t>
      </w:r>
    </w:p>
    <w:p w:rsidR="006556B8" w:rsidRDefault="00A65B26">
      <w:pPr>
        <w:tabs>
          <w:tab w:val="right" w:leader="dot" w:pos="9350"/>
        </w:tabs>
        <w:spacing w:before="140" w:after="120"/>
      </w:pPr>
      <w:r>
        <w:rPr>
          <w:b/>
          <w:bCs/>
          <w:color w:val="1F2A44"/>
        </w:rPr>
        <w:t>3.  Part II — Technical Requirements Document (TRD)</w:t>
      </w:r>
      <w:r>
        <w:rPr>
          <w:b/>
          <w:bCs/>
          <w:color w:val="1F2A44"/>
        </w:rPr>
        <w:tab/>
        <w:t>11</w:t>
      </w:r>
    </w:p>
    <w:p w:rsidR="006556B8" w:rsidRDefault="00A65B26">
      <w:pPr>
        <w:tabs>
          <w:tab w:val="right" w:leader="dot" w:pos="9030"/>
        </w:tabs>
        <w:spacing w:after="60"/>
        <w:ind w:left="320"/>
      </w:pPr>
      <w:proofErr w:type="gramStart"/>
      <w:r>
        <w:rPr>
          <w:sz w:val="20"/>
          <w:szCs w:val="20"/>
        </w:rPr>
        <w:t>3.1  Architecture</w:t>
      </w:r>
      <w:proofErr w:type="gramEnd"/>
      <w:r>
        <w:rPr>
          <w:sz w:val="20"/>
          <w:szCs w:val="20"/>
        </w:rPr>
        <w:t xml:space="preserve"> Overview</w:t>
      </w:r>
      <w:r>
        <w:rPr>
          <w:color w:val="5B6577"/>
          <w:sz w:val="20"/>
          <w:szCs w:val="20"/>
        </w:rPr>
        <w:tab/>
        <w:t>11</w:t>
      </w:r>
    </w:p>
    <w:p w:rsidR="006556B8" w:rsidRDefault="00A65B26">
      <w:pPr>
        <w:tabs>
          <w:tab w:val="right" w:leader="dot" w:pos="9030"/>
        </w:tabs>
        <w:spacing w:after="60"/>
        <w:ind w:left="320"/>
      </w:pPr>
      <w:proofErr w:type="gramStart"/>
      <w:r>
        <w:rPr>
          <w:sz w:val="20"/>
          <w:szCs w:val="20"/>
        </w:rPr>
        <w:t>3.2  Technology</w:t>
      </w:r>
      <w:proofErr w:type="gramEnd"/>
      <w:r>
        <w:rPr>
          <w:sz w:val="20"/>
          <w:szCs w:val="20"/>
        </w:rPr>
        <w:t xml:space="preserve"> Stack</w:t>
      </w:r>
      <w:r>
        <w:rPr>
          <w:color w:val="5B6577"/>
          <w:sz w:val="20"/>
          <w:szCs w:val="20"/>
        </w:rPr>
        <w:tab/>
        <w:t>11</w:t>
      </w:r>
    </w:p>
    <w:p w:rsidR="006556B8" w:rsidRDefault="00A65B26">
      <w:pPr>
        <w:tabs>
          <w:tab w:val="right" w:leader="dot" w:pos="9030"/>
        </w:tabs>
        <w:spacing w:after="60"/>
        <w:ind w:left="320"/>
      </w:pPr>
      <w:proofErr w:type="gramStart"/>
      <w:r>
        <w:rPr>
          <w:sz w:val="20"/>
          <w:szCs w:val="20"/>
        </w:rPr>
        <w:t>3.3  Component</w:t>
      </w:r>
      <w:proofErr w:type="gramEnd"/>
      <w:r>
        <w:rPr>
          <w:sz w:val="20"/>
          <w:szCs w:val="20"/>
        </w:rPr>
        <w:t xml:space="preserve"> Design</w:t>
      </w:r>
      <w:r>
        <w:rPr>
          <w:color w:val="5B6577"/>
          <w:sz w:val="20"/>
          <w:szCs w:val="20"/>
        </w:rPr>
        <w:tab/>
        <w:t>12</w:t>
      </w:r>
    </w:p>
    <w:p w:rsidR="006556B8" w:rsidRDefault="00A65B26">
      <w:pPr>
        <w:tabs>
          <w:tab w:val="right" w:leader="dot" w:pos="9030"/>
        </w:tabs>
        <w:spacing w:after="60"/>
        <w:ind w:left="320"/>
      </w:pPr>
      <w:proofErr w:type="gramStart"/>
      <w:r>
        <w:rPr>
          <w:sz w:val="20"/>
          <w:szCs w:val="20"/>
        </w:rPr>
        <w:t>3.4</w:t>
      </w:r>
      <w:r>
        <w:rPr>
          <w:sz w:val="20"/>
          <w:szCs w:val="20"/>
        </w:rPr>
        <w:t xml:space="preserve">  Data</w:t>
      </w:r>
      <w:proofErr w:type="gramEnd"/>
      <w:r>
        <w:rPr>
          <w:sz w:val="20"/>
          <w:szCs w:val="20"/>
        </w:rPr>
        <w:t xml:space="preserve"> Model</w:t>
      </w:r>
      <w:r>
        <w:rPr>
          <w:color w:val="5B6577"/>
          <w:sz w:val="20"/>
          <w:szCs w:val="20"/>
        </w:rPr>
        <w:tab/>
        <w:t>13</w:t>
      </w:r>
    </w:p>
    <w:p w:rsidR="006556B8" w:rsidRDefault="00A65B26">
      <w:pPr>
        <w:tabs>
          <w:tab w:val="right" w:leader="dot" w:pos="9030"/>
        </w:tabs>
        <w:spacing w:after="60"/>
        <w:ind w:left="320"/>
      </w:pPr>
      <w:proofErr w:type="gramStart"/>
      <w:r>
        <w:rPr>
          <w:sz w:val="20"/>
          <w:szCs w:val="20"/>
        </w:rPr>
        <w:t>3.5  API</w:t>
      </w:r>
      <w:proofErr w:type="gramEnd"/>
      <w:r>
        <w:rPr>
          <w:sz w:val="20"/>
          <w:szCs w:val="20"/>
        </w:rPr>
        <w:t xml:space="preserve"> Specification</w:t>
      </w:r>
      <w:r>
        <w:rPr>
          <w:color w:val="5B6577"/>
          <w:sz w:val="20"/>
          <w:szCs w:val="20"/>
        </w:rPr>
        <w:tab/>
        <w:t>13</w:t>
      </w:r>
    </w:p>
    <w:p w:rsidR="006556B8" w:rsidRDefault="00A65B26">
      <w:pPr>
        <w:tabs>
          <w:tab w:val="right" w:leader="dot" w:pos="9030"/>
        </w:tabs>
        <w:spacing w:after="60"/>
        <w:ind w:left="320"/>
      </w:pPr>
      <w:proofErr w:type="gramStart"/>
      <w:r>
        <w:rPr>
          <w:sz w:val="20"/>
          <w:szCs w:val="20"/>
        </w:rPr>
        <w:t>3.6  Configuration</w:t>
      </w:r>
      <w:proofErr w:type="gramEnd"/>
      <w:r>
        <w:rPr>
          <w:sz w:val="20"/>
          <w:szCs w:val="20"/>
        </w:rPr>
        <w:t xml:space="preserve"> Reference (application.yml)</w:t>
      </w:r>
      <w:r>
        <w:rPr>
          <w:color w:val="5B6577"/>
          <w:sz w:val="20"/>
          <w:szCs w:val="20"/>
        </w:rPr>
        <w:tab/>
        <w:t>14</w:t>
      </w:r>
    </w:p>
    <w:p w:rsidR="006556B8" w:rsidRDefault="00A65B26">
      <w:pPr>
        <w:tabs>
          <w:tab w:val="right" w:leader="dot" w:pos="9030"/>
        </w:tabs>
        <w:spacing w:after="60"/>
        <w:ind w:left="320"/>
      </w:pPr>
      <w:proofErr w:type="gramStart"/>
      <w:r>
        <w:rPr>
          <w:sz w:val="20"/>
          <w:szCs w:val="20"/>
        </w:rPr>
        <w:t>3.7  Testing</w:t>
      </w:r>
      <w:proofErr w:type="gramEnd"/>
      <w:r>
        <w:rPr>
          <w:sz w:val="20"/>
          <w:szCs w:val="20"/>
        </w:rPr>
        <w:t xml:space="preserve"> Strategy</w:t>
      </w:r>
      <w:r>
        <w:rPr>
          <w:color w:val="5B6577"/>
          <w:sz w:val="20"/>
          <w:szCs w:val="20"/>
        </w:rPr>
        <w:tab/>
        <w:t>14</w:t>
      </w:r>
    </w:p>
    <w:p w:rsidR="006556B8" w:rsidRDefault="00A65B26">
      <w:pPr>
        <w:tabs>
          <w:tab w:val="right" w:leader="dot" w:pos="9030"/>
        </w:tabs>
        <w:spacing w:after="60"/>
        <w:ind w:left="320"/>
      </w:pPr>
      <w:proofErr w:type="gramStart"/>
      <w:r>
        <w:rPr>
          <w:sz w:val="20"/>
          <w:szCs w:val="20"/>
        </w:rPr>
        <w:t>3.8  Security</w:t>
      </w:r>
      <w:proofErr w:type="gramEnd"/>
      <w:r>
        <w:rPr>
          <w:sz w:val="20"/>
          <w:szCs w:val="20"/>
        </w:rPr>
        <w:t xml:space="preserve"> Considerations</w:t>
      </w:r>
      <w:r>
        <w:rPr>
          <w:color w:val="5B6577"/>
          <w:sz w:val="20"/>
          <w:szCs w:val="20"/>
        </w:rPr>
        <w:tab/>
        <w:t>14</w:t>
      </w:r>
    </w:p>
    <w:p w:rsidR="006556B8" w:rsidRDefault="00A65B26">
      <w:pPr>
        <w:tabs>
          <w:tab w:val="right" w:leader="dot" w:pos="9030"/>
        </w:tabs>
        <w:spacing w:after="60"/>
        <w:ind w:left="320"/>
      </w:pPr>
      <w:proofErr w:type="gramStart"/>
      <w:r>
        <w:rPr>
          <w:sz w:val="20"/>
          <w:szCs w:val="20"/>
        </w:rPr>
        <w:t>3.9  Risk</w:t>
      </w:r>
      <w:proofErr w:type="gramEnd"/>
      <w:r>
        <w:rPr>
          <w:sz w:val="20"/>
          <w:szCs w:val="20"/>
        </w:rPr>
        <w:t xml:space="preserve"> Register</w:t>
      </w:r>
      <w:r>
        <w:rPr>
          <w:color w:val="5B6577"/>
          <w:sz w:val="20"/>
          <w:szCs w:val="20"/>
        </w:rPr>
        <w:tab/>
        <w:t>15</w:t>
      </w:r>
    </w:p>
    <w:p w:rsidR="006556B8" w:rsidRDefault="00A65B26">
      <w:pPr>
        <w:tabs>
          <w:tab w:val="right" w:leader="dot" w:pos="9350"/>
        </w:tabs>
        <w:spacing w:before="140" w:after="120"/>
      </w:pPr>
      <w:r>
        <w:rPr>
          <w:b/>
          <w:bCs/>
          <w:color w:val="1F2A44"/>
        </w:rPr>
        <w:t>4.  Part III — System Interaction Flow</w:t>
      </w:r>
      <w:r>
        <w:rPr>
          <w:b/>
          <w:bCs/>
          <w:color w:val="1F2A44"/>
        </w:rPr>
        <w:tab/>
        <w:t>17</w:t>
      </w:r>
    </w:p>
    <w:p w:rsidR="006556B8" w:rsidRDefault="00A65B26">
      <w:pPr>
        <w:tabs>
          <w:tab w:val="right" w:leader="dot" w:pos="9030"/>
        </w:tabs>
        <w:spacing w:after="60"/>
        <w:ind w:left="320"/>
      </w:pPr>
      <w:proofErr w:type="gramStart"/>
      <w:r>
        <w:rPr>
          <w:sz w:val="20"/>
          <w:szCs w:val="20"/>
        </w:rPr>
        <w:t>4.1  End</w:t>
      </w:r>
      <w:proofErr w:type="gramEnd"/>
      <w:r>
        <w:rPr>
          <w:sz w:val="20"/>
          <w:szCs w:val="20"/>
        </w:rPr>
        <w:t>-to-End Interaction Sequence</w:t>
      </w:r>
      <w:r>
        <w:rPr>
          <w:color w:val="5B6577"/>
          <w:sz w:val="20"/>
          <w:szCs w:val="20"/>
        </w:rPr>
        <w:tab/>
        <w:t>17</w:t>
      </w:r>
    </w:p>
    <w:p w:rsidR="006556B8" w:rsidRDefault="00A65B26">
      <w:pPr>
        <w:tabs>
          <w:tab w:val="right" w:leader="dot" w:pos="9030"/>
        </w:tabs>
        <w:spacing w:after="60"/>
        <w:ind w:left="320"/>
      </w:pPr>
      <w:proofErr w:type="gramStart"/>
      <w:r>
        <w:rPr>
          <w:sz w:val="20"/>
          <w:szCs w:val="20"/>
        </w:rPr>
        <w:t>4.2  Transaction</w:t>
      </w:r>
      <w:proofErr w:type="gramEnd"/>
      <w:r>
        <w:rPr>
          <w:sz w:val="20"/>
          <w:szCs w:val="20"/>
        </w:rPr>
        <w:t xml:space="preserve"> State Model</w:t>
      </w:r>
      <w:r>
        <w:rPr>
          <w:color w:val="5B6577"/>
          <w:sz w:val="20"/>
          <w:szCs w:val="20"/>
        </w:rPr>
        <w:tab/>
        <w:t>17</w:t>
      </w:r>
    </w:p>
    <w:p w:rsidR="006556B8" w:rsidRDefault="00A65B26">
      <w:pPr>
        <w:tabs>
          <w:tab w:val="right" w:leader="dot" w:pos="9030"/>
        </w:tabs>
        <w:spacing w:after="60"/>
        <w:ind w:left="320"/>
      </w:pPr>
      <w:proofErr w:type="gramStart"/>
      <w:r>
        <w:rPr>
          <w:sz w:val="20"/>
          <w:szCs w:val="20"/>
        </w:rPr>
        <w:t>4.3  API</w:t>
      </w:r>
      <w:proofErr w:type="gramEnd"/>
      <w:r>
        <w:rPr>
          <w:sz w:val="20"/>
          <w:szCs w:val="20"/>
        </w:rPr>
        <w:t xml:space="preserve"> Consumer Experience — Success Path</w:t>
      </w:r>
      <w:r>
        <w:rPr>
          <w:color w:val="5B6577"/>
          <w:sz w:val="20"/>
          <w:szCs w:val="20"/>
        </w:rPr>
        <w:tab/>
        <w:t>18</w:t>
      </w:r>
    </w:p>
    <w:p w:rsidR="006556B8" w:rsidRDefault="00A65B26">
      <w:pPr>
        <w:tabs>
          <w:tab w:val="right" w:leader="dot" w:pos="9030"/>
        </w:tabs>
        <w:spacing w:after="60"/>
        <w:ind w:left="320"/>
      </w:pPr>
      <w:proofErr w:type="gramStart"/>
      <w:r>
        <w:rPr>
          <w:sz w:val="20"/>
          <w:szCs w:val="20"/>
        </w:rPr>
        <w:t>4.4  API</w:t>
      </w:r>
      <w:proofErr w:type="gramEnd"/>
      <w:r>
        <w:rPr>
          <w:sz w:val="20"/>
          <w:szCs w:val="20"/>
        </w:rPr>
        <w:t xml:space="preserve"> Consumer Experience — Exception Paths</w:t>
      </w:r>
      <w:r>
        <w:rPr>
          <w:color w:val="5B6577"/>
          <w:sz w:val="20"/>
          <w:szCs w:val="20"/>
        </w:rPr>
        <w:tab/>
        <w:t>18</w:t>
      </w:r>
    </w:p>
    <w:p w:rsidR="006556B8" w:rsidRDefault="00A65B26">
      <w:pPr>
        <w:tabs>
          <w:tab w:val="right" w:leader="dot" w:pos="9030"/>
        </w:tabs>
        <w:spacing w:after="60"/>
        <w:ind w:left="320"/>
      </w:pPr>
      <w:proofErr w:type="gramStart"/>
      <w:r>
        <w:rPr>
          <w:sz w:val="20"/>
          <w:szCs w:val="20"/>
        </w:rPr>
        <w:t>4.5  Balance</w:t>
      </w:r>
      <w:proofErr w:type="gramEnd"/>
      <w:r>
        <w:rPr>
          <w:sz w:val="20"/>
          <w:szCs w:val="20"/>
        </w:rPr>
        <w:t xml:space="preserve"> Query — Concurrent Operation</w:t>
      </w:r>
      <w:r>
        <w:rPr>
          <w:color w:val="5B6577"/>
          <w:sz w:val="20"/>
          <w:szCs w:val="20"/>
        </w:rPr>
        <w:tab/>
        <w:t>18</w:t>
      </w:r>
    </w:p>
    <w:p w:rsidR="006556B8" w:rsidRDefault="00A65B26">
      <w:pPr>
        <w:tabs>
          <w:tab w:val="right" w:leader="dot" w:pos="9350"/>
        </w:tabs>
        <w:spacing w:before="140" w:after="120"/>
      </w:pPr>
      <w:r>
        <w:rPr>
          <w:b/>
          <w:bCs/>
          <w:color w:val="1F2A44"/>
        </w:rPr>
        <w:t>5.  Part IV — Implementation Plan</w:t>
      </w:r>
      <w:r>
        <w:rPr>
          <w:b/>
          <w:bCs/>
          <w:color w:val="1F2A44"/>
        </w:rPr>
        <w:tab/>
        <w:t>19</w:t>
      </w:r>
    </w:p>
    <w:p w:rsidR="006556B8" w:rsidRDefault="00A65B26">
      <w:pPr>
        <w:tabs>
          <w:tab w:val="right" w:leader="dot" w:pos="9030"/>
        </w:tabs>
        <w:spacing w:after="60"/>
        <w:ind w:left="320"/>
      </w:pPr>
      <w:proofErr w:type="gramStart"/>
      <w:r>
        <w:rPr>
          <w:sz w:val="20"/>
          <w:szCs w:val="20"/>
        </w:rPr>
        <w:t>5.1  Delivery</w:t>
      </w:r>
      <w:proofErr w:type="gramEnd"/>
      <w:r>
        <w:rPr>
          <w:sz w:val="20"/>
          <w:szCs w:val="20"/>
        </w:rPr>
        <w:t xml:space="preserve"> Approach</w:t>
      </w:r>
      <w:r>
        <w:rPr>
          <w:color w:val="5B6577"/>
          <w:sz w:val="20"/>
          <w:szCs w:val="20"/>
        </w:rPr>
        <w:tab/>
        <w:t>19</w:t>
      </w:r>
    </w:p>
    <w:p w:rsidR="006556B8" w:rsidRDefault="00A65B26">
      <w:pPr>
        <w:tabs>
          <w:tab w:val="right" w:leader="dot" w:pos="9030"/>
        </w:tabs>
        <w:spacing w:after="60"/>
        <w:ind w:left="320"/>
      </w:pPr>
      <w:proofErr w:type="gramStart"/>
      <w:r>
        <w:rPr>
          <w:sz w:val="20"/>
          <w:szCs w:val="20"/>
        </w:rPr>
        <w:t>5.2  Work</w:t>
      </w:r>
      <w:proofErr w:type="gramEnd"/>
      <w:r>
        <w:rPr>
          <w:sz w:val="20"/>
          <w:szCs w:val="20"/>
        </w:rPr>
        <w:t xml:space="preserve"> Breakdown Structure</w:t>
      </w:r>
      <w:r>
        <w:rPr>
          <w:color w:val="5B6577"/>
          <w:sz w:val="20"/>
          <w:szCs w:val="20"/>
        </w:rPr>
        <w:tab/>
        <w:t>19</w:t>
      </w:r>
    </w:p>
    <w:p w:rsidR="006556B8" w:rsidRDefault="00A65B26">
      <w:pPr>
        <w:tabs>
          <w:tab w:val="right" w:leader="dot" w:pos="9030"/>
        </w:tabs>
        <w:spacing w:after="60"/>
        <w:ind w:left="320"/>
      </w:pPr>
      <w:proofErr w:type="gramStart"/>
      <w:r>
        <w:rPr>
          <w:sz w:val="20"/>
          <w:szCs w:val="20"/>
        </w:rPr>
        <w:t>5.3  Timeline</w:t>
      </w:r>
      <w:proofErr w:type="gramEnd"/>
      <w:r>
        <w:rPr>
          <w:color w:val="5B6577"/>
          <w:sz w:val="20"/>
          <w:szCs w:val="20"/>
        </w:rPr>
        <w:tab/>
        <w:t>19</w:t>
      </w:r>
    </w:p>
    <w:p w:rsidR="006556B8" w:rsidRDefault="00A65B26">
      <w:pPr>
        <w:tabs>
          <w:tab w:val="right" w:leader="dot" w:pos="9030"/>
        </w:tabs>
        <w:spacing w:after="60"/>
        <w:ind w:left="320"/>
      </w:pPr>
      <w:proofErr w:type="gramStart"/>
      <w:r>
        <w:rPr>
          <w:sz w:val="20"/>
          <w:szCs w:val="20"/>
        </w:rPr>
        <w:t>5.4  Roles</w:t>
      </w:r>
      <w:proofErr w:type="gramEnd"/>
      <w:r>
        <w:rPr>
          <w:sz w:val="20"/>
          <w:szCs w:val="20"/>
        </w:rPr>
        <w:t xml:space="preserve"> and Responsibilities (RACI)</w:t>
      </w:r>
      <w:r>
        <w:rPr>
          <w:color w:val="5B6577"/>
          <w:sz w:val="20"/>
          <w:szCs w:val="20"/>
        </w:rPr>
        <w:tab/>
        <w:t>20</w:t>
      </w:r>
    </w:p>
    <w:p w:rsidR="006556B8" w:rsidRDefault="00A65B26">
      <w:pPr>
        <w:tabs>
          <w:tab w:val="right" w:leader="dot" w:pos="9030"/>
        </w:tabs>
        <w:spacing w:after="60"/>
        <w:ind w:left="320"/>
      </w:pPr>
      <w:proofErr w:type="gramStart"/>
      <w:r>
        <w:rPr>
          <w:sz w:val="20"/>
          <w:szCs w:val="20"/>
        </w:rPr>
        <w:t>5.5  Definition</w:t>
      </w:r>
      <w:proofErr w:type="gramEnd"/>
      <w:r>
        <w:rPr>
          <w:sz w:val="20"/>
          <w:szCs w:val="20"/>
        </w:rPr>
        <w:t xml:space="preserve"> of Done</w:t>
      </w:r>
      <w:r>
        <w:rPr>
          <w:color w:val="5B6577"/>
          <w:sz w:val="20"/>
          <w:szCs w:val="20"/>
        </w:rPr>
        <w:tab/>
        <w:t>20</w:t>
      </w:r>
    </w:p>
    <w:p w:rsidR="006556B8" w:rsidRDefault="00A65B26">
      <w:pPr>
        <w:tabs>
          <w:tab w:val="right" w:leader="dot" w:pos="9030"/>
        </w:tabs>
        <w:spacing w:after="60"/>
        <w:ind w:left="320"/>
      </w:pPr>
      <w:proofErr w:type="gramStart"/>
      <w:r>
        <w:rPr>
          <w:sz w:val="20"/>
          <w:szCs w:val="20"/>
        </w:rPr>
        <w:t>5.6  Deployment</w:t>
      </w:r>
      <w:proofErr w:type="gramEnd"/>
      <w:r>
        <w:rPr>
          <w:sz w:val="20"/>
          <w:szCs w:val="20"/>
        </w:rPr>
        <w:t xml:space="preserve"> and Environment Strategy</w:t>
      </w:r>
      <w:r>
        <w:rPr>
          <w:color w:val="5B6577"/>
          <w:sz w:val="20"/>
          <w:szCs w:val="20"/>
        </w:rPr>
        <w:tab/>
        <w:t>20</w:t>
      </w:r>
    </w:p>
    <w:p w:rsidR="006556B8" w:rsidRDefault="00A65B26">
      <w:pPr>
        <w:tabs>
          <w:tab w:val="right" w:leader="dot" w:pos="9030"/>
        </w:tabs>
        <w:spacing w:after="60"/>
        <w:ind w:left="320"/>
      </w:pPr>
      <w:proofErr w:type="gramStart"/>
      <w:r>
        <w:rPr>
          <w:sz w:val="20"/>
          <w:szCs w:val="20"/>
        </w:rPr>
        <w:t>5.7  RAID</w:t>
      </w:r>
      <w:proofErr w:type="gramEnd"/>
      <w:r>
        <w:rPr>
          <w:sz w:val="20"/>
          <w:szCs w:val="20"/>
        </w:rPr>
        <w:t xml:space="preserve"> Log</w:t>
      </w:r>
      <w:r>
        <w:rPr>
          <w:color w:val="5B6577"/>
          <w:sz w:val="20"/>
          <w:szCs w:val="20"/>
        </w:rPr>
        <w:tab/>
        <w:t>20</w:t>
      </w:r>
    </w:p>
    <w:p w:rsidR="006556B8" w:rsidRDefault="00A65B26">
      <w:pPr>
        <w:tabs>
          <w:tab w:val="right" w:leader="dot" w:pos="9030"/>
        </w:tabs>
        <w:spacing w:after="60"/>
        <w:ind w:left="320"/>
      </w:pPr>
      <w:proofErr w:type="gramStart"/>
      <w:r>
        <w:rPr>
          <w:sz w:val="20"/>
          <w:szCs w:val="20"/>
        </w:rPr>
        <w:t>5.8  Rollback</w:t>
      </w:r>
      <w:proofErr w:type="gramEnd"/>
      <w:r>
        <w:rPr>
          <w:sz w:val="20"/>
          <w:szCs w:val="20"/>
        </w:rPr>
        <w:t xml:space="preserve"> and Contingency</w:t>
      </w:r>
      <w:r>
        <w:rPr>
          <w:color w:val="5B6577"/>
          <w:sz w:val="20"/>
          <w:szCs w:val="20"/>
        </w:rPr>
        <w:tab/>
        <w:t>21</w:t>
      </w:r>
    </w:p>
    <w:p w:rsidR="006556B8" w:rsidRDefault="00A65B26">
      <w:pPr>
        <w:tabs>
          <w:tab w:val="right" w:leader="dot" w:pos="9350"/>
        </w:tabs>
        <w:spacing w:before="140" w:after="120"/>
      </w:pPr>
      <w:r>
        <w:rPr>
          <w:b/>
          <w:bCs/>
          <w:color w:val="1F2A44"/>
        </w:rPr>
        <w:t>6.  Appendices</w:t>
      </w:r>
      <w:r>
        <w:rPr>
          <w:b/>
          <w:bCs/>
          <w:color w:val="1F2A44"/>
        </w:rPr>
        <w:tab/>
        <w:t>22</w:t>
      </w:r>
    </w:p>
    <w:p w:rsidR="006556B8" w:rsidRDefault="00A65B26">
      <w:pPr>
        <w:tabs>
          <w:tab w:val="right" w:leader="dot" w:pos="9030"/>
        </w:tabs>
        <w:spacing w:after="60"/>
        <w:ind w:left="320"/>
      </w:pPr>
      <w:proofErr w:type="gramStart"/>
      <w:r>
        <w:rPr>
          <w:sz w:val="20"/>
          <w:szCs w:val="20"/>
        </w:rPr>
        <w:t>6.1  Glossary</w:t>
      </w:r>
      <w:proofErr w:type="gramEnd"/>
      <w:r>
        <w:rPr>
          <w:color w:val="5B6577"/>
          <w:sz w:val="20"/>
          <w:szCs w:val="20"/>
        </w:rPr>
        <w:tab/>
        <w:t>22</w:t>
      </w:r>
    </w:p>
    <w:p w:rsidR="006556B8" w:rsidRDefault="00A65B26">
      <w:pPr>
        <w:tabs>
          <w:tab w:val="right" w:leader="dot" w:pos="9030"/>
        </w:tabs>
        <w:spacing w:after="60"/>
        <w:ind w:left="320"/>
      </w:pPr>
      <w:proofErr w:type="gramStart"/>
      <w:r>
        <w:rPr>
          <w:sz w:val="20"/>
          <w:szCs w:val="20"/>
        </w:rPr>
        <w:lastRenderedPageBreak/>
        <w:t>6.2  Ref</w:t>
      </w:r>
      <w:r>
        <w:rPr>
          <w:sz w:val="20"/>
          <w:szCs w:val="20"/>
        </w:rPr>
        <w:t>erence</w:t>
      </w:r>
      <w:proofErr w:type="gramEnd"/>
      <w:r>
        <w:rPr>
          <w:sz w:val="20"/>
          <w:szCs w:val="20"/>
        </w:rPr>
        <w:t xml:space="preserve"> Documents</w:t>
      </w:r>
      <w:r>
        <w:rPr>
          <w:color w:val="5B6577"/>
          <w:sz w:val="20"/>
          <w:szCs w:val="20"/>
        </w:rPr>
        <w:tab/>
        <w:t>22</w:t>
      </w:r>
    </w:p>
    <w:p w:rsidR="006556B8" w:rsidRDefault="00A65B26">
      <w:pPr>
        <w:tabs>
          <w:tab w:val="right" w:leader="dot" w:pos="9030"/>
        </w:tabs>
        <w:spacing w:after="60"/>
        <w:ind w:left="320"/>
      </w:pPr>
      <w:proofErr w:type="gramStart"/>
      <w:r>
        <w:rPr>
          <w:sz w:val="20"/>
          <w:szCs w:val="20"/>
        </w:rPr>
        <w:t>6.3  Key</w:t>
      </w:r>
      <w:proofErr w:type="gramEnd"/>
      <w:r>
        <w:rPr>
          <w:sz w:val="20"/>
          <w:szCs w:val="20"/>
        </w:rPr>
        <w:t xml:space="preserve"> Domain Classes</w:t>
      </w:r>
      <w:r>
        <w:rPr>
          <w:color w:val="5B6577"/>
          <w:sz w:val="20"/>
          <w:szCs w:val="20"/>
        </w:rPr>
        <w:tab/>
        <w:t>22</w:t>
      </w:r>
    </w:p>
    <w:p w:rsidR="006556B8" w:rsidRDefault="00A65B26">
      <w:pPr>
        <w:tabs>
          <w:tab w:val="right" w:leader="dot" w:pos="9030"/>
        </w:tabs>
        <w:spacing w:after="60"/>
        <w:ind w:left="320"/>
      </w:pPr>
      <w:proofErr w:type="gramStart"/>
      <w:r>
        <w:rPr>
          <w:sz w:val="20"/>
          <w:szCs w:val="20"/>
        </w:rPr>
        <w:t>6.4  Software</w:t>
      </w:r>
      <w:proofErr w:type="gramEnd"/>
      <w:r>
        <w:rPr>
          <w:sz w:val="20"/>
          <w:szCs w:val="20"/>
        </w:rPr>
        <w:t xml:space="preserve"> Engineering Principles Applied</w:t>
      </w:r>
      <w:r>
        <w:rPr>
          <w:color w:val="5B6577"/>
          <w:sz w:val="20"/>
          <w:szCs w:val="20"/>
        </w:rPr>
        <w:tab/>
        <w:t>22</w:t>
      </w:r>
    </w:p>
    <w:p w:rsidR="006556B8" w:rsidRDefault="00A65B26">
      <w:r>
        <w:br w:type="page"/>
      </w:r>
    </w:p>
    <w:p w:rsidR="006556B8" w:rsidRDefault="00A65B26">
      <w:pPr>
        <w:pStyle w:val="Heading1"/>
        <w:pBdr>
          <w:bottom w:val="single" w:sz="8" w:space="6" w:color="1F2A44"/>
        </w:pBdr>
        <w:spacing w:before="240" w:after="160"/>
      </w:pPr>
      <w:r>
        <w:rPr>
          <w:b/>
          <w:bCs/>
          <w:color w:val="1F2A44"/>
          <w:sz w:val="30"/>
          <w:szCs w:val="30"/>
        </w:rPr>
        <w:lastRenderedPageBreak/>
        <w:t>1.  Executive Summary</w:t>
      </w:r>
    </w:p>
    <w:p w:rsidR="006556B8" w:rsidRDefault="00A65B26">
      <w:pPr>
        <w:spacing w:after="160" w:line="276" w:lineRule="auto"/>
        <w:jc w:val="both"/>
      </w:pPr>
      <w:r>
        <w:t>Midas Core is the backend transaction-processing service at the center of the Midas platform. It ingests financial transaction events fro</w:t>
      </w:r>
      <w:r>
        <w:t>m an upstream message queue, validates and persists them against account balances held in a relational database, enriches each transaction with an incentive amount computed by an independent external service, and exposes an HTTP API through which current a</w:t>
      </w:r>
      <w:r>
        <w:t>ccount balances can be queried.</w:t>
      </w:r>
    </w:p>
    <w:p w:rsidR="006556B8" w:rsidRDefault="00A65B26">
      <w:pPr>
        <w:spacing w:after="160" w:line="276" w:lineRule="auto"/>
        <w:jc w:val="both"/>
      </w:pPr>
      <w:r>
        <w:t>This document consolidates the four artifacts a delivery team would normally maintain separately for a service of this kind: a Product Requirements Document (PRD) describing what the system must do and why; a Technical Requirements Document (TRD) describin</w:t>
      </w:r>
      <w:r>
        <w:t>g how it is built, including architecture, data model, API contracts and engineering risk; a System Interaction Flow section, which substitutes for a traditional UI/UX flow given that Midas Core is a headless backend service with no graphical interface; an</w:t>
      </w:r>
      <w:r>
        <w:t>d an Implementation Plan describing delivery phasing, timeline, ownership and definition of done.</w:t>
      </w:r>
    </w:p>
    <w:p w:rsidR="006556B8" w:rsidRDefault="00A65B26">
      <w:pPr>
        <w:spacing w:after="160" w:line="276" w:lineRule="auto"/>
        <w:jc w:val="both"/>
      </w:pPr>
      <w:r>
        <w:t>Midas Core is being delivered as five incremental engineering tasks: project setup, Kafka integration, database and validation logic, external Incentive API i</w:t>
      </w:r>
      <w:r>
        <w:t>ntegration, and REST API exposure. Each task is independently testable and builds on the previous one, producing a fully functional, end-to-end pipeline by the final task.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556B8">
        <w:tblPrEx>
          <w:tblCellMar>
            <w:top w:w="0" w:type="dxa"/>
            <w:bottom w:w="0" w:type="dxa"/>
          </w:tblCellMar>
        </w:tblPrEx>
        <w:tc>
          <w:tcPr>
            <w:tcW w:w="9350" w:type="dxa"/>
            <w:tcBorders>
              <w:top w:val="single" w:sz="4" w:space="0" w:color="9C7A1E"/>
              <w:left w:val="single" w:sz="24" w:space="0" w:color="9C7A1E"/>
              <w:bottom w:val="single" w:sz="4" w:space="0" w:color="9C7A1E"/>
              <w:right w:val="single" w:sz="4" w:space="0" w:color="9C7A1E"/>
            </w:tcBorders>
            <w:shd w:val="clear" w:color="auto" w:fill="F5F1E6"/>
            <w:tcMar>
              <w:top w:w="140" w:type="dxa"/>
              <w:left w:w="180" w:type="dxa"/>
              <w:bottom w:w="140" w:type="dxa"/>
              <w:right w:w="180" w:type="dxa"/>
            </w:tcMar>
          </w:tcPr>
          <w:p w:rsidR="006556B8" w:rsidRDefault="00A65B26">
            <w:pPr>
              <w:spacing w:after="60"/>
            </w:pPr>
            <w:r>
              <w:rPr>
                <w:b/>
                <w:bCs/>
                <w:color w:val="9C7A1E"/>
                <w:sz w:val="20"/>
                <w:szCs w:val="20"/>
              </w:rPr>
              <w:t>Scope note</w:t>
            </w:r>
          </w:p>
          <w:p w:rsidR="006556B8" w:rsidRDefault="00A65B26">
            <w:r>
              <w:rPr>
                <w:sz w:val="19"/>
                <w:szCs w:val="19"/>
              </w:rPr>
              <w:t>This document treats Midas Core as if it were heading into a professional</w:t>
            </w:r>
            <w:r>
              <w:rPr>
                <w:sz w:val="19"/>
                <w:szCs w:val="19"/>
              </w:rPr>
              <w:t xml:space="preserve"> engineering review, which means it also surfaces gaps that exist in the current scaffold-level design — for example, the absence of authentication, idempotency handling, and monetary-precision safeguards. These are flagged explicitly in Section 4.9 (Risk </w:t>
            </w:r>
            <w:r>
              <w:rPr>
                <w:sz w:val="19"/>
                <w:szCs w:val="19"/>
              </w:rPr>
              <w:t>Register) rather than glossed over, since a specification that hides known weaknesses is worse than no specification at all.</w:t>
            </w:r>
          </w:p>
        </w:tc>
      </w:tr>
    </w:tbl>
    <w:p w:rsidR="006556B8" w:rsidRDefault="00A65B26">
      <w:pPr>
        <w:pStyle w:val="Heading1"/>
        <w:pageBreakBefore/>
        <w:pBdr>
          <w:bottom w:val="single" w:sz="8" w:space="6" w:color="1F2A44"/>
        </w:pBdr>
        <w:spacing w:before="240" w:after="160"/>
      </w:pPr>
      <w:r>
        <w:rPr>
          <w:b/>
          <w:bCs/>
          <w:color w:val="1F2A44"/>
          <w:sz w:val="30"/>
          <w:szCs w:val="30"/>
        </w:rPr>
        <w:lastRenderedPageBreak/>
        <w:t>2.  Part I — Product Requirements Document (PRD)</w:t>
      </w:r>
    </w:p>
    <w:p w:rsidR="006556B8" w:rsidRDefault="00EC00BA">
      <w:pPr>
        <w:pStyle w:val="Heading2"/>
        <w:spacing w:before="300" w:after="140"/>
      </w:pPr>
      <w:r>
        <w:rPr>
          <w:b/>
          <w:bCs/>
          <w:color w:val="1F2A44"/>
          <w:sz w:val="24"/>
          <w:szCs w:val="24"/>
        </w:rPr>
        <w:t>2.1 Purpose</w:t>
      </w:r>
    </w:p>
    <w:p w:rsidR="006556B8" w:rsidRDefault="00A65B26">
      <w:pPr>
        <w:spacing w:after="160" w:line="276" w:lineRule="auto"/>
        <w:jc w:val="both"/>
      </w:pPr>
      <w:r>
        <w:t xml:space="preserve">This PRD defines the functional scope, stakeholders, and success criteria for Midas Core — the transaction ingestion, validation, and balance-management service within the wider Midas platform. It establishes what the system must accomplish from a product </w:t>
      </w:r>
      <w:r>
        <w:t>and business standpoint, independent of implementation detail, which is addressed separately in the TRD (Section 3).</w:t>
      </w:r>
    </w:p>
    <w:p w:rsidR="006556B8" w:rsidRDefault="00EC00BA">
      <w:pPr>
        <w:pStyle w:val="Heading2"/>
        <w:spacing w:before="300" w:after="140"/>
      </w:pPr>
      <w:r>
        <w:rPr>
          <w:b/>
          <w:bCs/>
          <w:color w:val="1F2A44"/>
          <w:sz w:val="24"/>
          <w:szCs w:val="24"/>
        </w:rPr>
        <w:t>2.2 Background</w:t>
      </w:r>
    </w:p>
    <w:p w:rsidR="006556B8" w:rsidRDefault="00A65B26">
      <w:pPr>
        <w:spacing w:after="160" w:line="276" w:lineRule="auto"/>
        <w:jc w:val="both"/>
      </w:pPr>
      <w:r>
        <w:t>Financial institutions process high volumes of transactions that must be validated, recorded, and reflected in account bala</w:t>
      </w:r>
      <w:r>
        <w:t>nces with strong consistency guarantees. Midas Core simulates this responsibility inside a bounded, five-stage engineering exercise: it must decouple transaction intake from processing using an asynchronous message broker, enforce business validation rules</w:t>
      </w:r>
      <w:r>
        <w:t xml:space="preserve"> before mutating financial state, integrate with an independently owned external service without controlling that service's internal logic, and expose the resulting account state through a </w:t>
      </w:r>
      <w:proofErr w:type="spellStart"/>
      <w:r>
        <w:t>queryable</w:t>
      </w:r>
      <w:proofErr w:type="spellEnd"/>
      <w:r>
        <w:t xml:space="preserve"> API.</w:t>
      </w:r>
    </w:p>
    <w:p w:rsidR="006556B8" w:rsidRDefault="00EC00BA">
      <w:pPr>
        <w:pStyle w:val="Heading2"/>
        <w:spacing w:before="300" w:after="140"/>
      </w:pPr>
      <w:r>
        <w:rPr>
          <w:b/>
          <w:bCs/>
          <w:color w:val="1F2A44"/>
          <w:sz w:val="24"/>
          <w:szCs w:val="24"/>
        </w:rPr>
        <w:t>2.3 Goals</w:t>
      </w:r>
      <w:r w:rsidR="00A65B26">
        <w:rPr>
          <w:b/>
          <w:bCs/>
          <w:color w:val="1F2A44"/>
          <w:sz w:val="24"/>
          <w:szCs w:val="24"/>
        </w:rPr>
        <w:t xml:space="preserve"> and Objectives</w:t>
      </w:r>
    </w:p>
    <w:p w:rsidR="006556B8" w:rsidRDefault="00A65B26">
      <w:pPr>
        <w:pStyle w:val="ListParagraph"/>
        <w:numPr>
          <w:ilvl w:val="0"/>
          <w:numId w:val="1"/>
        </w:numPr>
        <w:spacing w:after="80" w:line="264" w:lineRule="auto"/>
      </w:pPr>
      <w:r>
        <w:t>Reliably ingest transactio</w:t>
      </w:r>
      <w:r>
        <w:t>n events published by upstream trading/frontend systems without coupling producers to Midas Core's internal availability.</w:t>
      </w:r>
    </w:p>
    <w:p w:rsidR="006556B8" w:rsidRDefault="00A65B26">
      <w:pPr>
        <w:pStyle w:val="ListParagraph"/>
        <w:numPr>
          <w:ilvl w:val="0"/>
          <w:numId w:val="1"/>
        </w:numPr>
        <w:spacing w:after="80" w:line="264" w:lineRule="auto"/>
      </w:pPr>
      <w:r>
        <w:t>Guarantee that only valid transactions affect account balances, and that invalid transactions leave no trace in persisted state.</w:t>
      </w:r>
    </w:p>
    <w:p w:rsidR="006556B8" w:rsidRDefault="00A65B26">
      <w:pPr>
        <w:pStyle w:val="ListParagraph"/>
        <w:numPr>
          <w:ilvl w:val="0"/>
          <w:numId w:val="1"/>
        </w:numPr>
        <w:spacing w:after="80" w:line="264" w:lineRule="auto"/>
      </w:pPr>
      <w:r>
        <w:t>Incor</w:t>
      </w:r>
      <w:r>
        <w:t>porate a per-transaction incentive amount computed by an independently maintained external service, without that service's internal logic being a dependency of Midas Core's own correctness.</w:t>
      </w:r>
    </w:p>
    <w:p w:rsidR="006556B8" w:rsidRDefault="00A65B26">
      <w:pPr>
        <w:pStyle w:val="ListParagraph"/>
        <w:numPr>
          <w:ilvl w:val="0"/>
          <w:numId w:val="1"/>
        </w:numPr>
        <w:spacing w:after="80" w:line="264" w:lineRule="auto"/>
      </w:pPr>
      <w:r>
        <w:t xml:space="preserve">Provide a simple, </w:t>
      </w:r>
      <w:proofErr w:type="spellStart"/>
      <w:r>
        <w:t>queryable</w:t>
      </w:r>
      <w:proofErr w:type="spellEnd"/>
      <w:r>
        <w:t xml:space="preserve"> view of current account balances to do</w:t>
      </w:r>
      <w:r>
        <w:t>wnstream consumers.</w:t>
      </w:r>
    </w:p>
    <w:p w:rsidR="006556B8" w:rsidRDefault="00A65B26">
      <w:pPr>
        <w:pStyle w:val="ListParagraph"/>
        <w:numPr>
          <w:ilvl w:val="0"/>
          <w:numId w:val="1"/>
        </w:numPr>
        <w:spacing w:after="80" w:line="264" w:lineRule="auto"/>
      </w:pPr>
      <w:r>
        <w:t>Demonstrate an architecture that separates concerns cleanly enough that any one integration point (queue, database, external API, REST layer) could be modified or replaced with limited impact on the others.</w:t>
      </w:r>
    </w:p>
    <w:p w:rsidR="006556B8" w:rsidRDefault="00EC00BA">
      <w:pPr>
        <w:pStyle w:val="Heading2"/>
        <w:spacing w:before="300" w:after="140"/>
      </w:pPr>
      <w:r>
        <w:rPr>
          <w:b/>
          <w:bCs/>
          <w:color w:val="1F2A44"/>
          <w:sz w:val="24"/>
          <w:szCs w:val="24"/>
        </w:rPr>
        <w:t>2.4 Scope</w:t>
      </w:r>
    </w:p>
    <w:p w:rsidR="006556B8" w:rsidRDefault="00A65B26">
      <w:pPr>
        <w:pStyle w:val="Heading3"/>
        <w:spacing w:before="220" w:after="100"/>
      </w:pPr>
      <w:r>
        <w:rPr>
          <w:b/>
          <w:bCs/>
          <w:color w:val="3B4A66"/>
          <w:sz w:val="21"/>
          <w:szCs w:val="21"/>
        </w:rPr>
        <w:t>In Scope</w:t>
      </w:r>
    </w:p>
    <w:p w:rsidR="006556B8" w:rsidRDefault="00A65B26">
      <w:pPr>
        <w:pStyle w:val="ListParagraph"/>
        <w:numPr>
          <w:ilvl w:val="0"/>
          <w:numId w:val="1"/>
        </w:numPr>
        <w:spacing w:after="80" w:line="264" w:lineRule="auto"/>
      </w:pPr>
      <w:r>
        <w:t>Consumption of transaction messages from a Kafka topic.</w:t>
      </w:r>
    </w:p>
    <w:p w:rsidR="006556B8" w:rsidRDefault="00A65B26">
      <w:pPr>
        <w:pStyle w:val="ListParagraph"/>
        <w:numPr>
          <w:ilvl w:val="0"/>
          <w:numId w:val="1"/>
        </w:numPr>
        <w:spacing w:after="80" w:line="264" w:lineRule="auto"/>
      </w:pPr>
      <w:r>
        <w:t>Validation of transactions against existing user accounts and available sender balance.</w:t>
      </w:r>
    </w:p>
    <w:p w:rsidR="006556B8" w:rsidRDefault="00A65B26">
      <w:pPr>
        <w:pStyle w:val="ListParagraph"/>
        <w:numPr>
          <w:ilvl w:val="0"/>
          <w:numId w:val="1"/>
        </w:numPr>
        <w:spacing w:after="80" w:line="264" w:lineRule="auto"/>
      </w:pPr>
      <w:r>
        <w:t>Persistence of valid transactions and resulting balance changes to a relational database.</w:t>
      </w:r>
    </w:p>
    <w:p w:rsidR="006556B8" w:rsidRDefault="00A65B26">
      <w:pPr>
        <w:pStyle w:val="ListParagraph"/>
        <w:numPr>
          <w:ilvl w:val="0"/>
          <w:numId w:val="1"/>
        </w:numPr>
        <w:spacing w:after="80" w:line="264" w:lineRule="auto"/>
      </w:pPr>
      <w:r>
        <w:t>Synchronous integratio</w:t>
      </w:r>
      <w:r>
        <w:t>n with an external Incentive API to compute and apply incentive amounts.</w:t>
      </w:r>
    </w:p>
    <w:p w:rsidR="006556B8" w:rsidRDefault="00A65B26">
      <w:pPr>
        <w:pStyle w:val="ListParagraph"/>
        <w:numPr>
          <w:ilvl w:val="0"/>
          <w:numId w:val="1"/>
        </w:numPr>
        <w:spacing w:after="80" w:line="264" w:lineRule="auto"/>
      </w:pPr>
      <w:r>
        <w:t>A REST endpoint for querying a single user's current balance.</w:t>
      </w:r>
    </w:p>
    <w:p w:rsidR="006556B8" w:rsidRDefault="00A65B26">
      <w:pPr>
        <w:pStyle w:val="Heading3"/>
        <w:spacing w:before="220" w:after="100"/>
      </w:pPr>
      <w:r>
        <w:rPr>
          <w:b/>
          <w:bCs/>
          <w:color w:val="3B4A66"/>
          <w:sz w:val="21"/>
          <w:szCs w:val="21"/>
        </w:rPr>
        <w:t>Out of Scope</w:t>
      </w:r>
    </w:p>
    <w:p w:rsidR="006556B8" w:rsidRDefault="00A65B26">
      <w:pPr>
        <w:pStyle w:val="ListParagraph"/>
        <w:numPr>
          <w:ilvl w:val="0"/>
          <w:numId w:val="1"/>
        </w:numPr>
        <w:spacing w:after="80" w:line="264" w:lineRule="auto"/>
      </w:pPr>
      <w:r>
        <w:t>User registration, authentication, or account-management workflows (accounts are assumed to pre-exist).</w:t>
      </w:r>
    </w:p>
    <w:p w:rsidR="006556B8" w:rsidRDefault="00A65B26">
      <w:pPr>
        <w:pStyle w:val="ListParagraph"/>
        <w:numPr>
          <w:ilvl w:val="0"/>
          <w:numId w:val="1"/>
        </w:numPr>
        <w:spacing w:after="80" w:line="264" w:lineRule="auto"/>
      </w:pPr>
      <w:r>
        <w:t>A graphical user interface of any kind — Midas Core is a headless backend service (see Section 5).</w:t>
      </w:r>
    </w:p>
    <w:p w:rsidR="006556B8" w:rsidRDefault="00A65B26">
      <w:pPr>
        <w:pStyle w:val="ListParagraph"/>
        <w:numPr>
          <w:ilvl w:val="0"/>
          <w:numId w:val="1"/>
        </w:numPr>
        <w:spacing w:after="80" w:line="264" w:lineRule="auto"/>
      </w:pPr>
      <w:r>
        <w:t>Multi-currency support, transaction reversal/refund flows, and batch/bulk transaction submission.</w:t>
      </w:r>
    </w:p>
    <w:p w:rsidR="006556B8" w:rsidRDefault="00A65B26">
      <w:pPr>
        <w:pStyle w:val="ListParagraph"/>
        <w:numPr>
          <w:ilvl w:val="0"/>
          <w:numId w:val="1"/>
        </w:numPr>
        <w:spacing w:after="80" w:line="264" w:lineRule="auto"/>
      </w:pPr>
      <w:r>
        <w:lastRenderedPageBreak/>
        <w:t>Production-grade security (authentication, authorization, e</w:t>
      </w:r>
      <w:r>
        <w:t>ncryption in transit) — explicitly called out as a gap in Section 4.9, not assumed to be handled implicitly.</w:t>
      </w:r>
    </w:p>
    <w:p w:rsidR="006556B8" w:rsidRDefault="00A65B26">
      <w:pPr>
        <w:pStyle w:val="ListParagraph"/>
        <w:numPr>
          <w:ilvl w:val="0"/>
          <w:numId w:val="1"/>
        </w:numPr>
        <w:spacing w:after="80" w:line="264" w:lineRule="auto"/>
      </w:pPr>
      <w:r>
        <w:t>Horizontal scaling, multi-instance deployment, and production observability tooling.</w:t>
      </w:r>
    </w:p>
    <w:p w:rsidR="006556B8" w:rsidRDefault="00EC00BA">
      <w:pPr>
        <w:pStyle w:val="Heading2"/>
        <w:spacing w:before="300" w:after="140"/>
      </w:pPr>
      <w:r>
        <w:rPr>
          <w:b/>
          <w:bCs/>
          <w:color w:val="1F2A44"/>
          <w:sz w:val="24"/>
          <w:szCs w:val="24"/>
        </w:rPr>
        <w:t>2.5 Stakeholders</w:t>
      </w:r>
      <w:r w:rsidR="00A65B26">
        <w:rPr>
          <w:b/>
          <w:bCs/>
          <w:color w:val="1F2A44"/>
          <w:sz w:val="24"/>
          <w:szCs w:val="24"/>
        </w:rPr>
        <w:t xml:space="preserve"> and Actors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50"/>
      </w:tblGrid>
      <w:tr w:rsidR="006556B8">
        <w:tblPrEx>
          <w:tblCellMar>
            <w:top w:w="0" w:type="dxa"/>
            <w:bottom w:w="0" w:type="dxa"/>
          </w:tblCellMar>
        </w:tblPrEx>
        <w:trPr>
          <w:tblHeader/>
        </w:trPr>
        <w:tc>
          <w:tcPr>
            <w:tcW w:w="22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Actor</w:t>
            </w:r>
          </w:p>
        </w:tc>
        <w:tc>
          <w:tcPr>
            <w:tcW w:w="34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Description</w:t>
            </w:r>
          </w:p>
        </w:tc>
        <w:tc>
          <w:tcPr>
            <w:tcW w:w="37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Interest / Inte</w:t>
            </w:r>
            <w:r>
              <w:rPr>
                <w:b/>
                <w:bCs/>
                <w:color w:val="FFFFFF"/>
                <w:sz w:val="19"/>
                <w:szCs w:val="19"/>
              </w:rPr>
              <w:t>raction</w:t>
            </w:r>
          </w:p>
        </w:tc>
      </w:tr>
      <w:tr w:rsidR="006556B8">
        <w:tblPrEx>
          <w:tblCellMar>
            <w:top w:w="0" w:type="dxa"/>
            <w:bottom w:w="0" w:type="dxa"/>
          </w:tblCellMar>
        </w:tblPrEx>
        <w:tc>
          <w:tcPr>
            <w:tcW w:w="22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Transaction Producer</w:t>
            </w:r>
          </w:p>
        </w:tc>
        <w:tc>
          <w:tcPr>
            <w:tcW w:w="34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Upstream trading or frontend systems.</w:t>
            </w:r>
          </w:p>
        </w:tc>
        <w:tc>
          <w:tcPr>
            <w:tcW w:w="37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Publishes transaction events to Kafka; requires the topic contract to remain stable.</w:t>
            </w:r>
          </w:p>
        </w:tc>
      </w:tr>
      <w:tr w:rsidR="006556B8">
        <w:tblPrEx>
          <w:tblCellMar>
            <w:top w:w="0" w:type="dxa"/>
            <w:bottom w:w="0" w:type="dxa"/>
          </w:tblCellMar>
        </w:tblPrEx>
        <w:tc>
          <w:tcPr>
            <w:tcW w:w="22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Midas Core (this service)</w:t>
            </w:r>
          </w:p>
        </w:tc>
        <w:tc>
          <w:tcPr>
            <w:tcW w:w="34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The system under specification.</w:t>
            </w:r>
          </w:p>
        </w:tc>
        <w:tc>
          <w:tcPr>
            <w:tcW w:w="37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Consumes, validates, persists, enriches, and exposes transaction and balance data.</w:t>
            </w:r>
          </w:p>
        </w:tc>
      </w:tr>
      <w:tr w:rsidR="006556B8">
        <w:tblPrEx>
          <w:tblCellMar>
            <w:top w:w="0" w:type="dxa"/>
            <w:bottom w:w="0" w:type="dxa"/>
          </w:tblCellMar>
        </w:tblPrEx>
        <w:tc>
          <w:tcPr>
            <w:tcW w:w="22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Incentive API</w:t>
            </w:r>
          </w:p>
        </w:tc>
        <w:tc>
          <w:tcPr>
            <w:tcW w:w="34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Independently owned external service.</w:t>
            </w:r>
          </w:p>
        </w:tc>
        <w:tc>
          <w:tcPr>
            <w:tcW w:w="37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Receives a transaction, returns an incentive amount; contract-only dependency.</w:t>
            </w:r>
          </w:p>
        </w:tc>
      </w:tr>
      <w:tr w:rsidR="006556B8">
        <w:tblPrEx>
          <w:tblCellMar>
            <w:top w:w="0" w:type="dxa"/>
            <w:bottom w:w="0" w:type="dxa"/>
          </w:tblCellMar>
        </w:tblPrEx>
        <w:tc>
          <w:tcPr>
            <w:tcW w:w="22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API Consumer</w:t>
            </w:r>
          </w:p>
        </w:tc>
        <w:tc>
          <w:tcPr>
            <w:tcW w:w="34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Any client querying account state.</w:t>
            </w:r>
          </w:p>
        </w:tc>
        <w:tc>
          <w:tcPr>
            <w:tcW w:w="37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Calls GET /balance to retrieve a user's current balance.</w:t>
            </w:r>
          </w:p>
        </w:tc>
      </w:tr>
      <w:tr w:rsidR="006556B8">
        <w:tblPrEx>
          <w:tblCellMar>
            <w:top w:w="0" w:type="dxa"/>
            <w:bottom w:w="0" w:type="dxa"/>
          </w:tblCellMar>
        </w:tblPrEx>
        <w:tc>
          <w:tcPr>
            <w:tcW w:w="22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Engineering / Review Team</w:t>
            </w:r>
          </w:p>
        </w:tc>
        <w:tc>
          <w:tcPr>
            <w:tcW w:w="34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Builders and reviewers of Midas Core.</w:t>
            </w:r>
          </w:p>
        </w:tc>
        <w:tc>
          <w:tcPr>
            <w:tcW w:w="37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Owns correctness, test coverage, and architectural quality.</w:t>
            </w:r>
          </w:p>
        </w:tc>
      </w:tr>
    </w:tbl>
    <w:p w:rsidR="006556B8" w:rsidRDefault="00EC00BA">
      <w:pPr>
        <w:pStyle w:val="Heading2"/>
        <w:spacing w:before="300" w:after="140"/>
      </w:pPr>
      <w:r>
        <w:rPr>
          <w:b/>
          <w:bCs/>
          <w:color w:val="1F2A44"/>
          <w:sz w:val="24"/>
          <w:szCs w:val="24"/>
        </w:rPr>
        <w:t>2.6 Functional</w:t>
      </w:r>
      <w:r w:rsidR="00A65B26">
        <w:rPr>
          <w:b/>
          <w:bCs/>
          <w:color w:val="1F2A44"/>
          <w:sz w:val="24"/>
          <w:szCs w:val="24"/>
        </w:rPr>
        <w:t xml:space="preserve"> Requirements</w:t>
      </w:r>
    </w:p>
    <w:p w:rsidR="006556B8" w:rsidRDefault="00A65B26">
      <w:pPr>
        <w:spacing w:after="160" w:line="276" w:lineRule="auto"/>
        <w:jc w:val="both"/>
      </w:pPr>
      <w:r>
        <w:t>Each functional requirement is traceable to one of the five delivery tasks described in Section 6.2.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350"/>
        <w:gridCol w:w="1900"/>
      </w:tblGrid>
      <w:tr w:rsidR="006556B8">
        <w:tblPrEx>
          <w:tblCellMar>
            <w:top w:w="0" w:type="dxa"/>
            <w:bottom w:w="0" w:type="dxa"/>
          </w:tblCellMar>
        </w:tblPrEx>
        <w:trPr>
          <w:tblHeader/>
        </w:trPr>
        <w:tc>
          <w:tcPr>
            <w:tcW w:w="11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ID</w:t>
            </w:r>
          </w:p>
        </w:tc>
        <w:tc>
          <w:tcPr>
            <w:tcW w:w="63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Requirement</w:t>
            </w:r>
          </w:p>
        </w:tc>
        <w:tc>
          <w:tcPr>
            <w:tcW w:w="19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Source Task</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FR-01</w:t>
            </w:r>
          </w:p>
        </w:tc>
        <w:tc>
          <w:tcPr>
            <w:tcW w:w="6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The system shall consume transaction messages from a Kafka topic whose name is externally configurable via application.yml.</w:t>
            </w:r>
          </w:p>
        </w:tc>
        <w:tc>
          <w:tcPr>
            <w:tcW w:w="19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Task 2</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FR-02</w:t>
            </w:r>
          </w:p>
        </w:tc>
        <w:tc>
          <w:tcPr>
            <w:tcW w:w="6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 xml:space="preserve">The system shall </w:t>
            </w:r>
            <w:proofErr w:type="spellStart"/>
            <w:r>
              <w:rPr>
                <w:sz w:val="18"/>
                <w:szCs w:val="18"/>
              </w:rPr>
              <w:t>deserialize</w:t>
            </w:r>
            <w:proofErr w:type="spellEnd"/>
            <w:r>
              <w:rPr>
                <w:sz w:val="18"/>
                <w:szCs w:val="18"/>
              </w:rPr>
              <w:t xml:space="preserve"> each incoming Kafka message into a Transaction domain object.</w:t>
            </w:r>
          </w:p>
        </w:tc>
        <w:tc>
          <w:tcPr>
            <w:tcW w:w="19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Task 2</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FR-03</w:t>
            </w:r>
          </w:p>
        </w:tc>
        <w:tc>
          <w:tcPr>
            <w:tcW w:w="6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The system shall validate a transaction as valid only if: (a) the sender ID corresponds to an existing user, (b) the recipient ID corresponds to an existing user, and (c) the sender's balance is greater than or equal to the transaction amount.</w:t>
            </w:r>
          </w:p>
        </w:tc>
        <w:tc>
          <w:tcPr>
            <w:tcW w:w="19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Task 3</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FR-04</w:t>
            </w:r>
          </w:p>
        </w:tc>
        <w:tc>
          <w:tcPr>
            <w:tcW w:w="6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The system shall discard invalid transactions with no persisted record and no balance mutation.</w:t>
            </w:r>
          </w:p>
        </w:tc>
        <w:tc>
          <w:tcPr>
            <w:tcW w:w="19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Task 3</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FR-05</w:t>
            </w:r>
          </w:p>
        </w:tc>
        <w:tc>
          <w:tcPr>
            <w:tcW w:w="6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 xml:space="preserve">The system shall persist every valid transaction as a </w:t>
            </w:r>
            <w:proofErr w:type="spellStart"/>
            <w:r>
              <w:rPr>
                <w:sz w:val="18"/>
                <w:szCs w:val="18"/>
              </w:rPr>
              <w:t>TransactionRecord</w:t>
            </w:r>
            <w:proofErr w:type="spellEnd"/>
            <w:r>
              <w:rPr>
                <w:sz w:val="18"/>
                <w:szCs w:val="18"/>
              </w:rPr>
              <w:t xml:space="preserve"> entity, linked to its sender and recipient User entities.</w:t>
            </w:r>
          </w:p>
        </w:tc>
        <w:tc>
          <w:tcPr>
            <w:tcW w:w="19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Task 3</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FR-06</w:t>
            </w:r>
          </w:p>
        </w:tc>
        <w:tc>
          <w:tcPr>
            <w:tcW w:w="6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The system shall debit the sender's balance by the transaction amount upon successful validation.</w:t>
            </w:r>
          </w:p>
        </w:tc>
        <w:tc>
          <w:tcPr>
            <w:tcW w:w="19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Task 3</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FR-07</w:t>
            </w:r>
          </w:p>
        </w:tc>
        <w:tc>
          <w:tcPr>
            <w:tcW w:w="6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The system shall submit every valid transaction to the external Incentive API via a synchronous HTTP POST request.</w:t>
            </w:r>
          </w:p>
        </w:tc>
        <w:tc>
          <w:tcPr>
            <w:tcW w:w="19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Task 4</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FR-08</w:t>
            </w:r>
          </w:p>
        </w:tc>
        <w:tc>
          <w:tcPr>
            <w:tcW w:w="6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 xml:space="preserve">The system shall capture the incentive amount returned by the Incentive API and store it on the corresponding </w:t>
            </w:r>
            <w:proofErr w:type="spellStart"/>
            <w:r>
              <w:rPr>
                <w:sz w:val="18"/>
                <w:szCs w:val="18"/>
              </w:rPr>
              <w:t>TransactionRecord</w:t>
            </w:r>
            <w:proofErr w:type="spellEnd"/>
            <w:r>
              <w:rPr>
                <w:sz w:val="18"/>
                <w:szCs w:val="18"/>
              </w:rPr>
              <w:t>.</w:t>
            </w:r>
          </w:p>
        </w:tc>
        <w:tc>
          <w:tcPr>
            <w:tcW w:w="19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Task 4</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FR-09</w:t>
            </w:r>
          </w:p>
        </w:tc>
        <w:tc>
          <w:tcPr>
            <w:tcW w:w="6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The system shall credit the recipient's balance by the transaction amount plus the incentive amount.</w:t>
            </w:r>
          </w:p>
        </w:tc>
        <w:tc>
          <w:tcPr>
            <w:tcW w:w="19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Task 4</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FR-10</w:t>
            </w:r>
          </w:p>
        </w:tc>
        <w:tc>
          <w:tcPr>
            <w:tcW w:w="6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The system shall not deduct the incentive amount from the sender's balance under any circumstance.</w:t>
            </w:r>
          </w:p>
        </w:tc>
        <w:tc>
          <w:tcPr>
            <w:tcW w:w="19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Task 4</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FR-11</w:t>
            </w:r>
          </w:p>
        </w:tc>
        <w:tc>
          <w:tcPr>
            <w:tcW w:w="6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 xml:space="preserve">The system shall expose a GET /balance endpoint accepting a </w:t>
            </w:r>
            <w:proofErr w:type="spellStart"/>
            <w:r>
              <w:rPr>
                <w:sz w:val="18"/>
                <w:szCs w:val="18"/>
              </w:rPr>
              <w:t>userId</w:t>
            </w:r>
            <w:proofErr w:type="spellEnd"/>
            <w:r>
              <w:rPr>
                <w:sz w:val="18"/>
                <w:szCs w:val="18"/>
              </w:rPr>
              <w:t xml:space="preserve"> request parameter.</w:t>
            </w:r>
          </w:p>
        </w:tc>
        <w:tc>
          <w:tcPr>
            <w:tcW w:w="19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Task 5</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lastRenderedPageBreak/>
              <w:t>FR-12</w:t>
            </w:r>
          </w:p>
        </w:tc>
        <w:tc>
          <w:tcPr>
            <w:tcW w:w="6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The system shall return the requested user's current balance, serialized as JSON, when the user exists.</w:t>
            </w:r>
          </w:p>
        </w:tc>
        <w:tc>
          <w:tcPr>
            <w:tcW w:w="19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Task 5</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FR-13</w:t>
            </w:r>
          </w:p>
        </w:tc>
        <w:tc>
          <w:tcPr>
            <w:tcW w:w="6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 xml:space="preserve">The system shall return a balance of zero for a </w:t>
            </w:r>
            <w:proofErr w:type="spellStart"/>
            <w:r>
              <w:rPr>
                <w:sz w:val="18"/>
                <w:szCs w:val="18"/>
              </w:rPr>
              <w:t>userId</w:t>
            </w:r>
            <w:proofErr w:type="spellEnd"/>
            <w:r>
              <w:rPr>
                <w:sz w:val="18"/>
                <w:szCs w:val="18"/>
              </w:rPr>
              <w:t xml:space="preserve"> that does not correspond to an existing user, rather than an error response.</w:t>
            </w:r>
          </w:p>
        </w:tc>
        <w:tc>
          <w:tcPr>
            <w:tcW w:w="19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Task 5</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FR-14</w:t>
            </w:r>
          </w:p>
        </w:tc>
        <w:tc>
          <w:tcPr>
            <w:tcW w:w="6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The REST controller and the Kafka listener shall operate concurrently within a single Spring Boot process, listening on port 33400.</w:t>
            </w:r>
          </w:p>
        </w:tc>
        <w:tc>
          <w:tcPr>
            <w:tcW w:w="19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Task 5</w:t>
            </w:r>
          </w:p>
        </w:tc>
      </w:tr>
    </w:tbl>
    <w:p w:rsidR="006556B8" w:rsidRDefault="00EC00BA">
      <w:pPr>
        <w:pStyle w:val="Heading2"/>
        <w:spacing w:before="300" w:after="140"/>
      </w:pPr>
      <w:r>
        <w:rPr>
          <w:b/>
          <w:bCs/>
          <w:color w:val="1F2A44"/>
          <w:sz w:val="24"/>
          <w:szCs w:val="24"/>
        </w:rPr>
        <w:t>2.7 Non</w:t>
      </w:r>
      <w:r w:rsidR="00A65B26">
        <w:rPr>
          <w:b/>
          <w:bCs/>
          <w:color w:val="1F2A44"/>
          <w:sz w:val="24"/>
          <w:szCs w:val="24"/>
        </w:rPr>
        <w:t>-Functional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350"/>
        <w:gridCol w:w="1900"/>
      </w:tblGrid>
      <w:tr w:rsidR="006556B8">
        <w:tblPrEx>
          <w:tblCellMar>
            <w:top w:w="0" w:type="dxa"/>
            <w:bottom w:w="0" w:type="dxa"/>
          </w:tblCellMar>
        </w:tblPrEx>
        <w:trPr>
          <w:tblHeader/>
        </w:trPr>
        <w:tc>
          <w:tcPr>
            <w:tcW w:w="11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ID</w:t>
            </w:r>
          </w:p>
        </w:tc>
        <w:tc>
          <w:tcPr>
            <w:tcW w:w="63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Category</w:t>
            </w:r>
          </w:p>
        </w:tc>
        <w:tc>
          <w:tcPr>
            <w:tcW w:w="19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Requirement</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NFR-01</w:t>
            </w:r>
          </w:p>
        </w:tc>
        <w:tc>
          <w:tcPr>
            <w:tcW w:w="6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Consistency</w:t>
            </w:r>
          </w:p>
        </w:tc>
        <w:tc>
          <w:tcPr>
            <w:tcW w:w="19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Financial state changes (balance debits/credits) must be committed atomically with the transaction record — partial writes are not acceptable.</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NFR-02</w:t>
            </w:r>
          </w:p>
        </w:tc>
        <w:tc>
          <w:tcPr>
            <w:tcW w:w="6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Testability</w:t>
            </w:r>
          </w:p>
        </w:tc>
        <w:tc>
          <w:tcPr>
            <w:tcW w:w="19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Every integration layer (Kafka, database, external API, REST) must be independently verifiable via automated tests, without requiring manual end-to-end setup.</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NFR-03</w:t>
            </w:r>
          </w:p>
        </w:tc>
        <w:tc>
          <w:tcPr>
            <w:tcW w:w="6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Configurability</w:t>
            </w:r>
          </w:p>
        </w:tc>
        <w:tc>
          <w:tcPr>
            <w:tcW w:w="19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 xml:space="preserve">Environment-specific values (Kafka topic name, server port, </w:t>
            </w:r>
            <w:proofErr w:type="spellStart"/>
            <w:r>
              <w:rPr>
                <w:sz w:val="18"/>
                <w:szCs w:val="18"/>
              </w:rPr>
              <w:t>datasource</w:t>
            </w:r>
            <w:proofErr w:type="spellEnd"/>
            <w:r>
              <w:rPr>
                <w:sz w:val="18"/>
                <w:szCs w:val="18"/>
              </w:rPr>
              <w:t>) must be externalized to configuration rather than hard-coded.</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NFR-04</w:t>
            </w:r>
          </w:p>
        </w:tc>
        <w:tc>
          <w:tcPr>
            <w:tcW w:w="6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Maintainability</w:t>
            </w:r>
          </w:p>
        </w:tc>
        <w:tc>
          <w:tcPr>
            <w:tcW w:w="19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The persistence layer must be abstracted (JPA) such that the underlying database can be swapped without code changes to business logic.</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NFR-05</w:t>
            </w:r>
          </w:p>
        </w:tc>
        <w:tc>
          <w:tcPr>
            <w:tcW w:w="6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Decoupling</w:t>
            </w:r>
          </w:p>
        </w:tc>
        <w:tc>
          <w:tcPr>
            <w:tcW w:w="19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Transaction producers must not require Midas Core to be online at publish time; Kafka must absorb bursts and outages on the consumer side.</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NFR-06</w:t>
            </w:r>
          </w:p>
        </w:tc>
        <w:tc>
          <w:tcPr>
            <w:tcW w:w="6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Security (gap, flagged)</w:t>
            </w:r>
          </w:p>
        </w:tc>
        <w:tc>
          <w:tcPr>
            <w:tcW w:w="19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 xml:space="preserve">No authentication, authorization, or transport encryption is </w:t>
            </w:r>
            <w:r>
              <w:rPr>
                <w:sz w:val="18"/>
                <w:szCs w:val="18"/>
              </w:rPr>
              <w:lastRenderedPageBreak/>
              <w:t>currently specified. This is acceptable for a bounded simulation but is explicitly not production-ready — see Risk R-04.</w:t>
            </w:r>
          </w:p>
        </w:tc>
      </w:tr>
      <w:tr w:rsidR="006556B8">
        <w:tblPrEx>
          <w:tblCellMar>
            <w:top w:w="0" w:type="dxa"/>
            <w:bottom w:w="0" w:type="dxa"/>
          </w:tblCellMar>
        </w:tblPrEx>
        <w:tc>
          <w:tcPr>
            <w:tcW w:w="11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lastRenderedPageBreak/>
              <w:t>NFR-07</w:t>
            </w:r>
          </w:p>
        </w:tc>
        <w:tc>
          <w:tcPr>
            <w:tcW w:w="6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Observability (gap, flagged)</w:t>
            </w:r>
          </w:p>
        </w:tc>
        <w:tc>
          <w:tcPr>
            <w:tcW w:w="19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No structured logging, metrics, or tracing strategy is defined in the current scope — see Risk R-08.</w:t>
            </w:r>
          </w:p>
        </w:tc>
      </w:tr>
    </w:tbl>
    <w:p w:rsidR="006556B8" w:rsidRDefault="00EC00BA">
      <w:pPr>
        <w:pStyle w:val="Heading2"/>
        <w:spacing w:before="300" w:after="140"/>
      </w:pPr>
      <w:r>
        <w:rPr>
          <w:b/>
          <w:bCs/>
          <w:color w:val="1F2A44"/>
          <w:sz w:val="24"/>
          <w:szCs w:val="24"/>
        </w:rPr>
        <w:t>2.8 Assumptions</w:t>
      </w:r>
    </w:p>
    <w:p w:rsidR="006556B8" w:rsidRDefault="00A65B26">
      <w:pPr>
        <w:pStyle w:val="ListParagraph"/>
        <w:numPr>
          <w:ilvl w:val="0"/>
          <w:numId w:val="1"/>
        </w:numPr>
        <w:spacing w:after="80" w:line="264" w:lineRule="auto"/>
      </w:pPr>
      <w:r>
        <w:t>User accounts (sender and recipient) are pre-provisioned in the database before transactions are processed; account creation is out of scope.</w:t>
      </w:r>
    </w:p>
    <w:p w:rsidR="006556B8" w:rsidRDefault="00A65B26">
      <w:pPr>
        <w:pStyle w:val="ListParagraph"/>
        <w:numPr>
          <w:ilvl w:val="0"/>
          <w:numId w:val="1"/>
        </w:numPr>
        <w:spacing w:after="80" w:line="264" w:lineRule="auto"/>
      </w:pPr>
      <w:r>
        <w:t>The Incentive API is available at a known local address during development and returns a well-formed, non-negative amount.</w:t>
      </w:r>
    </w:p>
    <w:p w:rsidR="006556B8" w:rsidRDefault="00A65B26">
      <w:pPr>
        <w:pStyle w:val="ListParagraph"/>
        <w:numPr>
          <w:ilvl w:val="0"/>
          <w:numId w:val="1"/>
        </w:numPr>
        <w:spacing w:after="80" w:line="264" w:lineRule="auto"/>
      </w:pPr>
      <w:r>
        <w:t>A single Kafka topic and a single logical consumer group are sufficient; multi-topic or multi-tenant routing is not required.</w:t>
      </w:r>
    </w:p>
    <w:p w:rsidR="006556B8" w:rsidRDefault="00A65B26">
      <w:pPr>
        <w:pStyle w:val="ListParagraph"/>
        <w:numPr>
          <w:ilvl w:val="0"/>
          <w:numId w:val="1"/>
        </w:numPr>
        <w:spacing w:after="80" w:line="264" w:lineRule="auto"/>
      </w:pPr>
      <w:r>
        <w:t>H2's in</w:t>
      </w:r>
      <w:r>
        <w:t>-memory database is acceptable for development and test; it is not intended to represent a production data store.</w:t>
      </w:r>
    </w:p>
    <w:p w:rsidR="006556B8" w:rsidRDefault="00EC00BA">
      <w:pPr>
        <w:pStyle w:val="Heading2"/>
        <w:spacing w:before="300" w:after="140"/>
      </w:pPr>
      <w:r>
        <w:rPr>
          <w:b/>
          <w:bCs/>
          <w:color w:val="1F2A44"/>
          <w:sz w:val="24"/>
          <w:szCs w:val="24"/>
        </w:rPr>
        <w:t>2.9 Constraints</w:t>
      </w:r>
    </w:p>
    <w:p w:rsidR="006556B8" w:rsidRDefault="00A65B26">
      <w:pPr>
        <w:pStyle w:val="ListParagraph"/>
        <w:numPr>
          <w:ilvl w:val="0"/>
          <w:numId w:val="1"/>
        </w:numPr>
        <w:spacing w:after="80" w:line="264" w:lineRule="auto"/>
      </w:pPr>
      <w:r>
        <w:t>Implementation is constrained to the Java 17 / Spring Boot 3.2.5 ecosystem specified by the provided scaffold.</w:t>
      </w:r>
    </w:p>
    <w:p w:rsidR="006556B8" w:rsidRDefault="00A65B26">
      <w:pPr>
        <w:pStyle w:val="ListParagraph"/>
        <w:numPr>
          <w:ilvl w:val="0"/>
          <w:numId w:val="1"/>
        </w:numPr>
        <w:spacing w:after="80" w:line="264" w:lineRule="auto"/>
      </w:pPr>
      <w:r>
        <w:t>The Transactio</w:t>
      </w:r>
      <w:r>
        <w:t xml:space="preserve">n domain class is provided and must not be modified; new entities (e.g. </w:t>
      </w:r>
      <w:proofErr w:type="spellStart"/>
      <w:r>
        <w:t>TransactionRecord</w:t>
      </w:r>
      <w:proofErr w:type="spellEnd"/>
      <w:r>
        <w:t>) must be introduced alongside it.</w:t>
      </w:r>
    </w:p>
    <w:p w:rsidR="006556B8" w:rsidRDefault="00A65B26">
      <w:pPr>
        <w:pStyle w:val="ListParagraph"/>
        <w:numPr>
          <w:ilvl w:val="0"/>
          <w:numId w:val="1"/>
        </w:numPr>
        <w:spacing w:after="80" w:line="264" w:lineRule="auto"/>
      </w:pPr>
      <w:r>
        <w:t xml:space="preserve">The Balance object's </w:t>
      </w:r>
      <w:proofErr w:type="spellStart"/>
      <w:proofErr w:type="gramStart"/>
      <w:r>
        <w:t>toString</w:t>
      </w:r>
      <w:proofErr w:type="spellEnd"/>
      <w:r>
        <w:t>(</w:t>
      </w:r>
      <w:proofErr w:type="gramEnd"/>
      <w:r>
        <w:t>) representation is used for automated test verification and must not be altered.</w:t>
      </w:r>
    </w:p>
    <w:p w:rsidR="006556B8" w:rsidRDefault="00A65B26">
      <w:pPr>
        <w:pStyle w:val="ListParagraph"/>
        <w:numPr>
          <w:ilvl w:val="0"/>
          <w:numId w:val="1"/>
        </w:numPr>
        <w:spacing w:after="80" w:line="264" w:lineRule="auto"/>
      </w:pPr>
      <w:r>
        <w:t>The REST API must ru</w:t>
      </w:r>
      <w:r>
        <w:t>n on a fixed port (33400) alongside the Kafka listener within the same process.</w:t>
      </w:r>
    </w:p>
    <w:p w:rsidR="006556B8" w:rsidRDefault="00EC00BA">
      <w:pPr>
        <w:pStyle w:val="Heading2"/>
        <w:spacing w:before="300" w:after="140"/>
      </w:pPr>
      <w:r>
        <w:rPr>
          <w:b/>
          <w:bCs/>
          <w:color w:val="1F2A44"/>
          <w:sz w:val="24"/>
          <w:szCs w:val="24"/>
        </w:rPr>
        <w:t>2.10 Success</w:t>
      </w:r>
      <w:r w:rsidR="00A65B26">
        <w:rPr>
          <w:b/>
          <w:bCs/>
          <w:color w:val="1F2A44"/>
          <w:sz w:val="24"/>
          <w:szCs w:val="24"/>
        </w:rPr>
        <w:t xml:space="preserve"> Metrics and Acceptance Criteria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6556B8">
        <w:tblPrEx>
          <w:tblCellMar>
            <w:top w:w="0" w:type="dxa"/>
            <w:bottom w:w="0" w:type="dxa"/>
          </w:tblCellMar>
        </w:tblPrEx>
        <w:trPr>
          <w:tblHeader/>
        </w:trPr>
        <w:tc>
          <w:tcPr>
            <w:tcW w:w="4675"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Metric</w:t>
            </w:r>
          </w:p>
        </w:tc>
        <w:tc>
          <w:tcPr>
            <w:tcW w:w="4675"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Target</w:t>
            </w:r>
          </w:p>
        </w:tc>
      </w:tr>
      <w:tr w:rsidR="006556B8">
        <w:tblPrEx>
          <w:tblCellMar>
            <w:top w:w="0" w:type="dxa"/>
            <w:bottom w:w="0" w:type="dxa"/>
          </w:tblCellMar>
        </w:tblPrEx>
        <w:tc>
          <w:tcPr>
            <w:tcW w:w="4675"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Automated task test suites (Task 1–5)</w:t>
            </w:r>
          </w:p>
        </w:tc>
        <w:tc>
          <w:tcPr>
            <w:tcW w:w="4675"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100% passing, including embedded-Kafka and REST integration tests.</w:t>
            </w:r>
          </w:p>
        </w:tc>
      </w:tr>
      <w:tr w:rsidR="006556B8">
        <w:tblPrEx>
          <w:tblCellMar>
            <w:top w:w="0" w:type="dxa"/>
            <w:bottom w:w="0" w:type="dxa"/>
          </w:tblCellMar>
        </w:tblPrEx>
        <w:tc>
          <w:tcPr>
            <w:tcW w:w="4675"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Balance correctness after a sequence of transactions</w:t>
            </w:r>
          </w:p>
        </w:tc>
        <w:tc>
          <w:tcPr>
            <w:tcW w:w="4675"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Matches expected value exactly (verified via debugger/test inspection per task).</w:t>
            </w:r>
          </w:p>
        </w:tc>
      </w:tr>
      <w:tr w:rsidR="006556B8">
        <w:tblPrEx>
          <w:tblCellMar>
            <w:top w:w="0" w:type="dxa"/>
            <w:bottom w:w="0" w:type="dxa"/>
          </w:tblCellMar>
        </w:tblPrEx>
        <w:tc>
          <w:tcPr>
            <w:tcW w:w="4675"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Invalid transaction handling</w:t>
            </w:r>
          </w:p>
        </w:tc>
        <w:tc>
          <w:tcPr>
            <w:tcW w:w="4675"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Zero persisted records or balance mutations for any transaction failing validation.</w:t>
            </w:r>
          </w:p>
        </w:tc>
      </w:tr>
      <w:tr w:rsidR="006556B8">
        <w:tblPrEx>
          <w:tblCellMar>
            <w:top w:w="0" w:type="dxa"/>
            <w:bottom w:w="0" w:type="dxa"/>
          </w:tblCellMar>
        </w:tblPrEx>
        <w:tc>
          <w:tcPr>
            <w:tcW w:w="4675"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Incentive attribution</w:t>
            </w:r>
          </w:p>
        </w:tc>
        <w:tc>
          <w:tcPr>
            <w:tcW w:w="4675"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Recipient balance reflects amount + incentive; sender balance reflects amount only.</w:t>
            </w:r>
          </w:p>
        </w:tc>
      </w:tr>
      <w:tr w:rsidR="006556B8">
        <w:tblPrEx>
          <w:tblCellMar>
            <w:top w:w="0" w:type="dxa"/>
            <w:bottom w:w="0" w:type="dxa"/>
          </w:tblCellMar>
        </w:tblPrEx>
        <w:tc>
          <w:tcPr>
            <w:tcW w:w="4675"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API availability during concurrent operation</w:t>
            </w:r>
          </w:p>
        </w:tc>
        <w:tc>
          <w:tcPr>
            <w:tcW w:w="4675"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GET /balance returns correct results while the Kafka listener is actively consuming.</w:t>
            </w:r>
          </w:p>
        </w:tc>
      </w:tr>
    </w:tbl>
    <w:p w:rsidR="006556B8" w:rsidRDefault="00EC00BA">
      <w:pPr>
        <w:pStyle w:val="Heading2"/>
        <w:spacing w:before="300" w:after="140"/>
      </w:pPr>
      <w:r>
        <w:rPr>
          <w:b/>
          <w:bCs/>
          <w:color w:val="1F2A44"/>
          <w:sz w:val="24"/>
          <w:szCs w:val="24"/>
        </w:rPr>
        <w:lastRenderedPageBreak/>
        <w:t>2.11 Future</w:t>
      </w:r>
      <w:r w:rsidR="00A65B26">
        <w:rPr>
          <w:b/>
          <w:bCs/>
          <w:color w:val="1F2A44"/>
          <w:sz w:val="24"/>
          <w:szCs w:val="24"/>
        </w:rPr>
        <w:t xml:space="preserve"> Enhancements (Out of Current Scope)</w:t>
      </w:r>
    </w:p>
    <w:p w:rsidR="006556B8" w:rsidRDefault="00A65B26">
      <w:pPr>
        <w:pStyle w:val="ListParagraph"/>
        <w:numPr>
          <w:ilvl w:val="0"/>
          <w:numId w:val="1"/>
        </w:numPr>
        <w:spacing w:after="80" w:line="264" w:lineRule="auto"/>
      </w:pPr>
      <w:r>
        <w:t>Authentication/authorization on the balance endpoint and inter-service calls.</w:t>
      </w:r>
    </w:p>
    <w:p w:rsidR="006556B8" w:rsidRDefault="00A65B26">
      <w:pPr>
        <w:pStyle w:val="ListParagraph"/>
        <w:numPr>
          <w:ilvl w:val="0"/>
          <w:numId w:val="1"/>
        </w:numPr>
        <w:spacing w:after="80" w:line="264" w:lineRule="auto"/>
      </w:pPr>
      <w:r>
        <w:t>Idempotent transaction processing to tolerate Kafka redelivery without double-processing.</w:t>
      </w:r>
    </w:p>
    <w:p w:rsidR="006556B8" w:rsidRDefault="00A65B26">
      <w:pPr>
        <w:pStyle w:val="ListParagraph"/>
        <w:numPr>
          <w:ilvl w:val="0"/>
          <w:numId w:val="1"/>
        </w:numPr>
        <w:spacing w:after="80" w:line="264" w:lineRule="auto"/>
      </w:pPr>
      <w:r>
        <w:t>Migration from double to a fixed-precision monetary type (</w:t>
      </w:r>
      <w:proofErr w:type="spellStart"/>
      <w:r>
        <w:t>BigDecimal</w:t>
      </w:r>
      <w:proofErr w:type="spellEnd"/>
      <w:r>
        <w:t>) for all amount fields.</w:t>
      </w:r>
    </w:p>
    <w:p w:rsidR="006556B8" w:rsidRDefault="00A65B26">
      <w:pPr>
        <w:pStyle w:val="ListParagraph"/>
        <w:numPr>
          <w:ilvl w:val="0"/>
          <w:numId w:val="1"/>
        </w:numPr>
        <w:spacing w:after="80" w:line="264" w:lineRule="auto"/>
      </w:pPr>
      <w:r>
        <w:t>Circuit-breaker and timeout policy around the Incentive API call.</w:t>
      </w:r>
    </w:p>
    <w:p w:rsidR="006556B8" w:rsidRDefault="00A65B26">
      <w:pPr>
        <w:pStyle w:val="ListParagraph"/>
        <w:numPr>
          <w:ilvl w:val="0"/>
          <w:numId w:val="1"/>
        </w:numPr>
        <w:spacing w:after="80" w:line="264" w:lineRule="auto"/>
      </w:pPr>
      <w:r>
        <w:t>Durable production data store, replacing the in-memory H2 instance.</w:t>
      </w:r>
    </w:p>
    <w:p w:rsidR="006556B8" w:rsidRDefault="00A65B26">
      <w:pPr>
        <w:pStyle w:val="ListParagraph"/>
        <w:numPr>
          <w:ilvl w:val="0"/>
          <w:numId w:val="1"/>
        </w:numPr>
        <w:spacing w:after="80" w:line="264" w:lineRule="auto"/>
      </w:pPr>
      <w:r>
        <w:t xml:space="preserve">A dedicated Incentive </w:t>
      </w:r>
      <w:r w:rsidR="00EC00BA">
        <w:t>micro service</w:t>
      </w:r>
      <w:r>
        <w:t xml:space="preserve"> boundary if the balance/incentive domain grows further (see Section 3.1 architectural options).</w:t>
      </w:r>
    </w:p>
    <w:p w:rsidR="006556B8" w:rsidRDefault="00A65B26">
      <w:pPr>
        <w:pStyle w:val="Heading1"/>
        <w:pageBreakBefore/>
        <w:pBdr>
          <w:bottom w:val="single" w:sz="8" w:space="6" w:color="1F2A44"/>
        </w:pBdr>
        <w:spacing w:before="240" w:after="160"/>
      </w:pPr>
      <w:r>
        <w:rPr>
          <w:b/>
          <w:bCs/>
          <w:color w:val="1F2A44"/>
          <w:sz w:val="30"/>
          <w:szCs w:val="30"/>
        </w:rPr>
        <w:lastRenderedPageBreak/>
        <w:t>3.  Part II — Technical Requirements Document (TRD)</w:t>
      </w:r>
    </w:p>
    <w:p w:rsidR="006556B8" w:rsidRDefault="00EC00BA">
      <w:pPr>
        <w:pStyle w:val="Heading2"/>
        <w:spacing w:before="300" w:after="140"/>
      </w:pPr>
      <w:r>
        <w:rPr>
          <w:b/>
          <w:bCs/>
          <w:color w:val="1F2A44"/>
          <w:sz w:val="24"/>
          <w:szCs w:val="24"/>
        </w:rPr>
        <w:t>3.1 Architecture</w:t>
      </w:r>
      <w:r w:rsidR="00A65B26">
        <w:rPr>
          <w:b/>
          <w:bCs/>
          <w:color w:val="1F2A44"/>
          <w:sz w:val="24"/>
          <w:szCs w:val="24"/>
        </w:rPr>
        <w:t xml:space="preserve"> Overview</w:t>
      </w:r>
    </w:p>
    <w:p w:rsidR="006556B8" w:rsidRDefault="00A65B26">
      <w:pPr>
        <w:spacing w:after="160" w:line="276" w:lineRule="auto"/>
        <w:jc w:val="both"/>
      </w:pPr>
      <w:r>
        <w:t>Midas Core is a single Spring Boot process exposing two entry points: an asynchronous Kafka consumer and a synchronous REST controller. Both run inside the same JVM and share the same persistence layer and service classes. The service depends on one extern</w:t>
      </w:r>
      <w:r>
        <w:t>al system — the Incentive API — which is treated strictly as a contract boundary: its internal logic is irrelevant to Midas Core, and only its request/response schema matters (Section 3.5).</w:t>
      </w:r>
    </w:p>
    <w:p w:rsidR="006556B8" w:rsidRDefault="00A65B26">
      <w:pPr>
        <w:spacing w:before="160" w:after="40"/>
        <w:jc w:val="center"/>
      </w:pPr>
      <w:r>
        <w:rPr>
          <w:noProof/>
        </w:rPr>
        <w:drawing>
          <wp:inline distT="0" distB="0" distL="0" distR="0">
            <wp:extent cx="5905500"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71850"/>
                    </a:xfrm>
                    <a:prstGeom prst="rect">
                      <a:avLst/>
                    </a:prstGeom>
                  </pic:spPr>
                </pic:pic>
              </a:graphicData>
            </a:graphic>
          </wp:inline>
        </w:drawing>
      </w:r>
    </w:p>
    <w:p w:rsidR="006556B8" w:rsidRDefault="00A65B26">
      <w:pPr>
        <w:spacing w:before="100" w:after="240"/>
        <w:jc w:val="center"/>
      </w:pPr>
      <w:r>
        <w:rPr>
          <w:i/>
          <w:iCs/>
          <w:color w:val="5B6577"/>
          <w:sz w:val="19"/>
          <w:szCs w:val="19"/>
        </w:rPr>
        <w:t>Figure 1 — Midas Core system architecture and component boundari</w:t>
      </w:r>
      <w:r>
        <w:rPr>
          <w:i/>
          <w:iCs/>
          <w:color w:val="5B6577"/>
          <w:sz w:val="19"/>
          <w:szCs w:val="19"/>
        </w:rPr>
        <w:t>es.</w:t>
      </w:r>
    </w:p>
    <w:p w:rsidR="006556B8" w:rsidRDefault="00A65B26">
      <w:pPr>
        <w:pStyle w:val="Heading3"/>
        <w:spacing w:before="220" w:after="100"/>
      </w:pPr>
      <w:r>
        <w:rPr>
          <w:b/>
          <w:bCs/>
          <w:color w:val="3B4A66"/>
          <w:sz w:val="21"/>
          <w:szCs w:val="21"/>
        </w:rPr>
        <w:t>Architectural Decision Record — Balance Endpoint Placement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6556B8">
        <w:tblPrEx>
          <w:tblCellMar>
            <w:top w:w="0" w:type="dxa"/>
            <w:bottom w:w="0" w:type="dxa"/>
          </w:tblCellMar>
        </w:tblPrEx>
        <w:trPr>
          <w:tblHeader/>
        </w:trPr>
        <w:tc>
          <w:tcPr>
            <w:tcW w:w="3117"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Option</w:t>
            </w:r>
          </w:p>
        </w:tc>
        <w:tc>
          <w:tcPr>
            <w:tcW w:w="3117"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Pros</w:t>
            </w:r>
          </w:p>
        </w:tc>
        <w:tc>
          <w:tcPr>
            <w:tcW w:w="3116"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Cons</w:t>
            </w:r>
          </w:p>
        </w:tc>
      </w:tr>
      <w:tr w:rsidR="006556B8">
        <w:tblPrEx>
          <w:tblCellMar>
            <w:top w:w="0" w:type="dxa"/>
            <w:bottom w:w="0" w:type="dxa"/>
          </w:tblCellMar>
        </w:tblPrEx>
        <w:tc>
          <w:tcPr>
            <w:tcW w:w="3117"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 — Add GET /balance to Midas Core (chosen)</w:t>
            </w:r>
          </w:p>
        </w:tc>
        <w:tc>
          <w:tcPr>
            <w:tcW w:w="3117"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Minimal deployment overhead; Spring makes it trivial to add; balances live next to the data that produces them.</w:t>
            </w:r>
          </w:p>
        </w:tc>
        <w:tc>
          <w:tcPr>
            <w:tcW w:w="3116"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Slightly widens Midas Core's single-purpose responsibility.</w:t>
            </w:r>
          </w:p>
        </w:tc>
      </w:tr>
      <w:tr w:rsidR="006556B8">
        <w:tblPrEx>
          <w:tblCellMar>
            <w:top w:w="0" w:type="dxa"/>
            <w:bottom w:w="0" w:type="dxa"/>
          </w:tblCellMar>
        </w:tblPrEx>
        <w:tc>
          <w:tcPr>
            <w:tcW w:w="3117"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 xml:space="preserve">B — Extract a new balance </w:t>
            </w:r>
            <w:proofErr w:type="spellStart"/>
            <w:r>
              <w:rPr>
                <w:sz w:val="18"/>
                <w:szCs w:val="18"/>
              </w:rPr>
              <w:t>microservice</w:t>
            </w:r>
            <w:proofErr w:type="spellEnd"/>
          </w:p>
        </w:tc>
        <w:tc>
          <w:tcPr>
            <w:tcW w:w="3117"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Cleaner separation of read and write responsibilities.</w:t>
            </w:r>
          </w:p>
        </w:tc>
        <w:tc>
          <w:tcPr>
            <w:tcW w:w="3116"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New deployment unit, new network hop, added operational overhead not justified at current scale.</w:t>
            </w:r>
          </w:p>
        </w:tc>
      </w:tr>
    </w:tbl>
    <w:p w:rsidR="006556B8" w:rsidRDefault="00A65B26">
      <w:pPr>
        <w:spacing w:after="160" w:line="276" w:lineRule="auto"/>
        <w:jc w:val="both"/>
      </w:pPr>
      <w:r>
        <w:t>Decision: Option A is adopted for the current scope. The principle applied is that architecture should balance elegance with practicality — extracting a service is justified by growth in responsibility, not by aesthetic preference. If the balance/query sur</w:t>
      </w:r>
      <w:r>
        <w:t>face grows materially (e.g. transaction history, statements, multi-field account queries), Section 6.9 recommends revisiting this decision.</w:t>
      </w:r>
    </w:p>
    <w:p w:rsidR="006556B8" w:rsidRDefault="00EC00BA">
      <w:pPr>
        <w:pStyle w:val="Heading2"/>
        <w:spacing w:before="300" w:after="140"/>
      </w:pPr>
      <w:r>
        <w:rPr>
          <w:b/>
          <w:bCs/>
          <w:color w:val="1F2A44"/>
          <w:sz w:val="24"/>
          <w:szCs w:val="24"/>
        </w:rPr>
        <w:t>3.2 Technology</w:t>
      </w:r>
      <w:r w:rsidR="00A65B26">
        <w:rPr>
          <w:b/>
          <w:bCs/>
          <w:color w:val="1F2A44"/>
          <w:sz w:val="24"/>
          <w:szCs w:val="24"/>
        </w:rPr>
        <w:t xml:space="preserve">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50"/>
      </w:tblGrid>
      <w:tr w:rsidR="006556B8">
        <w:tblPrEx>
          <w:tblCellMar>
            <w:top w:w="0" w:type="dxa"/>
            <w:bottom w:w="0" w:type="dxa"/>
          </w:tblCellMar>
        </w:tblPrEx>
        <w:trPr>
          <w:tblHeader/>
        </w:trPr>
        <w:tc>
          <w:tcPr>
            <w:tcW w:w="24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Technology</w:t>
            </w:r>
          </w:p>
        </w:tc>
        <w:tc>
          <w:tcPr>
            <w:tcW w:w="26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Version</w:t>
            </w:r>
          </w:p>
        </w:tc>
        <w:tc>
          <w:tcPr>
            <w:tcW w:w="43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Purpose</w:t>
            </w:r>
          </w:p>
        </w:tc>
      </w:tr>
      <w:tr w:rsidR="006556B8">
        <w:tblPrEx>
          <w:tblCellMar>
            <w:top w:w="0" w:type="dxa"/>
            <w:bottom w:w="0" w:type="dxa"/>
          </w:tblCellMar>
        </w:tblPrEx>
        <w:tc>
          <w:tcPr>
            <w:tcW w:w="24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Java</w:t>
            </w:r>
          </w:p>
        </w:tc>
        <w:tc>
          <w:tcPr>
            <w:tcW w:w="2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17</w:t>
            </w:r>
          </w:p>
        </w:tc>
        <w:tc>
          <w:tcPr>
            <w:tcW w:w="4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Core language runtime.</w:t>
            </w:r>
          </w:p>
        </w:tc>
      </w:tr>
      <w:tr w:rsidR="006556B8">
        <w:tblPrEx>
          <w:tblCellMar>
            <w:top w:w="0" w:type="dxa"/>
            <w:bottom w:w="0" w:type="dxa"/>
          </w:tblCellMar>
        </w:tblPrEx>
        <w:tc>
          <w:tcPr>
            <w:tcW w:w="24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lastRenderedPageBreak/>
              <w:t>Spring Boot</w:t>
            </w:r>
          </w:p>
        </w:tc>
        <w:tc>
          <w:tcPr>
            <w:tcW w:w="2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3.2.5</w:t>
            </w:r>
          </w:p>
        </w:tc>
        <w:tc>
          <w:tcPr>
            <w:tcW w:w="4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Application framework, dependency injection, auto-configuration.</w:t>
            </w:r>
          </w:p>
        </w:tc>
      </w:tr>
      <w:tr w:rsidR="006556B8">
        <w:tblPrEx>
          <w:tblCellMar>
            <w:top w:w="0" w:type="dxa"/>
            <w:bottom w:w="0" w:type="dxa"/>
          </w:tblCellMar>
        </w:tblPrEx>
        <w:tc>
          <w:tcPr>
            <w:tcW w:w="24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Apache Kafka</w:t>
            </w:r>
          </w:p>
        </w:tc>
        <w:tc>
          <w:tcPr>
            <w:tcW w:w="2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3.1.4 (spring-</w:t>
            </w:r>
            <w:proofErr w:type="spellStart"/>
            <w:r>
              <w:rPr>
                <w:sz w:val="18"/>
                <w:szCs w:val="18"/>
              </w:rPr>
              <w:t>kafka</w:t>
            </w:r>
            <w:proofErr w:type="spellEnd"/>
            <w:r>
              <w:rPr>
                <w:sz w:val="18"/>
                <w:szCs w:val="18"/>
              </w:rPr>
              <w:t>)</w:t>
            </w:r>
          </w:p>
        </w:tc>
        <w:tc>
          <w:tcPr>
            <w:tcW w:w="4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Asynchronous message broker between producers and Midas Core.</w:t>
            </w:r>
          </w:p>
        </w:tc>
      </w:tr>
      <w:tr w:rsidR="006556B8">
        <w:tblPrEx>
          <w:tblCellMar>
            <w:top w:w="0" w:type="dxa"/>
            <w:bottom w:w="0" w:type="dxa"/>
          </w:tblCellMar>
        </w:tblPrEx>
        <w:tc>
          <w:tcPr>
            <w:tcW w:w="24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Spring Data JPA</w:t>
            </w:r>
          </w:p>
        </w:tc>
        <w:tc>
          <w:tcPr>
            <w:tcW w:w="2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(bundled with Spring Boot)</w:t>
            </w:r>
          </w:p>
        </w:tc>
        <w:tc>
          <w:tcPr>
            <w:tcW w:w="4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 xml:space="preserve">ORM layer for persistence of User and </w:t>
            </w:r>
            <w:proofErr w:type="spellStart"/>
            <w:r>
              <w:rPr>
                <w:sz w:val="18"/>
                <w:szCs w:val="18"/>
              </w:rPr>
              <w:t>TransactionRecord</w:t>
            </w:r>
            <w:proofErr w:type="spellEnd"/>
            <w:r>
              <w:rPr>
                <w:sz w:val="18"/>
                <w:szCs w:val="18"/>
              </w:rPr>
              <w:t xml:space="preserve"> entities.</w:t>
            </w:r>
          </w:p>
        </w:tc>
      </w:tr>
      <w:tr w:rsidR="006556B8">
        <w:tblPrEx>
          <w:tblCellMar>
            <w:top w:w="0" w:type="dxa"/>
            <w:bottom w:w="0" w:type="dxa"/>
          </w:tblCellMar>
        </w:tblPrEx>
        <w:tc>
          <w:tcPr>
            <w:tcW w:w="24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H2 Database</w:t>
            </w:r>
          </w:p>
        </w:tc>
        <w:tc>
          <w:tcPr>
            <w:tcW w:w="2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2.2.224</w:t>
            </w:r>
          </w:p>
        </w:tc>
        <w:tc>
          <w:tcPr>
            <w:tcW w:w="4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In-memory relational database for development and test.</w:t>
            </w:r>
          </w:p>
        </w:tc>
      </w:tr>
      <w:tr w:rsidR="006556B8">
        <w:tblPrEx>
          <w:tblCellMar>
            <w:top w:w="0" w:type="dxa"/>
            <w:bottom w:w="0" w:type="dxa"/>
          </w:tblCellMar>
        </w:tblPrEx>
        <w:tc>
          <w:tcPr>
            <w:tcW w:w="24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proofErr w:type="spellStart"/>
            <w:r>
              <w:rPr>
                <w:sz w:val="18"/>
                <w:szCs w:val="18"/>
              </w:rPr>
              <w:t>RestTemplate</w:t>
            </w:r>
            <w:proofErr w:type="spellEnd"/>
          </w:p>
        </w:tc>
        <w:tc>
          <w:tcPr>
            <w:tcW w:w="2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(Spring Web)</w:t>
            </w:r>
          </w:p>
        </w:tc>
        <w:tc>
          <w:tcPr>
            <w:tcW w:w="4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Synchronous HTTP client used to call the Incentive API.</w:t>
            </w:r>
          </w:p>
        </w:tc>
      </w:tr>
      <w:tr w:rsidR="006556B8">
        <w:tblPrEx>
          <w:tblCellMar>
            <w:top w:w="0" w:type="dxa"/>
            <w:bottom w:w="0" w:type="dxa"/>
          </w:tblCellMar>
        </w:tblPrEx>
        <w:tc>
          <w:tcPr>
            <w:tcW w:w="24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Maven</w:t>
            </w:r>
          </w:p>
        </w:tc>
        <w:tc>
          <w:tcPr>
            <w:tcW w:w="2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w:t>
            </w:r>
          </w:p>
        </w:tc>
        <w:tc>
          <w:tcPr>
            <w:tcW w:w="4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Build automation and dependency management.</w:t>
            </w:r>
          </w:p>
        </w:tc>
      </w:tr>
      <w:tr w:rsidR="006556B8">
        <w:tblPrEx>
          <w:tblCellMar>
            <w:top w:w="0" w:type="dxa"/>
            <w:bottom w:w="0" w:type="dxa"/>
          </w:tblCellMar>
        </w:tblPrEx>
        <w:tc>
          <w:tcPr>
            <w:tcW w:w="24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Spring Boot Test / JUnit</w:t>
            </w:r>
          </w:p>
        </w:tc>
        <w:tc>
          <w:tcPr>
            <w:tcW w:w="2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3.2.5</w:t>
            </w:r>
          </w:p>
        </w:tc>
        <w:tc>
          <w:tcPr>
            <w:tcW w:w="4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Unit and integration test framework.</w:t>
            </w:r>
          </w:p>
        </w:tc>
      </w:tr>
      <w:tr w:rsidR="006556B8">
        <w:tblPrEx>
          <w:tblCellMar>
            <w:top w:w="0" w:type="dxa"/>
            <w:bottom w:w="0" w:type="dxa"/>
          </w:tblCellMar>
        </w:tblPrEx>
        <w:tc>
          <w:tcPr>
            <w:tcW w:w="24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proofErr w:type="spellStart"/>
            <w:r>
              <w:rPr>
                <w:sz w:val="18"/>
                <w:szCs w:val="18"/>
              </w:rPr>
              <w:t>Testcontainers</w:t>
            </w:r>
            <w:proofErr w:type="spellEnd"/>
            <w:r>
              <w:rPr>
                <w:sz w:val="18"/>
                <w:szCs w:val="18"/>
              </w:rPr>
              <w:t xml:space="preserve"> (Kafka)</w:t>
            </w:r>
          </w:p>
        </w:tc>
        <w:tc>
          <w:tcPr>
            <w:tcW w:w="2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1.19.1</w:t>
            </w:r>
          </w:p>
        </w:tc>
        <w:tc>
          <w:tcPr>
            <w:tcW w:w="4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Embedded Kafka broker for isolated, repeatable integration tests.</w:t>
            </w:r>
          </w:p>
        </w:tc>
      </w:tr>
    </w:tbl>
    <w:p w:rsidR="006556B8" w:rsidRDefault="00EC00BA">
      <w:pPr>
        <w:pStyle w:val="Heading2"/>
        <w:spacing w:before="300" w:after="140"/>
      </w:pPr>
      <w:r>
        <w:rPr>
          <w:b/>
          <w:bCs/>
          <w:color w:val="1F2A44"/>
          <w:sz w:val="24"/>
          <w:szCs w:val="24"/>
        </w:rPr>
        <w:t>3.3 Component</w:t>
      </w:r>
      <w:r w:rsidR="00A65B26">
        <w:rPr>
          <w:b/>
          <w:bCs/>
          <w:color w:val="1F2A44"/>
          <w:sz w:val="24"/>
          <w:szCs w:val="24"/>
        </w:rPr>
        <w:t xml:space="preserve"> Design</w:t>
      </w:r>
    </w:p>
    <w:p w:rsidR="006556B8" w:rsidRDefault="00EC00BA">
      <w:pPr>
        <w:pStyle w:val="Heading3"/>
        <w:spacing w:before="220" w:after="100"/>
      </w:pPr>
      <w:r>
        <w:rPr>
          <w:b/>
          <w:bCs/>
          <w:color w:val="3B4A66"/>
          <w:sz w:val="21"/>
          <w:szCs w:val="21"/>
        </w:rPr>
        <w:t>3.3.1 Kafka</w:t>
      </w:r>
      <w:r w:rsidR="00A65B26">
        <w:rPr>
          <w:b/>
          <w:bCs/>
          <w:color w:val="3B4A66"/>
          <w:sz w:val="21"/>
          <w:szCs w:val="21"/>
        </w:rPr>
        <w:t xml:space="preserve"> Listener</w:t>
      </w:r>
    </w:p>
    <w:p w:rsidR="006556B8" w:rsidRDefault="00A65B26">
      <w:pPr>
        <w:spacing w:after="160" w:line="276" w:lineRule="auto"/>
        <w:jc w:val="both"/>
      </w:pPr>
      <w:r>
        <w:t>Responsibility: subscribe to the configured topic (default trader-updates, injected via ${</w:t>
      </w:r>
      <w:proofErr w:type="spellStart"/>
      <w:proofErr w:type="gramStart"/>
      <w:r>
        <w:t>general.kafka</w:t>
      </w:r>
      <w:proofErr w:type="spellEnd"/>
      <w:proofErr w:type="gramEnd"/>
      <w:r>
        <w:t xml:space="preserve">-topic}) and </w:t>
      </w:r>
      <w:proofErr w:type="spellStart"/>
      <w:r>
        <w:t>deserialize</w:t>
      </w:r>
      <w:proofErr w:type="spellEnd"/>
      <w:r>
        <w:t xml:space="preserve"> each message into a Transaction object, then hand it to the Transaction Service for processing. In tests, the listener runs agai</w:t>
      </w:r>
      <w:r>
        <w:t>nst an embedded Kafka broker so no external broker process is required.</w:t>
      </w:r>
    </w:p>
    <w:p w:rsidR="006556B8" w:rsidRDefault="00EC00BA">
      <w:pPr>
        <w:pStyle w:val="Heading3"/>
        <w:spacing w:before="220" w:after="100"/>
      </w:pPr>
      <w:r>
        <w:rPr>
          <w:b/>
          <w:bCs/>
          <w:color w:val="3B4A66"/>
          <w:sz w:val="21"/>
          <w:szCs w:val="21"/>
        </w:rPr>
        <w:t>3.3.2 Transaction</w:t>
      </w:r>
      <w:r w:rsidR="00A65B26">
        <w:rPr>
          <w:b/>
          <w:bCs/>
          <w:color w:val="3B4A66"/>
          <w:sz w:val="21"/>
          <w:szCs w:val="21"/>
        </w:rPr>
        <w:t xml:space="preserve"> Service</w:t>
      </w:r>
    </w:p>
    <w:p w:rsidR="006556B8" w:rsidRDefault="00A65B26">
      <w:pPr>
        <w:spacing w:after="160" w:line="276" w:lineRule="auto"/>
        <w:jc w:val="both"/>
      </w:pPr>
      <w:r>
        <w:t>Responsibility: orchestrate the full lifecycle of a single transaction — validate against current account state, call the Incentive API, apply balance change</w:t>
      </w:r>
      <w:r>
        <w:t>s, and persist the result. This is the component with the highest concentration of business logic and the highest concentration of engineering risk (Section 3.9).</w:t>
      </w:r>
    </w:p>
    <w:p w:rsidR="006556B8" w:rsidRDefault="00A65B26">
      <w:pPr>
        <w:spacing w:before="140" w:after="60"/>
      </w:pPr>
      <w:r>
        <w:rPr>
          <w:b/>
          <w:bCs/>
          <w:color w:val="3B4A66"/>
        </w:rPr>
        <w:t>Validation rules enforced (must all pass):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6556B8">
        <w:tblPrEx>
          <w:tblCellMar>
            <w:top w:w="0" w:type="dxa"/>
            <w:bottom w:w="0" w:type="dxa"/>
          </w:tblCellMar>
        </w:tblPrEx>
        <w:trPr>
          <w:tblHeader/>
        </w:trPr>
        <w:tc>
          <w:tcPr>
            <w:tcW w:w="15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Rule ID</w:t>
            </w:r>
          </w:p>
        </w:tc>
        <w:tc>
          <w:tcPr>
            <w:tcW w:w="78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Rule</w:t>
            </w:r>
          </w:p>
        </w:tc>
      </w:tr>
      <w:tr w:rsidR="006556B8">
        <w:tblPrEx>
          <w:tblCellMar>
            <w:top w:w="0" w:type="dxa"/>
            <w:bottom w:w="0" w:type="dxa"/>
          </w:tblCellMar>
        </w:tblPrEx>
        <w:tc>
          <w:tcPr>
            <w:tcW w:w="15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VR-01</w:t>
            </w:r>
          </w:p>
        </w:tc>
        <w:tc>
          <w:tcPr>
            <w:tcW w:w="78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proofErr w:type="spellStart"/>
            <w:r>
              <w:rPr>
                <w:sz w:val="18"/>
                <w:szCs w:val="18"/>
              </w:rPr>
              <w:t>senderId</w:t>
            </w:r>
            <w:proofErr w:type="spellEnd"/>
            <w:r>
              <w:rPr>
                <w:sz w:val="18"/>
                <w:szCs w:val="18"/>
              </w:rPr>
              <w:t xml:space="preserve"> must correspond to an existing, persisted User.</w:t>
            </w:r>
          </w:p>
        </w:tc>
      </w:tr>
      <w:tr w:rsidR="006556B8">
        <w:tblPrEx>
          <w:tblCellMar>
            <w:top w:w="0" w:type="dxa"/>
            <w:bottom w:w="0" w:type="dxa"/>
          </w:tblCellMar>
        </w:tblPrEx>
        <w:tc>
          <w:tcPr>
            <w:tcW w:w="15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VR-02</w:t>
            </w:r>
          </w:p>
        </w:tc>
        <w:tc>
          <w:tcPr>
            <w:tcW w:w="78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proofErr w:type="spellStart"/>
            <w:r>
              <w:rPr>
                <w:sz w:val="18"/>
                <w:szCs w:val="18"/>
              </w:rPr>
              <w:t>recipientId</w:t>
            </w:r>
            <w:proofErr w:type="spellEnd"/>
            <w:r>
              <w:rPr>
                <w:sz w:val="18"/>
                <w:szCs w:val="18"/>
              </w:rPr>
              <w:t xml:space="preserve"> must correspond to an existing, persisted User.</w:t>
            </w:r>
          </w:p>
        </w:tc>
      </w:tr>
      <w:tr w:rsidR="006556B8">
        <w:tblPrEx>
          <w:tblCellMar>
            <w:top w:w="0" w:type="dxa"/>
            <w:bottom w:w="0" w:type="dxa"/>
          </w:tblCellMar>
        </w:tblPrEx>
        <w:tc>
          <w:tcPr>
            <w:tcW w:w="15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VR-03</w:t>
            </w:r>
          </w:p>
        </w:tc>
        <w:tc>
          <w:tcPr>
            <w:tcW w:w="78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Sender's current balance must be greater than or equal to the transaction amount.</w:t>
            </w:r>
          </w:p>
        </w:tc>
      </w:tr>
    </w:tbl>
    <w:p w:rsidR="006556B8" w:rsidRDefault="00EC00BA">
      <w:pPr>
        <w:pStyle w:val="Heading3"/>
        <w:spacing w:before="220" w:after="100"/>
      </w:pPr>
      <w:r>
        <w:rPr>
          <w:b/>
          <w:bCs/>
          <w:color w:val="3B4A66"/>
          <w:sz w:val="21"/>
          <w:szCs w:val="21"/>
        </w:rPr>
        <w:t>3.3.3 Incentive</w:t>
      </w:r>
      <w:r w:rsidR="00A65B26">
        <w:rPr>
          <w:b/>
          <w:bCs/>
          <w:color w:val="3B4A66"/>
          <w:sz w:val="21"/>
          <w:szCs w:val="21"/>
        </w:rPr>
        <w:t xml:space="preserve"> Client</w:t>
      </w:r>
    </w:p>
    <w:p w:rsidR="006556B8" w:rsidRDefault="00A65B26">
      <w:pPr>
        <w:spacing w:after="160" w:line="276" w:lineRule="auto"/>
        <w:jc w:val="both"/>
      </w:pPr>
      <w:r>
        <w:t>Responsibility: submit a validated transaction to the external Incentive API and translate its response into an Incentive domain object. This component is the service's only outbound network dependency and is therefore the primary source of latency and fai</w:t>
      </w:r>
      <w:r>
        <w:t>lure-propagation risk (see R-01).</w:t>
      </w:r>
    </w:p>
    <w:p w:rsidR="006556B8" w:rsidRDefault="00EC00BA">
      <w:pPr>
        <w:pStyle w:val="Heading3"/>
        <w:spacing w:before="220" w:after="100"/>
      </w:pPr>
      <w:r>
        <w:rPr>
          <w:b/>
          <w:bCs/>
          <w:color w:val="3B4A66"/>
          <w:sz w:val="21"/>
          <w:szCs w:val="21"/>
        </w:rPr>
        <w:t>3.3.4 Persistence</w:t>
      </w:r>
      <w:r w:rsidR="00A65B26">
        <w:rPr>
          <w:b/>
          <w:bCs/>
          <w:color w:val="3B4A66"/>
          <w:sz w:val="21"/>
          <w:szCs w:val="21"/>
        </w:rPr>
        <w:t xml:space="preserve"> Layer (H2 + Spring Data JPA)</w:t>
      </w:r>
    </w:p>
    <w:p w:rsidR="006556B8" w:rsidRDefault="00A65B26">
      <w:pPr>
        <w:spacing w:after="160" w:line="276" w:lineRule="auto"/>
        <w:jc w:val="both"/>
      </w:pPr>
      <w:r>
        <w:t xml:space="preserve">Responsibility: durable (for the lifetime of the process) storage of User accounts and </w:t>
      </w:r>
      <w:proofErr w:type="spellStart"/>
      <w:r>
        <w:t>TransactionRecord</w:t>
      </w:r>
      <w:proofErr w:type="spellEnd"/>
      <w:r>
        <w:t xml:space="preserve"> history, with Spring Data JPA repositories providing lookup and save </w:t>
      </w:r>
      <w:r>
        <w:t>operations. SQL was chosen over a NoSQL alternative specifically because financial data benefits from the stronger consistency and integrity guarantees a relational engine provides; JPA abstracts the concrete database so H2 can later be replaced with a pro</w:t>
      </w:r>
      <w:r>
        <w:t>duction-grade engine without touching business logic.</w:t>
      </w:r>
    </w:p>
    <w:p w:rsidR="006556B8" w:rsidRDefault="00EC00BA">
      <w:pPr>
        <w:pStyle w:val="Heading3"/>
        <w:spacing w:before="220" w:after="100"/>
      </w:pPr>
      <w:r>
        <w:rPr>
          <w:b/>
          <w:bCs/>
          <w:color w:val="3B4A66"/>
          <w:sz w:val="21"/>
          <w:szCs w:val="21"/>
        </w:rPr>
        <w:lastRenderedPageBreak/>
        <w:t>3.3.5 Balance</w:t>
      </w:r>
      <w:r w:rsidR="00A65B26">
        <w:rPr>
          <w:b/>
          <w:bCs/>
          <w:color w:val="3B4A66"/>
          <w:sz w:val="21"/>
          <w:szCs w:val="21"/>
        </w:rPr>
        <w:t xml:space="preserve"> Controller</w:t>
      </w:r>
    </w:p>
    <w:p w:rsidR="006556B8" w:rsidRDefault="00A65B26">
      <w:pPr>
        <w:spacing w:after="160" w:line="276" w:lineRule="auto"/>
        <w:jc w:val="both"/>
      </w:pPr>
      <w:r>
        <w:t>Responsibility: expose GET /</w:t>
      </w:r>
      <w:proofErr w:type="spellStart"/>
      <w:proofErr w:type="gramStart"/>
      <w:r>
        <w:t>balance?userId</w:t>
      </w:r>
      <w:proofErr w:type="spellEnd"/>
      <w:proofErr w:type="gramEnd"/>
      <w:r>
        <w:t>=... over HTTP, look up the corresponding User, and return a Balance DTO serialized to JSON. Runs on port 33400, alongside — not inste</w:t>
      </w:r>
      <w:r>
        <w:t>ad of — the Kafka listener, inside the same Spring Boot application context.</w:t>
      </w:r>
    </w:p>
    <w:p w:rsidR="006556B8" w:rsidRDefault="00EC00BA">
      <w:pPr>
        <w:pStyle w:val="Heading2"/>
        <w:spacing w:before="300" w:after="140"/>
      </w:pPr>
      <w:r>
        <w:rPr>
          <w:b/>
          <w:bCs/>
          <w:color w:val="1F2A44"/>
          <w:sz w:val="24"/>
          <w:szCs w:val="24"/>
        </w:rPr>
        <w:t>3.4 Data</w:t>
      </w:r>
      <w:r w:rsidR="00A65B26">
        <w:rPr>
          <w:b/>
          <w:bCs/>
          <w:color w:val="1F2A44"/>
          <w:sz w:val="24"/>
          <w:szCs w:val="24"/>
        </w:rPr>
        <w:t xml:space="preserve"> Model</w:t>
      </w:r>
    </w:p>
    <w:p w:rsidR="006556B8" w:rsidRDefault="00A65B26">
      <w:pPr>
        <w:spacing w:before="160" w:after="40"/>
        <w:jc w:val="center"/>
      </w:pPr>
      <w:r>
        <w:rPr>
          <w:noProof/>
        </w:rPr>
        <w:drawing>
          <wp:inline distT="0" distB="0" distL="0" distR="0">
            <wp:extent cx="53340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86000"/>
                    </a:xfrm>
                    <a:prstGeom prst="rect">
                      <a:avLst/>
                    </a:prstGeom>
                  </pic:spPr>
                </pic:pic>
              </a:graphicData>
            </a:graphic>
          </wp:inline>
        </w:drawing>
      </w:r>
    </w:p>
    <w:p w:rsidR="006556B8" w:rsidRDefault="00A65B26">
      <w:pPr>
        <w:spacing w:before="100" w:after="240"/>
        <w:jc w:val="center"/>
      </w:pPr>
      <w:r>
        <w:rPr>
          <w:i/>
          <w:iCs/>
          <w:color w:val="5B6577"/>
          <w:sz w:val="19"/>
          <w:szCs w:val="19"/>
        </w:rPr>
        <w:t>Figure 2 — Entity-relationship model. A User is referenced twice per transaction: once as sender, once as recipient.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2000"/>
        <w:gridCol w:w="3250"/>
      </w:tblGrid>
      <w:tr w:rsidR="006556B8">
        <w:tblPrEx>
          <w:tblCellMar>
            <w:top w:w="0" w:type="dxa"/>
            <w:bottom w:w="0" w:type="dxa"/>
          </w:tblCellMar>
        </w:tblPrEx>
        <w:trPr>
          <w:tblHeader/>
        </w:trPr>
        <w:tc>
          <w:tcPr>
            <w:tcW w:w="25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Entity</w:t>
            </w:r>
          </w:p>
        </w:tc>
        <w:tc>
          <w:tcPr>
            <w:tcW w:w="16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Field</w:t>
            </w:r>
          </w:p>
        </w:tc>
        <w:tc>
          <w:tcPr>
            <w:tcW w:w="20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Type</w:t>
            </w:r>
          </w:p>
        </w:tc>
        <w:tc>
          <w:tcPr>
            <w:tcW w:w="32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Notes</w:t>
            </w:r>
          </w:p>
        </w:tc>
      </w:tr>
      <w:tr w:rsidR="006556B8">
        <w:tblPrEx>
          <w:tblCellMar>
            <w:top w:w="0" w:type="dxa"/>
            <w:bottom w:w="0" w:type="dxa"/>
          </w:tblCellMar>
        </w:tblPrEx>
        <w:tc>
          <w:tcPr>
            <w:tcW w:w="25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User</w:t>
            </w:r>
          </w:p>
        </w:tc>
        <w:tc>
          <w:tcPr>
            <w:tcW w:w="1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id</w:t>
            </w:r>
          </w:p>
        </w:tc>
        <w:tc>
          <w:tcPr>
            <w:tcW w:w="20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String (PK)</w:t>
            </w:r>
          </w:p>
        </w:tc>
        <w:tc>
          <w:tcPr>
            <w:tcW w:w="32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Unique user identifier.</w:t>
            </w:r>
          </w:p>
        </w:tc>
      </w:tr>
      <w:tr w:rsidR="006556B8">
        <w:tblPrEx>
          <w:tblCellMar>
            <w:top w:w="0" w:type="dxa"/>
            <w:bottom w:w="0" w:type="dxa"/>
          </w:tblCellMar>
        </w:tblPrEx>
        <w:tc>
          <w:tcPr>
            <w:tcW w:w="25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User</w:t>
            </w:r>
          </w:p>
        </w:tc>
        <w:tc>
          <w:tcPr>
            <w:tcW w:w="1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balance</w:t>
            </w:r>
          </w:p>
        </w:tc>
        <w:tc>
          <w:tcPr>
            <w:tcW w:w="20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double</w:t>
            </w:r>
          </w:p>
        </w:tc>
        <w:tc>
          <w:tcPr>
            <w:tcW w:w="32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Current account balance. See R-03 regarding monetary precision.</w:t>
            </w:r>
          </w:p>
        </w:tc>
      </w:tr>
      <w:tr w:rsidR="006556B8">
        <w:tblPrEx>
          <w:tblCellMar>
            <w:top w:w="0" w:type="dxa"/>
            <w:bottom w:w="0" w:type="dxa"/>
          </w:tblCellMar>
        </w:tblPrEx>
        <w:tc>
          <w:tcPr>
            <w:tcW w:w="25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proofErr w:type="spellStart"/>
            <w:r>
              <w:rPr>
                <w:sz w:val="18"/>
                <w:szCs w:val="18"/>
              </w:rPr>
              <w:t>TransactionRecord</w:t>
            </w:r>
            <w:proofErr w:type="spellEnd"/>
          </w:p>
        </w:tc>
        <w:tc>
          <w:tcPr>
            <w:tcW w:w="1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id</w:t>
            </w:r>
          </w:p>
        </w:tc>
        <w:tc>
          <w:tcPr>
            <w:tcW w:w="20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Long (PK)</w:t>
            </w:r>
          </w:p>
        </w:tc>
        <w:tc>
          <w:tcPr>
            <w:tcW w:w="32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Auto-generated surrogate key.</w:t>
            </w:r>
          </w:p>
        </w:tc>
      </w:tr>
      <w:tr w:rsidR="006556B8">
        <w:tblPrEx>
          <w:tblCellMar>
            <w:top w:w="0" w:type="dxa"/>
            <w:bottom w:w="0" w:type="dxa"/>
          </w:tblCellMar>
        </w:tblPrEx>
        <w:tc>
          <w:tcPr>
            <w:tcW w:w="25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proofErr w:type="spellStart"/>
            <w:r>
              <w:rPr>
                <w:sz w:val="18"/>
                <w:szCs w:val="18"/>
              </w:rPr>
              <w:t>TransactionRecord</w:t>
            </w:r>
            <w:proofErr w:type="spellEnd"/>
          </w:p>
        </w:tc>
        <w:tc>
          <w:tcPr>
            <w:tcW w:w="1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sender</w:t>
            </w:r>
          </w:p>
        </w:tc>
        <w:tc>
          <w:tcPr>
            <w:tcW w:w="20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User (FK, Many-to-One)</w:t>
            </w:r>
          </w:p>
        </w:tc>
        <w:tc>
          <w:tcPr>
            <w:tcW w:w="32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References the debited account.</w:t>
            </w:r>
          </w:p>
        </w:tc>
      </w:tr>
      <w:tr w:rsidR="006556B8">
        <w:tblPrEx>
          <w:tblCellMar>
            <w:top w:w="0" w:type="dxa"/>
            <w:bottom w:w="0" w:type="dxa"/>
          </w:tblCellMar>
        </w:tblPrEx>
        <w:tc>
          <w:tcPr>
            <w:tcW w:w="25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proofErr w:type="spellStart"/>
            <w:r>
              <w:rPr>
                <w:sz w:val="18"/>
                <w:szCs w:val="18"/>
              </w:rPr>
              <w:t>TransactionRecord</w:t>
            </w:r>
            <w:proofErr w:type="spellEnd"/>
          </w:p>
        </w:tc>
        <w:tc>
          <w:tcPr>
            <w:tcW w:w="1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recipient</w:t>
            </w:r>
          </w:p>
        </w:tc>
        <w:tc>
          <w:tcPr>
            <w:tcW w:w="20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User (FK, Many-to-One)</w:t>
            </w:r>
          </w:p>
        </w:tc>
        <w:tc>
          <w:tcPr>
            <w:tcW w:w="32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References the credited account.</w:t>
            </w:r>
          </w:p>
        </w:tc>
      </w:tr>
      <w:tr w:rsidR="006556B8">
        <w:tblPrEx>
          <w:tblCellMar>
            <w:top w:w="0" w:type="dxa"/>
            <w:bottom w:w="0" w:type="dxa"/>
          </w:tblCellMar>
        </w:tblPrEx>
        <w:tc>
          <w:tcPr>
            <w:tcW w:w="25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proofErr w:type="spellStart"/>
            <w:r>
              <w:rPr>
                <w:sz w:val="18"/>
                <w:szCs w:val="18"/>
              </w:rPr>
              <w:t>TransactionRecord</w:t>
            </w:r>
            <w:proofErr w:type="spellEnd"/>
          </w:p>
        </w:tc>
        <w:tc>
          <w:tcPr>
            <w:tcW w:w="1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amount</w:t>
            </w:r>
          </w:p>
        </w:tc>
        <w:tc>
          <w:tcPr>
            <w:tcW w:w="20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double</w:t>
            </w:r>
          </w:p>
        </w:tc>
        <w:tc>
          <w:tcPr>
            <w:tcW w:w="32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Original transaction amount (pre-incentive).</w:t>
            </w:r>
          </w:p>
        </w:tc>
      </w:tr>
      <w:tr w:rsidR="006556B8">
        <w:tblPrEx>
          <w:tblCellMar>
            <w:top w:w="0" w:type="dxa"/>
            <w:bottom w:w="0" w:type="dxa"/>
          </w:tblCellMar>
        </w:tblPrEx>
        <w:tc>
          <w:tcPr>
            <w:tcW w:w="25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proofErr w:type="spellStart"/>
            <w:r>
              <w:rPr>
                <w:sz w:val="18"/>
                <w:szCs w:val="18"/>
              </w:rPr>
              <w:t>TransactionRecord</w:t>
            </w:r>
            <w:proofErr w:type="spellEnd"/>
          </w:p>
        </w:tc>
        <w:tc>
          <w:tcPr>
            <w:tcW w:w="1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incentive</w:t>
            </w:r>
          </w:p>
        </w:tc>
        <w:tc>
          <w:tcPr>
            <w:tcW w:w="20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double</w:t>
            </w:r>
          </w:p>
        </w:tc>
        <w:tc>
          <w:tcPr>
            <w:tcW w:w="32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Amount returned by the Incentive API for this transaction.</w:t>
            </w:r>
          </w:p>
        </w:tc>
      </w:tr>
      <w:tr w:rsidR="006556B8">
        <w:tblPrEx>
          <w:tblCellMar>
            <w:top w:w="0" w:type="dxa"/>
            <w:bottom w:w="0" w:type="dxa"/>
          </w:tblCellMar>
        </w:tblPrEx>
        <w:tc>
          <w:tcPr>
            <w:tcW w:w="25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proofErr w:type="spellStart"/>
            <w:r>
              <w:rPr>
                <w:sz w:val="18"/>
                <w:szCs w:val="18"/>
              </w:rPr>
              <w:t>TransactionRecord</w:t>
            </w:r>
            <w:proofErr w:type="spellEnd"/>
          </w:p>
        </w:tc>
        <w:tc>
          <w:tcPr>
            <w:tcW w:w="1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timestamp</w:t>
            </w:r>
          </w:p>
        </w:tc>
        <w:tc>
          <w:tcPr>
            <w:tcW w:w="20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Instant</w:t>
            </w:r>
          </w:p>
        </w:tc>
        <w:tc>
          <w:tcPr>
            <w:tcW w:w="32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Recommended addition for audit trail; not in original scaffold fields.</w:t>
            </w:r>
          </w:p>
        </w:tc>
      </w:tr>
    </w:tbl>
    <w:p w:rsidR="006556B8" w:rsidRDefault="00A65B26">
      <w:pPr>
        <w:spacing w:after="160" w:line="276" w:lineRule="auto"/>
        <w:jc w:val="both"/>
      </w:pPr>
      <w:r>
        <w:t xml:space="preserve">Note: the provided Transaction class (the Kafka message DTO) is distinct from the </w:t>
      </w:r>
      <w:proofErr w:type="spellStart"/>
      <w:r>
        <w:t>TransactionRecord</w:t>
      </w:r>
      <w:proofErr w:type="spellEnd"/>
      <w:r>
        <w:t xml:space="preserve"> JPA entity and must not be modified — </w:t>
      </w:r>
      <w:proofErr w:type="spellStart"/>
      <w:r>
        <w:t>TransactionRecord</w:t>
      </w:r>
      <w:proofErr w:type="spellEnd"/>
      <w:r>
        <w:t xml:space="preserve"> is a separate persistence-layer construct introduced specifically for Task 3, per the scaffold's con</w:t>
      </w:r>
      <w:r>
        <w:t>straints.</w:t>
      </w:r>
    </w:p>
    <w:p w:rsidR="006556B8" w:rsidRDefault="00EC00BA">
      <w:pPr>
        <w:pStyle w:val="Heading2"/>
        <w:spacing w:before="300" w:after="140"/>
      </w:pPr>
      <w:r>
        <w:rPr>
          <w:b/>
          <w:bCs/>
          <w:color w:val="1F2A44"/>
          <w:sz w:val="24"/>
          <w:szCs w:val="24"/>
        </w:rPr>
        <w:t>3.5 API</w:t>
      </w:r>
      <w:r w:rsidR="00A65B26">
        <w:rPr>
          <w:b/>
          <w:bCs/>
          <w:color w:val="1F2A44"/>
          <w:sz w:val="24"/>
          <w:szCs w:val="24"/>
        </w:rPr>
        <w:t xml:space="preserve"> Specification</w:t>
      </w:r>
    </w:p>
    <w:p w:rsidR="006556B8" w:rsidRDefault="00EC00BA">
      <w:pPr>
        <w:pStyle w:val="Heading3"/>
        <w:spacing w:before="220" w:after="100"/>
      </w:pPr>
      <w:r>
        <w:rPr>
          <w:b/>
          <w:bCs/>
          <w:color w:val="3B4A66"/>
          <w:sz w:val="21"/>
          <w:szCs w:val="21"/>
        </w:rPr>
        <w:t>3.5.1 GET</w:t>
      </w:r>
      <w:r w:rsidR="00A65B26">
        <w:rPr>
          <w:b/>
          <w:bCs/>
          <w:color w:val="3B4A66"/>
          <w:sz w:val="21"/>
          <w:szCs w:val="21"/>
        </w:rPr>
        <w:t xml:space="preserve"> /balance — Midas Core (owned by this service)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6556B8">
        <w:tblPrEx>
          <w:tblCellMar>
            <w:top w:w="0" w:type="dxa"/>
            <w:bottom w:w="0" w:type="dxa"/>
          </w:tblCellMar>
        </w:tblPrEx>
        <w:trPr>
          <w:tblHeader/>
        </w:trPr>
        <w:tc>
          <w:tcPr>
            <w:tcW w:w="26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Field</w:t>
            </w:r>
          </w:p>
        </w:tc>
        <w:tc>
          <w:tcPr>
            <w:tcW w:w="67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Value</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Method / Path</w:t>
            </w:r>
          </w:p>
        </w:tc>
        <w:tc>
          <w:tcPr>
            <w:tcW w:w="67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GET /balance</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lastRenderedPageBreak/>
              <w:t>Host</w:t>
            </w:r>
          </w:p>
        </w:tc>
        <w:tc>
          <w:tcPr>
            <w:tcW w:w="67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localhost:33400</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Query Parameters</w:t>
            </w:r>
          </w:p>
        </w:tc>
        <w:tc>
          <w:tcPr>
            <w:tcW w:w="67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proofErr w:type="spellStart"/>
            <w:r>
              <w:rPr>
                <w:sz w:val="18"/>
                <w:szCs w:val="18"/>
              </w:rPr>
              <w:t>userId</w:t>
            </w:r>
            <w:proofErr w:type="spellEnd"/>
            <w:r>
              <w:rPr>
                <w:sz w:val="18"/>
                <w:szCs w:val="18"/>
              </w:rPr>
              <w:t xml:space="preserve"> (string, required)</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Success Response</w:t>
            </w:r>
          </w:p>
        </w:tc>
        <w:tc>
          <w:tcPr>
            <w:tcW w:w="67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 xml:space="preserve">200 OK — JSON body matching </w:t>
            </w:r>
            <w:proofErr w:type="spellStart"/>
            <w:r>
              <w:rPr>
                <w:sz w:val="18"/>
                <w:szCs w:val="18"/>
              </w:rPr>
              <w:t>Balance.toString</w:t>
            </w:r>
            <w:proofErr w:type="spellEnd"/>
            <w:r>
              <w:rPr>
                <w:sz w:val="18"/>
                <w:szCs w:val="18"/>
              </w:rPr>
              <w:t>() contract, e.g. { "</w:t>
            </w:r>
            <w:proofErr w:type="spellStart"/>
            <w:r>
              <w:rPr>
                <w:sz w:val="18"/>
                <w:szCs w:val="18"/>
              </w:rPr>
              <w:t>userId</w:t>
            </w:r>
            <w:proofErr w:type="spellEnd"/>
            <w:r>
              <w:rPr>
                <w:sz w:val="18"/>
                <w:szCs w:val="18"/>
              </w:rPr>
              <w:t>": "</w:t>
            </w:r>
            <w:proofErr w:type="spellStart"/>
            <w:r>
              <w:rPr>
                <w:sz w:val="18"/>
                <w:szCs w:val="18"/>
              </w:rPr>
              <w:t>waldorf</w:t>
            </w:r>
            <w:proofErr w:type="spellEnd"/>
            <w:r>
              <w:rPr>
                <w:sz w:val="18"/>
                <w:szCs w:val="18"/>
              </w:rPr>
              <w:t>", "amount": 128.40 }</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Unknown User Response</w:t>
            </w:r>
          </w:p>
        </w:tc>
        <w:tc>
          <w:tcPr>
            <w:tcW w:w="67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200 OK — Balance with amount = 0 (not a 404; this is a deliberate product decision per FR-13)</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Authentication</w:t>
            </w:r>
          </w:p>
        </w:tc>
        <w:tc>
          <w:tcPr>
            <w:tcW w:w="67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None specified — flagged as NFR-06 / Risk R-04</w:t>
            </w:r>
          </w:p>
        </w:tc>
      </w:tr>
    </w:tbl>
    <w:p w:rsidR="006556B8" w:rsidRDefault="00EC00BA">
      <w:pPr>
        <w:pStyle w:val="Heading3"/>
        <w:spacing w:before="220" w:after="100"/>
      </w:pPr>
      <w:r>
        <w:rPr>
          <w:b/>
          <w:bCs/>
          <w:color w:val="3B4A66"/>
          <w:sz w:val="21"/>
          <w:szCs w:val="21"/>
        </w:rPr>
        <w:t>3.5.2 POST</w:t>
      </w:r>
      <w:r w:rsidR="00A65B26">
        <w:rPr>
          <w:b/>
          <w:bCs/>
          <w:color w:val="3B4A66"/>
          <w:sz w:val="21"/>
          <w:szCs w:val="21"/>
        </w:rPr>
        <w:t xml:space="preserve"> /incentive — Incentive API (external, contract-only)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6556B8">
        <w:tblPrEx>
          <w:tblCellMar>
            <w:top w:w="0" w:type="dxa"/>
            <w:bottom w:w="0" w:type="dxa"/>
          </w:tblCellMar>
        </w:tblPrEx>
        <w:trPr>
          <w:tblHeader/>
        </w:trPr>
        <w:tc>
          <w:tcPr>
            <w:tcW w:w="26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Field</w:t>
            </w:r>
          </w:p>
        </w:tc>
        <w:tc>
          <w:tcPr>
            <w:tcW w:w="67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Value</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Method / Path</w:t>
            </w:r>
          </w:p>
        </w:tc>
        <w:tc>
          <w:tcPr>
            <w:tcW w:w="67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POST /incentive</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Host</w:t>
            </w:r>
          </w:p>
        </w:tc>
        <w:tc>
          <w:tcPr>
            <w:tcW w:w="67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localhost:8080 (local instance run from the provided JAR)</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Request Body</w:t>
            </w:r>
          </w:p>
        </w:tc>
        <w:tc>
          <w:tcPr>
            <w:tcW w:w="67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JSON-serialized Transaction object (</w:t>
            </w:r>
            <w:proofErr w:type="spellStart"/>
            <w:r>
              <w:rPr>
                <w:sz w:val="18"/>
                <w:szCs w:val="18"/>
              </w:rPr>
              <w:t>senderId</w:t>
            </w:r>
            <w:proofErr w:type="spellEnd"/>
            <w:r>
              <w:rPr>
                <w:sz w:val="18"/>
                <w:szCs w:val="18"/>
              </w:rPr>
              <w:t xml:space="preserve">, </w:t>
            </w:r>
            <w:proofErr w:type="spellStart"/>
            <w:r>
              <w:rPr>
                <w:sz w:val="18"/>
                <w:szCs w:val="18"/>
              </w:rPr>
              <w:t>recipientId</w:t>
            </w:r>
            <w:proofErr w:type="spellEnd"/>
            <w:r>
              <w:rPr>
                <w:sz w:val="18"/>
                <w:szCs w:val="18"/>
              </w:rPr>
              <w:t>, amount)</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Success Response</w:t>
            </w:r>
          </w:p>
        </w:tc>
        <w:tc>
          <w:tcPr>
            <w:tcW w:w="67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200 OK — { "amount": &lt;double&gt; }, where amount ≥ 0</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Ownership</w:t>
            </w:r>
          </w:p>
        </w:tc>
        <w:tc>
          <w:tcPr>
            <w:tcW w:w="67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Independently maintained service — Midas Core depends only on this contract, never on its internal computation logic</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Failure Handling</w:t>
            </w:r>
          </w:p>
        </w:tc>
        <w:tc>
          <w:tcPr>
            <w:tcW w:w="67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Not currently specified — flagged as Risk R-01 (no timeout/circuit breaker defined)</w:t>
            </w:r>
          </w:p>
        </w:tc>
      </w:tr>
    </w:tbl>
    <w:p w:rsidR="006556B8" w:rsidRDefault="00EC00BA">
      <w:pPr>
        <w:pStyle w:val="Heading2"/>
        <w:spacing w:before="300" w:after="140"/>
      </w:pPr>
      <w:r>
        <w:rPr>
          <w:b/>
          <w:bCs/>
          <w:color w:val="1F2A44"/>
          <w:sz w:val="24"/>
          <w:szCs w:val="24"/>
        </w:rPr>
        <w:t>3.6 Configuration</w:t>
      </w:r>
      <w:r w:rsidR="00A65B26">
        <w:rPr>
          <w:b/>
          <w:bCs/>
          <w:color w:val="1F2A44"/>
          <w:sz w:val="24"/>
          <w:szCs w:val="24"/>
        </w:rPr>
        <w:t xml:space="preserve"> Reference (application.yml)</w:t>
      </w:r>
    </w:p>
    <w:p w:rsidR="006556B8" w:rsidRDefault="00A65B26">
      <w:pPr>
        <w:pBdr>
          <w:top w:val="single" w:sz="4" w:space="0" w:color="B7BFCC"/>
          <w:left w:val="single" w:sz="4" w:space="0" w:color="B7BFCC"/>
          <w:bottom w:val="single" w:sz="4" w:space="0" w:color="B7BFCC"/>
          <w:right w:val="single" w:sz="4" w:space="0" w:color="B7BFCC"/>
        </w:pBdr>
        <w:shd w:val="clear" w:color="auto" w:fill="F2F4F8"/>
        <w:spacing w:before="120" w:after="240"/>
      </w:pPr>
      <w:r>
        <w:rPr>
          <w:rFonts w:ascii="Consolas" w:eastAsia="Consolas" w:hAnsi="Consolas" w:cs="Consolas"/>
          <w:sz w:val="18"/>
          <w:szCs w:val="18"/>
        </w:rPr>
        <w:t xml:space="preserve">general:   </w:t>
      </w:r>
      <w:proofErr w:type="spellStart"/>
      <w:r>
        <w:rPr>
          <w:rFonts w:ascii="Consolas" w:eastAsia="Consolas" w:hAnsi="Consolas" w:cs="Consolas"/>
          <w:sz w:val="18"/>
          <w:szCs w:val="18"/>
        </w:rPr>
        <w:t>kafka</w:t>
      </w:r>
      <w:proofErr w:type="spellEnd"/>
      <w:r>
        <w:rPr>
          <w:rFonts w:ascii="Consolas" w:eastAsia="Consolas" w:hAnsi="Consolas" w:cs="Consolas"/>
          <w:sz w:val="18"/>
          <w:szCs w:val="18"/>
        </w:rPr>
        <w:t>-topic: trader-</w:t>
      </w:r>
      <w:proofErr w:type="gramStart"/>
      <w:r>
        <w:rPr>
          <w:rFonts w:ascii="Consolas" w:eastAsia="Consolas" w:hAnsi="Consolas" w:cs="Consolas"/>
          <w:sz w:val="18"/>
          <w:szCs w:val="18"/>
        </w:rPr>
        <w:t>updates  server</w:t>
      </w:r>
      <w:proofErr w:type="gramEnd"/>
      <w:r>
        <w:rPr>
          <w:rFonts w:ascii="Consolas" w:eastAsia="Consolas" w:hAnsi="Consolas" w:cs="Consolas"/>
          <w:sz w:val="18"/>
          <w:szCs w:val="18"/>
        </w:rPr>
        <w:t xml:space="preserve">:   port: 33400  spring:   </w:t>
      </w:r>
      <w:proofErr w:type="spellStart"/>
      <w:r>
        <w:rPr>
          <w:rFonts w:ascii="Consolas" w:eastAsia="Consolas" w:hAnsi="Consolas" w:cs="Consolas"/>
          <w:sz w:val="18"/>
          <w:szCs w:val="18"/>
        </w:rPr>
        <w:t>datasource</w:t>
      </w:r>
      <w:proofErr w:type="spellEnd"/>
      <w:r>
        <w:rPr>
          <w:rFonts w:ascii="Consolas" w:eastAsia="Consolas" w:hAnsi="Consolas" w:cs="Consolas"/>
          <w:sz w:val="18"/>
          <w:szCs w:val="18"/>
        </w:rPr>
        <w:t xml:space="preserve">:     url: jdbc:h2:mem:testdb     driver-class-name: org.h2.Driver   </w:t>
      </w:r>
      <w:proofErr w:type="spellStart"/>
      <w:r>
        <w:rPr>
          <w:rFonts w:ascii="Consolas" w:eastAsia="Consolas" w:hAnsi="Consolas" w:cs="Consolas"/>
          <w:sz w:val="18"/>
          <w:szCs w:val="18"/>
        </w:rPr>
        <w:t>jpa</w:t>
      </w:r>
      <w:proofErr w:type="spellEnd"/>
      <w:r>
        <w:rPr>
          <w:rFonts w:ascii="Consolas" w:eastAsia="Consolas" w:hAnsi="Consolas" w:cs="Consolas"/>
          <w:sz w:val="18"/>
          <w:szCs w:val="18"/>
        </w:rPr>
        <w:t>:     database-platform: org.hibernate.dialect.H2Diale</w:t>
      </w:r>
      <w:r>
        <w:rPr>
          <w:rFonts w:ascii="Consolas" w:eastAsia="Consolas" w:hAnsi="Consolas" w:cs="Consolas"/>
          <w:sz w:val="18"/>
          <w:szCs w:val="18"/>
        </w:rPr>
        <w:t xml:space="preserve">ct     hibernate:       </w:t>
      </w:r>
      <w:proofErr w:type="spellStart"/>
      <w:r>
        <w:rPr>
          <w:rFonts w:ascii="Consolas" w:eastAsia="Consolas" w:hAnsi="Consolas" w:cs="Consolas"/>
          <w:sz w:val="18"/>
          <w:szCs w:val="18"/>
        </w:rPr>
        <w:t>ddl</w:t>
      </w:r>
      <w:proofErr w:type="spellEnd"/>
      <w:r>
        <w:rPr>
          <w:rFonts w:ascii="Consolas" w:eastAsia="Consolas" w:hAnsi="Consolas" w:cs="Consolas"/>
          <w:sz w:val="18"/>
          <w:szCs w:val="18"/>
        </w:rPr>
        <w:t>-auto: create-drop</w:t>
      </w:r>
    </w:p>
    <w:p w:rsidR="006556B8" w:rsidRDefault="00A65B26">
      <w:pPr>
        <w:pStyle w:val="Heading2"/>
        <w:spacing w:before="300" w:after="140"/>
      </w:pPr>
      <w:proofErr w:type="gramStart"/>
      <w:r>
        <w:rPr>
          <w:b/>
          <w:bCs/>
          <w:color w:val="1F2A44"/>
          <w:sz w:val="24"/>
          <w:szCs w:val="24"/>
        </w:rPr>
        <w:t>3.7  Testing</w:t>
      </w:r>
      <w:proofErr w:type="gramEnd"/>
      <w:r>
        <w:rPr>
          <w:b/>
          <w:bCs/>
          <w:color w:val="1F2A44"/>
          <w:sz w:val="24"/>
          <w:szCs w:val="24"/>
        </w:rPr>
        <w:t xml:space="preserve"> Strategy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100"/>
        <w:gridCol w:w="3450"/>
      </w:tblGrid>
      <w:tr w:rsidR="006556B8">
        <w:tblPrEx>
          <w:tblCellMar>
            <w:top w:w="0" w:type="dxa"/>
            <w:bottom w:w="0" w:type="dxa"/>
          </w:tblCellMar>
        </w:tblPrEx>
        <w:trPr>
          <w:tblHeader/>
        </w:trPr>
        <w:tc>
          <w:tcPr>
            <w:tcW w:w="18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Layer</w:t>
            </w:r>
          </w:p>
        </w:tc>
        <w:tc>
          <w:tcPr>
            <w:tcW w:w="41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Test Approach</w:t>
            </w:r>
          </w:p>
        </w:tc>
        <w:tc>
          <w:tcPr>
            <w:tcW w:w="34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Verification Artifact</w:t>
            </w:r>
          </w:p>
        </w:tc>
      </w:tr>
      <w:tr w:rsidR="006556B8">
        <w:tblPrEx>
          <w:tblCellMar>
            <w:top w:w="0" w:type="dxa"/>
            <w:bottom w:w="0" w:type="dxa"/>
          </w:tblCellMar>
        </w:tblPrEx>
        <w:tc>
          <w:tcPr>
            <w:tcW w:w="18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Kafka ingestion</w:t>
            </w:r>
          </w:p>
        </w:tc>
        <w:tc>
          <w:tcPr>
            <w:tcW w:w="41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Embedded Kafka broker (</w:t>
            </w:r>
            <w:proofErr w:type="spellStart"/>
            <w:r>
              <w:rPr>
                <w:sz w:val="18"/>
                <w:szCs w:val="18"/>
              </w:rPr>
              <w:t>Testcontainers</w:t>
            </w:r>
            <w:proofErr w:type="spellEnd"/>
            <w:r>
              <w:rPr>
                <w:sz w:val="18"/>
                <w:szCs w:val="18"/>
              </w:rPr>
              <w:t>/spring-</w:t>
            </w:r>
            <w:proofErr w:type="spellStart"/>
            <w:r>
              <w:rPr>
                <w:sz w:val="18"/>
                <w:szCs w:val="18"/>
              </w:rPr>
              <w:t>kafka</w:t>
            </w:r>
            <w:proofErr w:type="spellEnd"/>
            <w:r>
              <w:rPr>
                <w:sz w:val="18"/>
                <w:szCs w:val="18"/>
              </w:rPr>
              <w:t>-test) publishing known messages.</w:t>
            </w:r>
          </w:p>
        </w:tc>
        <w:tc>
          <w:tcPr>
            <w:tcW w:w="34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proofErr w:type="spellStart"/>
            <w:r>
              <w:rPr>
                <w:sz w:val="18"/>
                <w:szCs w:val="18"/>
              </w:rPr>
              <w:t>TaskTwoTests</w:t>
            </w:r>
            <w:proofErr w:type="spellEnd"/>
            <w:r>
              <w:rPr>
                <w:sz w:val="18"/>
                <w:szCs w:val="18"/>
              </w:rPr>
              <w:t xml:space="preserve"> — inspect first 4 </w:t>
            </w:r>
            <w:proofErr w:type="spellStart"/>
            <w:r>
              <w:rPr>
                <w:sz w:val="18"/>
                <w:szCs w:val="18"/>
              </w:rPr>
              <w:t>deserialized</w:t>
            </w:r>
            <w:proofErr w:type="spellEnd"/>
            <w:r>
              <w:rPr>
                <w:sz w:val="18"/>
                <w:szCs w:val="18"/>
              </w:rPr>
              <w:t xml:space="preserve"> transactions and confirm exact amounts.</w:t>
            </w:r>
          </w:p>
        </w:tc>
      </w:tr>
      <w:tr w:rsidR="006556B8">
        <w:tblPrEx>
          <w:tblCellMar>
            <w:top w:w="0" w:type="dxa"/>
            <w:bottom w:w="0" w:type="dxa"/>
          </w:tblCellMar>
        </w:tblPrEx>
        <w:tc>
          <w:tcPr>
            <w:tcW w:w="18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Validation &amp; persistence</w:t>
            </w:r>
          </w:p>
        </w:tc>
        <w:tc>
          <w:tcPr>
            <w:tcW w:w="41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In-memory H2, seeded users, assertions on post-transaction balances.</w:t>
            </w:r>
          </w:p>
        </w:tc>
        <w:tc>
          <w:tcPr>
            <w:tcW w:w="34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proofErr w:type="spellStart"/>
            <w:r>
              <w:rPr>
                <w:sz w:val="18"/>
                <w:szCs w:val="18"/>
              </w:rPr>
              <w:t>TaskThreeTests</w:t>
            </w:r>
            <w:proofErr w:type="spellEnd"/>
            <w:r>
              <w:rPr>
                <w:sz w:val="18"/>
                <w:szCs w:val="18"/>
              </w:rPr>
              <w:t xml:space="preserve"> — inspect final balance of a named user.</w:t>
            </w:r>
          </w:p>
        </w:tc>
      </w:tr>
      <w:tr w:rsidR="006556B8">
        <w:tblPrEx>
          <w:tblCellMar>
            <w:top w:w="0" w:type="dxa"/>
            <w:bottom w:w="0" w:type="dxa"/>
          </w:tblCellMar>
        </w:tblPrEx>
        <w:tc>
          <w:tcPr>
            <w:tcW w:w="18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Incentive integration</w:t>
            </w:r>
          </w:p>
        </w:tc>
        <w:tc>
          <w:tcPr>
            <w:tcW w:w="41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 xml:space="preserve">Local Incentive API JAR running on localhost:8080; </w:t>
            </w:r>
            <w:proofErr w:type="spellStart"/>
            <w:r>
              <w:rPr>
                <w:sz w:val="18"/>
                <w:szCs w:val="18"/>
              </w:rPr>
              <w:t>RestTemplate</w:t>
            </w:r>
            <w:proofErr w:type="spellEnd"/>
            <w:r>
              <w:rPr>
                <w:sz w:val="18"/>
                <w:szCs w:val="18"/>
              </w:rPr>
              <w:t xml:space="preserve"> call against it.</w:t>
            </w:r>
          </w:p>
        </w:tc>
        <w:tc>
          <w:tcPr>
            <w:tcW w:w="34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proofErr w:type="spellStart"/>
            <w:r>
              <w:rPr>
                <w:sz w:val="18"/>
                <w:szCs w:val="18"/>
              </w:rPr>
              <w:t>TaskFourTests</w:t>
            </w:r>
            <w:proofErr w:type="spellEnd"/>
            <w:r>
              <w:rPr>
                <w:sz w:val="18"/>
                <w:szCs w:val="18"/>
              </w:rPr>
              <w:t xml:space="preserve"> — verify incentive applied only to recipient.</w:t>
            </w:r>
          </w:p>
        </w:tc>
      </w:tr>
      <w:tr w:rsidR="006556B8">
        <w:tblPrEx>
          <w:tblCellMar>
            <w:top w:w="0" w:type="dxa"/>
            <w:bottom w:w="0" w:type="dxa"/>
          </w:tblCellMar>
        </w:tblPrEx>
        <w:tc>
          <w:tcPr>
            <w:tcW w:w="18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REST exposure</w:t>
            </w:r>
          </w:p>
        </w:tc>
        <w:tc>
          <w:tcPr>
            <w:tcW w:w="41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Full application context with both listener and controller active.</w:t>
            </w:r>
          </w:p>
        </w:tc>
        <w:tc>
          <w:tcPr>
            <w:tcW w:w="34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proofErr w:type="spellStart"/>
            <w:r>
              <w:rPr>
                <w:sz w:val="18"/>
                <w:szCs w:val="18"/>
              </w:rPr>
              <w:t>TaskFiveTests</w:t>
            </w:r>
            <w:proofErr w:type="spellEnd"/>
            <w:r>
              <w:rPr>
                <w:sz w:val="18"/>
                <w:szCs w:val="18"/>
              </w:rPr>
              <w:t xml:space="preserve"> — HTTP call to GET /balance while listener is live.</w:t>
            </w:r>
          </w:p>
        </w:tc>
      </w:tr>
      <w:tr w:rsidR="006556B8">
        <w:tblPrEx>
          <w:tblCellMar>
            <w:top w:w="0" w:type="dxa"/>
            <w:bottom w:w="0" w:type="dxa"/>
          </w:tblCellMar>
        </w:tblPrEx>
        <w:tc>
          <w:tcPr>
            <w:tcW w:w="18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Regression</w:t>
            </w:r>
          </w:p>
        </w:tc>
        <w:tc>
          <w:tcPr>
            <w:tcW w:w="41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Full Maven test suite (</w:t>
            </w:r>
            <w:proofErr w:type="spellStart"/>
            <w:r>
              <w:rPr>
                <w:sz w:val="18"/>
                <w:szCs w:val="18"/>
              </w:rPr>
              <w:t>mvn</w:t>
            </w:r>
            <w:proofErr w:type="spellEnd"/>
            <w:r>
              <w:rPr>
                <w:sz w:val="18"/>
                <w:szCs w:val="18"/>
              </w:rPr>
              <w:t xml:space="preserve"> clean install) run before each task is considered complete.</w:t>
            </w:r>
          </w:p>
        </w:tc>
        <w:tc>
          <w:tcPr>
            <w:tcW w:w="34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BEGIN/END console output captured per task.</w:t>
            </w:r>
          </w:p>
        </w:tc>
      </w:tr>
    </w:tbl>
    <w:p w:rsidR="006556B8" w:rsidRDefault="00EC00BA">
      <w:pPr>
        <w:pStyle w:val="Heading2"/>
        <w:spacing w:before="300" w:after="140"/>
      </w:pPr>
      <w:r>
        <w:rPr>
          <w:b/>
          <w:bCs/>
          <w:color w:val="1F2A44"/>
          <w:sz w:val="24"/>
          <w:szCs w:val="24"/>
        </w:rPr>
        <w:t>3.8 Security</w:t>
      </w:r>
      <w:r w:rsidR="00A65B26">
        <w:rPr>
          <w:b/>
          <w:bCs/>
          <w:color w:val="1F2A44"/>
          <w:sz w:val="24"/>
          <w:szCs w:val="24"/>
        </w:rPr>
        <w:t xml:space="preserve"> Considerations</w:t>
      </w:r>
    </w:p>
    <w:p w:rsidR="006556B8" w:rsidRDefault="00A65B26">
      <w:pPr>
        <w:spacing w:after="160" w:line="276" w:lineRule="auto"/>
        <w:jc w:val="both"/>
      </w:pPr>
      <w:r>
        <w:t>The current scope has no authentication, authorization, or transport-layer encryption on either the REST balance endpoint or the Incentive API integration. This is a reasonable simplification for a bounded simulation environment, but it is called out expli</w:t>
      </w:r>
      <w:r>
        <w:t xml:space="preserve">citly — rather than silently assumed away — because any read of this document for </w:t>
      </w:r>
      <w:r>
        <w:lastRenderedPageBreak/>
        <w:t>production planning purposes needs to treat these as open items, not settled design decisions. Concrete recommendations are captured as risk items R-04 and R-10 below.</w:t>
      </w:r>
    </w:p>
    <w:p w:rsidR="006556B8" w:rsidRDefault="00EC00BA">
      <w:pPr>
        <w:pStyle w:val="Heading2"/>
        <w:spacing w:before="300" w:after="140"/>
      </w:pPr>
      <w:bookmarkStart w:id="0" w:name="_GoBack"/>
      <w:bookmarkEnd w:id="0"/>
      <w:r>
        <w:rPr>
          <w:b/>
          <w:bCs/>
          <w:color w:val="1F2A44"/>
          <w:sz w:val="24"/>
          <w:szCs w:val="24"/>
        </w:rPr>
        <w:t>3.9 Risk</w:t>
      </w:r>
      <w:r w:rsidR="00A65B26">
        <w:rPr>
          <w:b/>
          <w:bCs/>
          <w:color w:val="1F2A44"/>
          <w:sz w:val="24"/>
          <w:szCs w:val="24"/>
        </w:rPr>
        <w:t xml:space="preserve"> Register</w:t>
      </w:r>
    </w:p>
    <w:p w:rsidR="006556B8" w:rsidRDefault="00A65B26">
      <w:pPr>
        <w:spacing w:after="160" w:line="276" w:lineRule="auto"/>
        <w:jc w:val="both"/>
      </w:pPr>
      <w:r>
        <w:t>The following risks are assessed against the system as specified, not as a criticism of the simulation's scope — several are explicitly out of scope for the learning exercise (Section 2.11) but are documented here because a TRD that omits know</w:t>
      </w:r>
      <w:r>
        <w:t>n weaknesses is incomplete by definition.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50"/>
        <w:gridCol w:w="1300"/>
        <w:gridCol w:w="1300"/>
        <w:gridCol w:w="3500"/>
      </w:tblGrid>
      <w:tr w:rsidR="006556B8">
        <w:tblPrEx>
          <w:tblCellMar>
            <w:top w:w="0" w:type="dxa"/>
            <w:bottom w:w="0" w:type="dxa"/>
          </w:tblCellMar>
        </w:tblPrEx>
        <w:trPr>
          <w:tblHeader/>
        </w:trPr>
        <w:tc>
          <w:tcPr>
            <w:tcW w:w="8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ID</w:t>
            </w:r>
          </w:p>
        </w:tc>
        <w:tc>
          <w:tcPr>
            <w:tcW w:w="24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Risk</w:t>
            </w:r>
          </w:p>
        </w:tc>
        <w:tc>
          <w:tcPr>
            <w:tcW w:w="13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Impact</w:t>
            </w:r>
          </w:p>
        </w:tc>
        <w:tc>
          <w:tcPr>
            <w:tcW w:w="13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Likelihood</w:t>
            </w:r>
          </w:p>
        </w:tc>
        <w:tc>
          <w:tcPr>
            <w:tcW w:w="35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Mitigation</w:t>
            </w:r>
          </w:p>
        </w:tc>
      </w:tr>
      <w:tr w:rsidR="006556B8">
        <w:tblPrEx>
          <w:tblCellMar>
            <w:top w:w="0" w:type="dxa"/>
            <w:bottom w:w="0" w:type="dxa"/>
          </w:tblCellMar>
        </w:tblPrEx>
        <w:tc>
          <w:tcPr>
            <w:tcW w:w="8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R-01</w:t>
            </w:r>
          </w:p>
        </w:tc>
        <w:tc>
          <w:tcPr>
            <w:tcW w:w="24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Incentive API is called synchronously on the critical path with no timeout or circuit breaker; an unresponsive dependency stalls all transaction processing.</w:t>
            </w:r>
          </w:p>
        </w:tc>
        <w:tc>
          <w:tcPr>
            <w:tcW w:w="1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High</w:t>
            </w:r>
          </w:p>
        </w:tc>
        <w:tc>
          <w:tcPr>
            <w:tcW w:w="1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Medium</w:t>
            </w:r>
          </w:p>
        </w:tc>
        <w:tc>
          <w:tcPr>
            <w:tcW w:w="35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Add an explicit HTTP timeout, a circuit breaker (e.g. Resilience4j), and a defined fallback (queue-and-retry or reject with reason).</w:t>
            </w:r>
          </w:p>
        </w:tc>
      </w:tr>
      <w:tr w:rsidR="006556B8">
        <w:tblPrEx>
          <w:tblCellMar>
            <w:top w:w="0" w:type="dxa"/>
            <w:bottom w:w="0" w:type="dxa"/>
          </w:tblCellMar>
        </w:tblPrEx>
        <w:tc>
          <w:tcPr>
            <w:tcW w:w="8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R-02</w:t>
            </w:r>
          </w:p>
        </w:tc>
        <w:tc>
          <w:tcPr>
            <w:tcW w:w="24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No idempotency key or deduplication; Kafka redelivery (consumer restart, rebalance) can cause a transaction to be processed twice, double-debiting the sender.</w:t>
            </w:r>
          </w:p>
        </w:tc>
        <w:tc>
          <w:tcPr>
            <w:tcW w:w="1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High</w:t>
            </w:r>
          </w:p>
        </w:tc>
        <w:tc>
          <w:tcPr>
            <w:tcW w:w="1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Medium</w:t>
            </w:r>
          </w:p>
        </w:tc>
        <w:tc>
          <w:tcPr>
            <w:tcW w:w="35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Introduce an idempotency key (e.g. message offset or transaction UUID) with a uniquen</w:t>
            </w:r>
            <w:r>
              <w:rPr>
                <w:sz w:val="18"/>
                <w:szCs w:val="18"/>
              </w:rPr>
              <w:t>ess constraint, and commit the DB write before acknowledging the Kafka offset.</w:t>
            </w:r>
          </w:p>
        </w:tc>
      </w:tr>
      <w:tr w:rsidR="006556B8">
        <w:tblPrEx>
          <w:tblCellMar>
            <w:top w:w="0" w:type="dxa"/>
            <w:bottom w:w="0" w:type="dxa"/>
          </w:tblCellMar>
        </w:tblPrEx>
        <w:tc>
          <w:tcPr>
            <w:tcW w:w="8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R-03</w:t>
            </w:r>
          </w:p>
        </w:tc>
        <w:tc>
          <w:tcPr>
            <w:tcW w:w="24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Monetary amounts use double; binary floating-point cannot represent all decimal currency values exactly, risking rounding drift over many transactions.</w:t>
            </w:r>
          </w:p>
        </w:tc>
        <w:tc>
          <w:tcPr>
            <w:tcW w:w="1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Medium-High</w:t>
            </w:r>
          </w:p>
        </w:tc>
        <w:tc>
          <w:tcPr>
            <w:tcW w:w="1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High</w:t>
            </w:r>
          </w:p>
        </w:tc>
        <w:tc>
          <w:tcPr>
            <w:tcW w:w="35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 xml:space="preserve">Migrate amount, balance, and incentive fields to </w:t>
            </w:r>
            <w:proofErr w:type="spellStart"/>
            <w:r>
              <w:rPr>
                <w:sz w:val="18"/>
                <w:szCs w:val="18"/>
              </w:rPr>
              <w:t>BigDecimal</w:t>
            </w:r>
            <w:proofErr w:type="spellEnd"/>
            <w:r>
              <w:rPr>
                <w:sz w:val="18"/>
                <w:szCs w:val="18"/>
              </w:rPr>
              <w:t xml:space="preserve"> with a fixed scale and defined rounding mode.</w:t>
            </w:r>
          </w:p>
        </w:tc>
      </w:tr>
      <w:tr w:rsidR="006556B8">
        <w:tblPrEx>
          <w:tblCellMar>
            <w:top w:w="0" w:type="dxa"/>
            <w:bottom w:w="0" w:type="dxa"/>
          </w:tblCellMar>
        </w:tblPrEx>
        <w:tc>
          <w:tcPr>
            <w:tcW w:w="8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R-04</w:t>
            </w:r>
          </w:p>
        </w:tc>
        <w:tc>
          <w:tcPr>
            <w:tcW w:w="24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GET /balance has no authentication; any caller can query any user's balance.</w:t>
            </w:r>
          </w:p>
        </w:tc>
        <w:tc>
          <w:tcPr>
            <w:tcW w:w="1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High</w:t>
            </w:r>
          </w:p>
        </w:tc>
        <w:tc>
          <w:tcPr>
            <w:tcW w:w="1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High (if exposed beyond localhost)</w:t>
            </w:r>
          </w:p>
        </w:tc>
        <w:tc>
          <w:tcPr>
            <w:tcW w:w="35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Add authentication (API key, OAuth2/JWT) and authorization scoped to the requesting identity; restrict network exposure.</w:t>
            </w:r>
          </w:p>
        </w:tc>
      </w:tr>
      <w:tr w:rsidR="006556B8">
        <w:tblPrEx>
          <w:tblCellMar>
            <w:top w:w="0" w:type="dxa"/>
            <w:bottom w:w="0" w:type="dxa"/>
          </w:tblCellMar>
        </w:tblPrEx>
        <w:tc>
          <w:tcPr>
            <w:tcW w:w="8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R-05</w:t>
            </w:r>
          </w:p>
        </w:tc>
        <w:tc>
          <w:tcPr>
            <w:tcW w:w="24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H2 runs in-memory; all account and transaction data is lost on process restart, with no durability guarantee.</w:t>
            </w:r>
          </w:p>
        </w:tc>
        <w:tc>
          <w:tcPr>
            <w:tcW w:w="1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High (production) / Low (dev-test)</w:t>
            </w:r>
          </w:p>
        </w:tc>
        <w:tc>
          <w:tcPr>
            <w:tcW w:w="1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High</w:t>
            </w:r>
          </w:p>
        </w:tc>
        <w:tc>
          <w:tcPr>
            <w:tcW w:w="35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Use a durable RDBMS (e.g. PostgreSQL) in any non-development profile; keep H2 for local/test profiles only.</w:t>
            </w:r>
          </w:p>
        </w:tc>
      </w:tr>
      <w:tr w:rsidR="006556B8">
        <w:tblPrEx>
          <w:tblCellMar>
            <w:top w:w="0" w:type="dxa"/>
            <w:bottom w:w="0" w:type="dxa"/>
          </w:tblCellMar>
        </w:tblPrEx>
        <w:tc>
          <w:tcPr>
            <w:tcW w:w="8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R-06</w:t>
            </w:r>
          </w:p>
        </w:tc>
        <w:tc>
          <w:tcPr>
            <w:tcW w:w="24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No dead-letter handling for malformed Kafka messages; a poison message can be silently dropped or crash the listener thread.</w:t>
            </w:r>
          </w:p>
        </w:tc>
        <w:tc>
          <w:tcPr>
            <w:tcW w:w="1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Medium</w:t>
            </w:r>
          </w:p>
        </w:tc>
        <w:tc>
          <w:tcPr>
            <w:tcW w:w="1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Low-Medium</w:t>
            </w:r>
          </w:p>
        </w:tc>
        <w:tc>
          <w:tcPr>
            <w:tcW w:w="35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 xml:space="preserve">Wrap deserialization in explicit error handling and route </w:t>
            </w:r>
            <w:proofErr w:type="spellStart"/>
            <w:r>
              <w:rPr>
                <w:sz w:val="18"/>
                <w:szCs w:val="18"/>
              </w:rPr>
              <w:t>unparseable</w:t>
            </w:r>
            <w:proofErr w:type="spellEnd"/>
            <w:r>
              <w:rPr>
                <w:sz w:val="18"/>
                <w:szCs w:val="18"/>
              </w:rPr>
              <w:t xml:space="preserve"> messages to a dead-letter topic for later i</w:t>
            </w:r>
            <w:r>
              <w:rPr>
                <w:sz w:val="18"/>
                <w:szCs w:val="18"/>
              </w:rPr>
              <w:t>nspection.</w:t>
            </w:r>
          </w:p>
        </w:tc>
      </w:tr>
      <w:tr w:rsidR="006556B8">
        <w:tblPrEx>
          <w:tblCellMar>
            <w:top w:w="0" w:type="dxa"/>
            <w:bottom w:w="0" w:type="dxa"/>
          </w:tblCellMar>
        </w:tblPrEx>
        <w:tc>
          <w:tcPr>
            <w:tcW w:w="8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R-07</w:t>
            </w:r>
          </w:p>
        </w:tc>
        <w:tc>
          <w:tcPr>
            <w:tcW w:w="24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Balance read-modify-write is not explicitly protected against concurrent transactions on the same account, risking a lost-update race condition.</w:t>
            </w:r>
          </w:p>
        </w:tc>
        <w:tc>
          <w:tcPr>
            <w:tcW w:w="1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High</w:t>
            </w:r>
          </w:p>
        </w:tc>
        <w:tc>
          <w:tcPr>
            <w:tcW w:w="1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Medium (rises with throughput)</w:t>
            </w:r>
          </w:p>
        </w:tc>
        <w:tc>
          <w:tcPr>
            <w:tcW w:w="35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Use optimistic locking (@Version on User) or a database-level transaction with row-level locking around balance updates.</w:t>
            </w:r>
          </w:p>
        </w:tc>
      </w:tr>
      <w:tr w:rsidR="006556B8">
        <w:tblPrEx>
          <w:tblCellMar>
            <w:top w:w="0" w:type="dxa"/>
            <w:bottom w:w="0" w:type="dxa"/>
          </w:tblCellMar>
        </w:tblPrEx>
        <w:tc>
          <w:tcPr>
            <w:tcW w:w="8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R-08</w:t>
            </w:r>
          </w:p>
        </w:tc>
        <w:tc>
          <w:tcPr>
            <w:tcW w:w="24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No structured logging, metrics, or tracing is defined; diagnosing a production incident would be difficult.</w:t>
            </w:r>
          </w:p>
        </w:tc>
        <w:tc>
          <w:tcPr>
            <w:tcW w:w="1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Medium</w:t>
            </w:r>
          </w:p>
        </w:tc>
        <w:tc>
          <w:tcPr>
            <w:tcW w:w="1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High</w:t>
            </w:r>
          </w:p>
        </w:tc>
        <w:tc>
          <w:tcPr>
            <w:tcW w:w="35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Add structured logging, Micrometer-based metrics, and distributed tracing before any non-development deployment.</w:t>
            </w:r>
          </w:p>
        </w:tc>
      </w:tr>
      <w:tr w:rsidR="006556B8">
        <w:tblPrEx>
          <w:tblCellMar>
            <w:top w:w="0" w:type="dxa"/>
            <w:bottom w:w="0" w:type="dxa"/>
          </w:tblCellMar>
        </w:tblPrEx>
        <w:tc>
          <w:tcPr>
            <w:tcW w:w="8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lastRenderedPageBreak/>
              <w:t>R-09</w:t>
            </w:r>
          </w:p>
        </w:tc>
        <w:tc>
          <w:tcPr>
            <w:tcW w:w="24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Validation rules do not explicitly reject a zero or negative transaction amount.</w:t>
            </w:r>
          </w:p>
        </w:tc>
        <w:tc>
          <w:tcPr>
            <w:tcW w:w="1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Medium</w:t>
            </w:r>
          </w:p>
        </w:tc>
        <w:tc>
          <w:tcPr>
            <w:tcW w:w="1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Medium</w:t>
            </w:r>
          </w:p>
        </w:tc>
        <w:tc>
          <w:tcPr>
            <w:tcW w:w="35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Add an explicit amount &gt; 0 rule to the validation set (VR-04).</w:t>
            </w:r>
          </w:p>
        </w:tc>
      </w:tr>
      <w:tr w:rsidR="006556B8">
        <w:tblPrEx>
          <w:tblCellMar>
            <w:top w:w="0" w:type="dxa"/>
            <w:bottom w:w="0" w:type="dxa"/>
          </w:tblCellMar>
        </w:tblPrEx>
        <w:tc>
          <w:tcPr>
            <w:tcW w:w="8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R-10</w:t>
            </w:r>
          </w:p>
        </w:tc>
        <w:tc>
          <w:tcPr>
            <w:tcW w:w="24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The Incentive API is an external black box; a malformed or out-of-bounds response (e.g. an unexpectedly large amount) is applied without a sanity check.</w:t>
            </w:r>
          </w:p>
        </w:tc>
        <w:tc>
          <w:tcPr>
            <w:tcW w:w="1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Medium</w:t>
            </w:r>
          </w:p>
        </w:tc>
        <w:tc>
          <w:tcPr>
            <w:tcW w:w="1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Low-Medium</w:t>
            </w:r>
          </w:p>
        </w:tc>
        <w:tc>
          <w:tcPr>
            <w:tcW w:w="35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 xml:space="preserve">Validate </w:t>
            </w:r>
            <w:proofErr w:type="spellStart"/>
            <w:r>
              <w:rPr>
                <w:sz w:val="18"/>
                <w:szCs w:val="18"/>
              </w:rPr>
              <w:t>incentive.amount</w:t>
            </w:r>
            <w:proofErr w:type="spellEnd"/>
            <w:r>
              <w:rPr>
                <w:sz w:val="18"/>
                <w:szCs w:val="18"/>
              </w:rPr>
              <w:t xml:space="preserve"> against a defined upper bound before applying it to the recipient's balance.</w:t>
            </w:r>
          </w:p>
        </w:tc>
      </w:tr>
    </w:tbl>
    <w:p w:rsidR="006556B8" w:rsidRDefault="00A65B26">
      <w:pPr>
        <w:pStyle w:val="Heading1"/>
        <w:pageBreakBefore/>
        <w:pBdr>
          <w:bottom w:val="single" w:sz="8" w:space="6" w:color="1F2A44"/>
        </w:pBdr>
        <w:spacing w:before="240" w:after="160"/>
      </w:pPr>
      <w:r>
        <w:rPr>
          <w:b/>
          <w:bCs/>
          <w:color w:val="1F2A44"/>
          <w:sz w:val="30"/>
          <w:szCs w:val="30"/>
        </w:rPr>
        <w:lastRenderedPageBreak/>
        <w:t>4.  Part III — System Interaction Flow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556B8">
        <w:tblPrEx>
          <w:tblCellMar>
            <w:top w:w="0" w:type="dxa"/>
            <w:bottom w:w="0" w:type="dxa"/>
          </w:tblCellMar>
        </w:tblPrEx>
        <w:tc>
          <w:tcPr>
            <w:tcW w:w="9350" w:type="dxa"/>
            <w:tcBorders>
              <w:top w:val="single" w:sz="4" w:space="0" w:color="9C7A1E"/>
              <w:left w:val="single" w:sz="24" w:space="0" w:color="9C7A1E"/>
              <w:bottom w:val="single" w:sz="4" w:space="0" w:color="9C7A1E"/>
              <w:right w:val="single" w:sz="4" w:space="0" w:color="9C7A1E"/>
            </w:tcBorders>
            <w:shd w:val="clear" w:color="auto" w:fill="F5F1E6"/>
            <w:tcMar>
              <w:top w:w="140" w:type="dxa"/>
              <w:left w:w="180" w:type="dxa"/>
              <w:bottom w:w="140" w:type="dxa"/>
              <w:right w:w="180" w:type="dxa"/>
            </w:tcMar>
          </w:tcPr>
          <w:p w:rsidR="006556B8" w:rsidRDefault="00A65B26">
            <w:pPr>
              <w:spacing w:after="60"/>
            </w:pPr>
            <w:r>
              <w:rPr>
                <w:b/>
                <w:bCs/>
                <w:color w:val="9C7A1E"/>
                <w:sz w:val="20"/>
                <w:szCs w:val="20"/>
              </w:rPr>
              <w:t>Why this section replaces a traditional UI/UX flow</w:t>
            </w:r>
          </w:p>
          <w:p w:rsidR="006556B8" w:rsidRDefault="00A65B26">
            <w:r>
              <w:rPr>
                <w:sz w:val="19"/>
                <w:szCs w:val="19"/>
              </w:rPr>
              <w:t xml:space="preserve">Midas Core is a headless backend service — it has no screens, no user interface, and no visual design surface. Producing wireframes or click-through flows for it would misrepresent the system rather than document it. The industry-standard equivalent for a </w:t>
            </w:r>
            <w:r>
              <w:rPr>
                <w:sz w:val="19"/>
                <w:szCs w:val="19"/>
              </w:rPr>
              <w:t>backend/API service is a system interaction flow: the sequence in which components exchange data, and the request/response "experience" presented to the API consumers who are this system's actual users. That is what this section documents.</w:t>
            </w:r>
          </w:p>
        </w:tc>
      </w:tr>
    </w:tbl>
    <w:p w:rsidR="006556B8" w:rsidRDefault="00A65B26">
      <w:pPr>
        <w:pStyle w:val="Heading2"/>
        <w:spacing w:before="300" w:after="140"/>
      </w:pPr>
      <w:proofErr w:type="gramStart"/>
      <w:r>
        <w:rPr>
          <w:b/>
          <w:bCs/>
          <w:color w:val="1F2A44"/>
          <w:sz w:val="24"/>
          <w:szCs w:val="24"/>
        </w:rPr>
        <w:t>4.1  End</w:t>
      </w:r>
      <w:proofErr w:type="gramEnd"/>
      <w:r>
        <w:rPr>
          <w:b/>
          <w:bCs/>
          <w:color w:val="1F2A44"/>
          <w:sz w:val="24"/>
          <w:szCs w:val="24"/>
        </w:rPr>
        <w:t>-to-End Interaction Sequence</w:t>
      </w:r>
    </w:p>
    <w:p w:rsidR="006556B8" w:rsidRDefault="00A65B26">
      <w:pPr>
        <w:spacing w:after="160" w:line="276" w:lineRule="auto"/>
        <w:jc w:val="both"/>
      </w:pPr>
      <w:r>
        <w:t>The diagram below traces a single valid transaction from publication through to its effect on both accounts. This is the primary flow the system is designed around.</w:t>
      </w:r>
    </w:p>
    <w:p w:rsidR="006556B8" w:rsidRDefault="00A65B26">
      <w:pPr>
        <w:spacing w:before="160" w:after="40"/>
        <w:jc w:val="center"/>
      </w:pPr>
      <w:r>
        <w:rPr>
          <w:noProof/>
        </w:rPr>
        <w:drawing>
          <wp:inline distT="0" distB="0" distL="0" distR="0">
            <wp:extent cx="590550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543300"/>
                    </a:xfrm>
                    <a:prstGeom prst="rect">
                      <a:avLst/>
                    </a:prstGeom>
                  </pic:spPr>
                </pic:pic>
              </a:graphicData>
            </a:graphic>
          </wp:inline>
        </w:drawing>
      </w:r>
    </w:p>
    <w:p w:rsidR="006556B8" w:rsidRDefault="00A65B26">
      <w:pPr>
        <w:spacing w:before="100" w:after="240"/>
        <w:jc w:val="center"/>
      </w:pPr>
      <w:r>
        <w:rPr>
          <w:i/>
          <w:iCs/>
          <w:color w:val="5B6577"/>
          <w:sz w:val="19"/>
          <w:szCs w:val="19"/>
        </w:rPr>
        <w:t>Figure 3 — Sequence of a valid transaction, from Kaf</w:t>
      </w:r>
      <w:r>
        <w:rPr>
          <w:i/>
          <w:iCs/>
          <w:color w:val="5B6577"/>
          <w:sz w:val="19"/>
          <w:szCs w:val="19"/>
        </w:rPr>
        <w:t>ka publication to persisted balance update.</w:t>
      </w:r>
    </w:p>
    <w:p w:rsidR="006556B8" w:rsidRDefault="00A65B26">
      <w:pPr>
        <w:pStyle w:val="Heading2"/>
        <w:spacing w:before="300" w:after="140"/>
      </w:pPr>
      <w:proofErr w:type="gramStart"/>
      <w:r>
        <w:rPr>
          <w:b/>
          <w:bCs/>
          <w:color w:val="1F2A44"/>
          <w:sz w:val="24"/>
          <w:szCs w:val="24"/>
        </w:rPr>
        <w:t>4.2  Transaction</w:t>
      </w:r>
      <w:proofErr w:type="gramEnd"/>
      <w:r>
        <w:rPr>
          <w:b/>
          <w:bCs/>
          <w:color w:val="1F2A44"/>
          <w:sz w:val="24"/>
          <w:szCs w:val="24"/>
        </w:rPr>
        <w:t xml:space="preserve"> State Model</w:t>
      </w:r>
    </w:p>
    <w:p w:rsidR="006556B8" w:rsidRDefault="00A65B26">
      <w:pPr>
        <w:spacing w:after="160" w:line="276" w:lineRule="auto"/>
        <w:jc w:val="both"/>
      </w:pPr>
      <w:r>
        <w:t>Although Midas Core has no persisted "status" field on a transaction, every transaction implicitly passes through the following states. Making them explicit is useful both for testing</w:t>
      </w:r>
      <w:r>
        <w:t xml:space="preserve"> and for any future audit/logging work (Risk R-08).</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3050"/>
      </w:tblGrid>
      <w:tr w:rsidR="006556B8">
        <w:tblPrEx>
          <w:tblCellMar>
            <w:top w:w="0" w:type="dxa"/>
            <w:bottom w:w="0" w:type="dxa"/>
          </w:tblCellMar>
        </w:tblPrEx>
        <w:trPr>
          <w:tblHeader/>
        </w:trPr>
        <w:tc>
          <w:tcPr>
            <w:tcW w:w="20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State</w:t>
            </w:r>
          </w:p>
        </w:tc>
        <w:tc>
          <w:tcPr>
            <w:tcW w:w="43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Trigger</w:t>
            </w:r>
          </w:p>
        </w:tc>
        <w:tc>
          <w:tcPr>
            <w:tcW w:w="30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Next State(s)</w:t>
            </w:r>
          </w:p>
        </w:tc>
      </w:tr>
      <w:tr w:rsidR="006556B8">
        <w:tblPrEx>
          <w:tblCellMar>
            <w:top w:w="0" w:type="dxa"/>
            <w:bottom w:w="0" w:type="dxa"/>
          </w:tblCellMar>
        </w:tblPrEx>
        <w:tc>
          <w:tcPr>
            <w:tcW w:w="20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Received</w:t>
            </w:r>
          </w:p>
        </w:tc>
        <w:tc>
          <w:tcPr>
            <w:tcW w:w="4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 xml:space="preserve">Kafka listener </w:t>
            </w:r>
            <w:proofErr w:type="spellStart"/>
            <w:r>
              <w:rPr>
                <w:sz w:val="18"/>
                <w:szCs w:val="18"/>
              </w:rPr>
              <w:t>deserializes</w:t>
            </w:r>
            <w:proofErr w:type="spellEnd"/>
            <w:r>
              <w:rPr>
                <w:sz w:val="18"/>
                <w:szCs w:val="18"/>
              </w:rPr>
              <w:t xml:space="preserve"> the message.</w:t>
            </w:r>
          </w:p>
        </w:tc>
        <w:tc>
          <w:tcPr>
            <w:tcW w:w="30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Validating</w:t>
            </w:r>
          </w:p>
        </w:tc>
      </w:tr>
      <w:tr w:rsidR="006556B8">
        <w:tblPrEx>
          <w:tblCellMar>
            <w:top w:w="0" w:type="dxa"/>
            <w:bottom w:w="0" w:type="dxa"/>
          </w:tblCellMar>
        </w:tblPrEx>
        <w:tc>
          <w:tcPr>
            <w:tcW w:w="20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Validating</w:t>
            </w:r>
          </w:p>
        </w:tc>
        <w:tc>
          <w:tcPr>
            <w:tcW w:w="4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Transaction Service checks VR-01, VR-02, VR-03.</w:t>
            </w:r>
          </w:p>
        </w:tc>
        <w:tc>
          <w:tcPr>
            <w:tcW w:w="30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Rejected (any rule fails) or Enriching (all pass)</w:t>
            </w:r>
          </w:p>
        </w:tc>
      </w:tr>
      <w:tr w:rsidR="006556B8">
        <w:tblPrEx>
          <w:tblCellMar>
            <w:top w:w="0" w:type="dxa"/>
            <w:bottom w:w="0" w:type="dxa"/>
          </w:tblCellMar>
        </w:tblPrEx>
        <w:tc>
          <w:tcPr>
            <w:tcW w:w="20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Rejected</w:t>
            </w:r>
          </w:p>
        </w:tc>
        <w:tc>
          <w:tcPr>
            <w:tcW w:w="4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Any validation rule fails.</w:t>
            </w:r>
          </w:p>
        </w:tc>
        <w:tc>
          <w:tcPr>
            <w:tcW w:w="30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Terminal — discarded, no persistence, no balance change</w:t>
            </w:r>
          </w:p>
        </w:tc>
      </w:tr>
      <w:tr w:rsidR="006556B8">
        <w:tblPrEx>
          <w:tblCellMar>
            <w:top w:w="0" w:type="dxa"/>
            <w:bottom w:w="0" w:type="dxa"/>
          </w:tblCellMar>
        </w:tblPrEx>
        <w:tc>
          <w:tcPr>
            <w:tcW w:w="20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lastRenderedPageBreak/>
              <w:t>Enriching</w:t>
            </w:r>
          </w:p>
        </w:tc>
        <w:tc>
          <w:tcPr>
            <w:tcW w:w="4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POST sent to Incentive API.</w:t>
            </w:r>
          </w:p>
        </w:tc>
        <w:tc>
          <w:tcPr>
            <w:tcW w:w="30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Enriched (200 OK) or Failed (timeout/error — currently unhandled, see R-01)</w:t>
            </w:r>
          </w:p>
        </w:tc>
      </w:tr>
      <w:tr w:rsidR="006556B8">
        <w:tblPrEx>
          <w:tblCellMar>
            <w:top w:w="0" w:type="dxa"/>
            <w:bottom w:w="0" w:type="dxa"/>
          </w:tblCellMar>
        </w:tblPrEx>
        <w:tc>
          <w:tcPr>
            <w:tcW w:w="20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Enriched</w:t>
            </w:r>
          </w:p>
        </w:tc>
        <w:tc>
          <w:tcPr>
            <w:tcW w:w="4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Incentive amount received.</w:t>
            </w:r>
          </w:p>
        </w:tc>
        <w:tc>
          <w:tcPr>
            <w:tcW w:w="30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Persisted</w:t>
            </w:r>
          </w:p>
        </w:tc>
      </w:tr>
      <w:tr w:rsidR="006556B8">
        <w:tblPrEx>
          <w:tblCellMar>
            <w:top w:w="0" w:type="dxa"/>
            <w:bottom w:w="0" w:type="dxa"/>
          </w:tblCellMar>
        </w:tblPrEx>
        <w:tc>
          <w:tcPr>
            <w:tcW w:w="20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Persisted</w:t>
            </w:r>
          </w:p>
        </w:tc>
        <w:tc>
          <w:tcPr>
            <w:tcW w:w="4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proofErr w:type="spellStart"/>
            <w:r>
              <w:rPr>
                <w:sz w:val="18"/>
                <w:szCs w:val="18"/>
              </w:rPr>
              <w:t>TransactionRecord</w:t>
            </w:r>
            <w:proofErr w:type="spellEnd"/>
            <w:r>
              <w:rPr>
                <w:sz w:val="18"/>
                <w:szCs w:val="18"/>
              </w:rPr>
              <w:t xml:space="preserve"> saved; sender/recipient balances updated.</w:t>
            </w:r>
          </w:p>
        </w:tc>
        <w:tc>
          <w:tcPr>
            <w:tcW w:w="30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 xml:space="preserve">Terminal — </w:t>
            </w:r>
            <w:proofErr w:type="spellStart"/>
            <w:r>
              <w:rPr>
                <w:sz w:val="18"/>
                <w:szCs w:val="18"/>
              </w:rPr>
              <w:t>queryable</w:t>
            </w:r>
            <w:proofErr w:type="spellEnd"/>
            <w:r>
              <w:rPr>
                <w:sz w:val="18"/>
                <w:szCs w:val="18"/>
              </w:rPr>
              <w:t xml:space="preserve"> via GET /balance</w:t>
            </w:r>
          </w:p>
        </w:tc>
      </w:tr>
    </w:tbl>
    <w:p w:rsidR="006556B8" w:rsidRDefault="00A65B26">
      <w:pPr>
        <w:pStyle w:val="Heading2"/>
        <w:spacing w:before="300" w:after="140"/>
      </w:pPr>
      <w:proofErr w:type="gramStart"/>
      <w:r>
        <w:rPr>
          <w:b/>
          <w:bCs/>
          <w:color w:val="1F2A44"/>
          <w:sz w:val="24"/>
          <w:szCs w:val="24"/>
        </w:rPr>
        <w:t>4.3  API</w:t>
      </w:r>
      <w:proofErr w:type="gramEnd"/>
      <w:r>
        <w:rPr>
          <w:b/>
          <w:bCs/>
          <w:color w:val="1F2A44"/>
          <w:sz w:val="24"/>
          <w:szCs w:val="24"/>
        </w:rPr>
        <w:t xml:space="preserve"> Consumer Experience — Success Path</w:t>
      </w:r>
    </w:p>
    <w:p w:rsidR="006556B8" w:rsidRDefault="00A65B26">
      <w:pPr>
        <w:spacing w:before="140" w:after="60"/>
      </w:pPr>
      <w:r>
        <w:rPr>
          <w:b/>
          <w:bCs/>
          <w:color w:val="3B4A66"/>
        </w:rPr>
        <w:t>Request</w:t>
      </w:r>
    </w:p>
    <w:p w:rsidR="006556B8" w:rsidRDefault="00A65B26">
      <w:pPr>
        <w:pBdr>
          <w:top w:val="single" w:sz="4" w:space="0" w:color="B7BFCC"/>
          <w:left w:val="single" w:sz="4" w:space="0" w:color="B7BFCC"/>
          <w:bottom w:val="single" w:sz="4" w:space="0" w:color="B7BFCC"/>
          <w:right w:val="single" w:sz="4" w:space="0" w:color="B7BFCC"/>
        </w:pBdr>
        <w:shd w:val="clear" w:color="auto" w:fill="F2F4F8"/>
        <w:spacing w:before="80" w:after="160"/>
      </w:pPr>
      <w:r>
        <w:rPr>
          <w:rFonts w:ascii="Consolas" w:eastAsia="Consolas" w:hAnsi="Consolas" w:cs="Consolas"/>
          <w:sz w:val="18"/>
          <w:szCs w:val="18"/>
        </w:rPr>
        <w:t>GET http://localhost:33400/balance?userId=waldorf</w:t>
      </w:r>
    </w:p>
    <w:p w:rsidR="006556B8" w:rsidRDefault="00A65B26">
      <w:pPr>
        <w:spacing w:before="140" w:after="60"/>
      </w:pPr>
      <w:r>
        <w:rPr>
          <w:b/>
          <w:bCs/>
          <w:color w:val="3B4A66"/>
        </w:rPr>
        <w:t>Response — 200 OK</w:t>
      </w:r>
    </w:p>
    <w:p w:rsidR="006556B8" w:rsidRDefault="00A65B26">
      <w:pPr>
        <w:pBdr>
          <w:top w:val="single" w:sz="4" w:space="0" w:color="B7BFCC"/>
          <w:left w:val="single" w:sz="4" w:space="0" w:color="B7BFCC"/>
          <w:bottom w:val="single" w:sz="4" w:space="0" w:color="B7BFCC"/>
          <w:right w:val="single" w:sz="4" w:space="0" w:color="B7BFCC"/>
        </w:pBdr>
        <w:shd w:val="clear" w:color="auto" w:fill="F2F4F8"/>
        <w:spacing w:before="80" w:after="240"/>
      </w:pP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 "</w:t>
      </w:r>
      <w:proofErr w:type="spellStart"/>
      <w:r>
        <w:rPr>
          <w:rFonts w:ascii="Consolas" w:eastAsia="Consolas" w:hAnsi="Consolas" w:cs="Consolas"/>
          <w:sz w:val="18"/>
          <w:szCs w:val="18"/>
        </w:rPr>
        <w:t>waldorf</w:t>
      </w:r>
      <w:proofErr w:type="spellEnd"/>
      <w:r>
        <w:rPr>
          <w:rFonts w:ascii="Consolas" w:eastAsia="Consolas" w:hAnsi="Consolas" w:cs="Consolas"/>
          <w:sz w:val="18"/>
          <w:szCs w:val="18"/>
        </w:rPr>
        <w:t xml:space="preserve">", </w:t>
      </w:r>
      <w:r>
        <w:rPr>
          <w:rFonts w:ascii="Consolas" w:eastAsia="Consolas" w:hAnsi="Consolas" w:cs="Consolas"/>
          <w:sz w:val="18"/>
          <w:szCs w:val="18"/>
        </w:rPr>
        <w:t xml:space="preserve">  "amount": 128.40 }</w:t>
      </w:r>
    </w:p>
    <w:p w:rsidR="006556B8" w:rsidRDefault="00A65B26">
      <w:pPr>
        <w:pStyle w:val="Heading2"/>
        <w:spacing w:before="300" w:after="140"/>
      </w:pPr>
      <w:proofErr w:type="gramStart"/>
      <w:r>
        <w:rPr>
          <w:b/>
          <w:bCs/>
          <w:color w:val="1F2A44"/>
          <w:sz w:val="24"/>
          <w:szCs w:val="24"/>
        </w:rPr>
        <w:t>4.4  API</w:t>
      </w:r>
      <w:proofErr w:type="gramEnd"/>
      <w:r>
        <w:rPr>
          <w:b/>
          <w:bCs/>
          <w:color w:val="1F2A44"/>
          <w:sz w:val="24"/>
          <w:szCs w:val="24"/>
        </w:rPr>
        <w:t xml:space="preserve"> Consumer Experience — Exception Paths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50"/>
        <w:gridCol w:w="3200"/>
      </w:tblGrid>
      <w:tr w:rsidR="006556B8">
        <w:tblPrEx>
          <w:tblCellMar>
            <w:top w:w="0" w:type="dxa"/>
            <w:bottom w:w="0" w:type="dxa"/>
          </w:tblCellMar>
        </w:tblPrEx>
        <w:trPr>
          <w:tblHeader/>
        </w:trPr>
        <w:tc>
          <w:tcPr>
            <w:tcW w:w="26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Scenario</w:t>
            </w:r>
          </w:p>
        </w:tc>
        <w:tc>
          <w:tcPr>
            <w:tcW w:w="35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System Behavior</w:t>
            </w:r>
          </w:p>
        </w:tc>
        <w:tc>
          <w:tcPr>
            <w:tcW w:w="32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Consumer-Facing Result</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 xml:space="preserve">Unknown </w:t>
            </w:r>
            <w:proofErr w:type="spellStart"/>
            <w:r>
              <w:rPr>
                <w:sz w:val="18"/>
                <w:szCs w:val="18"/>
              </w:rPr>
              <w:t>userId</w:t>
            </w:r>
            <w:proofErr w:type="spellEnd"/>
            <w:r>
              <w:rPr>
                <w:sz w:val="18"/>
                <w:szCs w:val="18"/>
              </w:rPr>
              <w:t xml:space="preserve"> queried at GET /balance</w:t>
            </w:r>
          </w:p>
        </w:tc>
        <w:tc>
          <w:tcPr>
            <w:tcW w:w="35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User lookup returns no result; controller returns a Balance with amount = 0 rather than an error.</w:t>
            </w:r>
          </w:p>
        </w:tc>
        <w:tc>
          <w:tcPr>
            <w:tcW w:w="32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200 OK, { "</w:t>
            </w:r>
            <w:proofErr w:type="spellStart"/>
            <w:r>
              <w:rPr>
                <w:sz w:val="18"/>
                <w:szCs w:val="18"/>
              </w:rPr>
              <w:t>userId</w:t>
            </w:r>
            <w:proofErr w:type="spellEnd"/>
            <w:r>
              <w:rPr>
                <w:sz w:val="18"/>
                <w:szCs w:val="18"/>
              </w:rPr>
              <w:t>": "unknown", "amount": 0.0 } — deliberate, per FR-13.</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Transaction references a non-existent sender or recipient</w:t>
            </w:r>
          </w:p>
        </w:tc>
        <w:tc>
          <w:tcPr>
            <w:tcW w:w="35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VR-01 / VR-02 fails; transaction is discarded before persistence.</w:t>
            </w:r>
          </w:p>
        </w:tc>
        <w:tc>
          <w:tcPr>
            <w:tcW w:w="32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No consumer-facing response — Kafka has no request/reply; the transaction is silently dropped (see R-06 regarding lack of dead-letter visibility).</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Sender balance insufficient for the amount</w:t>
            </w:r>
          </w:p>
        </w:tc>
        <w:tc>
          <w:tcPr>
            <w:tcW w:w="35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VR-03 fails; transaction is discarded before persistence.</w:t>
            </w:r>
          </w:p>
        </w:tc>
        <w:tc>
          <w:tcPr>
            <w:tcW w:w="32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Same as above — no error surfaced to the producer under current design.</w:t>
            </w:r>
          </w:p>
        </w:tc>
      </w:tr>
      <w:tr w:rsidR="006556B8">
        <w:tblPrEx>
          <w:tblCellMar>
            <w:top w:w="0" w:type="dxa"/>
            <w:bottom w:w="0" w:type="dxa"/>
          </w:tblCellMar>
        </w:tblPrEx>
        <w:tc>
          <w:tcPr>
            <w:tcW w:w="2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Incentive API is unreachable or slow</w:t>
            </w:r>
          </w:p>
        </w:tc>
        <w:tc>
          <w:tcPr>
            <w:tcW w:w="35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Not currently handled — the synchronous call blocks; behavior is undefined beyond the default HTTP client timeout.</w:t>
            </w:r>
          </w:p>
        </w:tc>
        <w:tc>
          <w:tcPr>
            <w:tcW w:w="32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Delayed or failed processing of the entire transaction, with no isolation from other in-flight transactions (Risk R-01).</w:t>
            </w:r>
          </w:p>
        </w:tc>
      </w:tr>
    </w:tbl>
    <w:p w:rsidR="006556B8" w:rsidRDefault="00A65B26">
      <w:pPr>
        <w:pStyle w:val="Heading2"/>
        <w:spacing w:before="300" w:after="140"/>
      </w:pPr>
      <w:proofErr w:type="gramStart"/>
      <w:r>
        <w:rPr>
          <w:b/>
          <w:bCs/>
          <w:color w:val="1F2A44"/>
          <w:sz w:val="24"/>
          <w:szCs w:val="24"/>
        </w:rPr>
        <w:t>4.5  Balance</w:t>
      </w:r>
      <w:proofErr w:type="gramEnd"/>
      <w:r>
        <w:rPr>
          <w:b/>
          <w:bCs/>
          <w:color w:val="1F2A44"/>
          <w:sz w:val="24"/>
          <w:szCs w:val="24"/>
        </w:rPr>
        <w:t xml:space="preserve"> Query — Concurrent Operation</w:t>
      </w:r>
    </w:p>
    <w:p w:rsidR="006556B8" w:rsidRDefault="00A65B26">
      <w:pPr>
        <w:spacing w:after="160" w:line="276" w:lineRule="auto"/>
        <w:jc w:val="both"/>
      </w:pPr>
      <w:r>
        <w:t>Because the REST controller and the Kafka listener share the same Spring Boot process and the same persistence context, a GET /balance call can legitimately be served while the listener is actively processing other transactions. FR-14 requires this to work</w:t>
      </w:r>
      <w:r>
        <w:t xml:space="preserve"> correctly; Section 3.9 (R-07) flags the specific concurrency risk this introduces when two transactions touch the same account at overlapping times.</w:t>
      </w:r>
    </w:p>
    <w:p w:rsidR="006556B8" w:rsidRDefault="00A65B26">
      <w:pPr>
        <w:pStyle w:val="Heading1"/>
        <w:pageBreakBefore/>
        <w:pBdr>
          <w:bottom w:val="single" w:sz="8" w:space="6" w:color="1F2A44"/>
        </w:pBdr>
        <w:spacing w:before="240" w:after="160"/>
      </w:pPr>
      <w:r>
        <w:rPr>
          <w:b/>
          <w:bCs/>
          <w:color w:val="1F2A44"/>
          <w:sz w:val="30"/>
          <w:szCs w:val="30"/>
        </w:rPr>
        <w:lastRenderedPageBreak/>
        <w:t>5.  Part IV — Implementation Plan</w:t>
      </w:r>
    </w:p>
    <w:p w:rsidR="006556B8" w:rsidRDefault="00A65B26">
      <w:pPr>
        <w:pStyle w:val="Heading2"/>
        <w:spacing w:before="300" w:after="140"/>
      </w:pPr>
      <w:proofErr w:type="gramStart"/>
      <w:r>
        <w:rPr>
          <w:b/>
          <w:bCs/>
          <w:color w:val="1F2A44"/>
          <w:sz w:val="24"/>
          <w:szCs w:val="24"/>
        </w:rPr>
        <w:t>5.1  Delivery</w:t>
      </w:r>
      <w:proofErr w:type="gramEnd"/>
      <w:r>
        <w:rPr>
          <w:b/>
          <w:bCs/>
          <w:color w:val="1F2A44"/>
          <w:sz w:val="24"/>
          <w:szCs w:val="24"/>
        </w:rPr>
        <w:t xml:space="preserve"> Approach</w:t>
      </w:r>
    </w:p>
    <w:p w:rsidR="006556B8" w:rsidRDefault="00A65B26">
      <w:pPr>
        <w:spacing w:after="160" w:line="276" w:lineRule="auto"/>
        <w:jc w:val="both"/>
      </w:pPr>
      <w:r>
        <w:t xml:space="preserve">Delivery follows the five-task structure defined </w:t>
      </w:r>
      <w:r>
        <w:t>by the program scaffold, treated as five sequential, independently testable increments. Each task has a clear entry condition (the previous task's tests passing), a bounded set of new classes/</w:t>
      </w:r>
      <w:proofErr w:type="spellStart"/>
      <w:r>
        <w:t>config</w:t>
      </w:r>
      <w:proofErr w:type="spellEnd"/>
      <w:r>
        <w:t>, and its own automated verification suite. This mirrors a</w:t>
      </w:r>
      <w:r>
        <w:t xml:space="preserve"> standard incremental delivery approach: ship a thin vertical slice, verify it, then extend.</w:t>
      </w:r>
    </w:p>
    <w:p w:rsidR="006556B8" w:rsidRDefault="00A65B26">
      <w:pPr>
        <w:pStyle w:val="Heading2"/>
        <w:spacing w:before="300" w:after="140"/>
      </w:pPr>
      <w:proofErr w:type="gramStart"/>
      <w:r>
        <w:rPr>
          <w:b/>
          <w:bCs/>
          <w:color w:val="1F2A44"/>
          <w:sz w:val="24"/>
          <w:szCs w:val="24"/>
        </w:rPr>
        <w:t>5.2  Work</w:t>
      </w:r>
      <w:proofErr w:type="gramEnd"/>
      <w:r>
        <w:rPr>
          <w:b/>
          <w:bCs/>
          <w:color w:val="1F2A44"/>
          <w:sz w:val="24"/>
          <w:szCs w:val="24"/>
        </w:rPr>
        <w:t xml:space="preserve"> Breakdown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2340"/>
        <w:gridCol w:w="2939"/>
        <w:gridCol w:w="997"/>
        <w:gridCol w:w="1644"/>
      </w:tblGrid>
      <w:tr w:rsidR="006556B8">
        <w:tblPrEx>
          <w:tblCellMar>
            <w:top w:w="0" w:type="dxa"/>
            <w:bottom w:w="0" w:type="dxa"/>
          </w:tblCellMar>
        </w:tblPrEx>
        <w:trPr>
          <w:tblHeader/>
        </w:trPr>
        <w:tc>
          <w:tcPr>
            <w:tcW w:w="14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Phase</w:t>
            </w:r>
          </w:p>
        </w:tc>
        <w:tc>
          <w:tcPr>
            <w:tcW w:w="23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Deliverable</w:t>
            </w:r>
          </w:p>
        </w:tc>
        <w:tc>
          <w:tcPr>
            <w:tcW w:w="29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Key Activities</w:t>
            </w:r>
          </w:p>
        </w:tc>
        <w:tc>
          <w:tcPr>
            <w:tcW w:w="10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Effort</w:t>
            </w:r>
          </w:p>
        </w:tc>
        <w:tc>
          <w:tcPr>
            <w:tcW w:w="16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Depends On</w:t>
            </w:r>
          </w:p>
        </w:tc>
      </w:tr>
      <w:tr w:rsidR="006556B8">
        <w:tblPrEx>
          <w:tblCellMar>
            <w:top w:w="0" w:type="dxa"/>
            <w:bottom w:w="0" w:type="dxa"/>
          </w:tblCellMar>
        </w:tblPrEx>
        <w:tc>
          <w:tcPr>
            <w:tcW w:w="14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Phase 0 Task 1</w:t>
            </w:r>
          </w:p>
        </w:tc>
        <w:tc>
          <w:tcPr>
            <w:tcW w:w="2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Environment &amp; scaffold ready</w:t>
            </w:r>
          </w:p>
        </w:tc>
        <w:tc>
          <w:tcPr>
            <w:tcW w:w="29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Fork/clone repo; configure Java 17; add Maven dependencies; configure application.yml; run baseline build.</w:t>
            </w:r>
          </w:p>
        </w:tc>
        <w:tc>
          <w:tcPr>
            <w:tcW w:w="10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0.5 day</w:t>
            </w:r>
          </w:p>
        </w:tc>
        <w:tc>
          <w:tcPr>
            <w:tcW w:w="16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w:t>
            </w:r>
          </w:p>
        </w:tc>
      </w:tr>
      <w:tr w:rsidR="006556B8">
        <w:tblPrEx>
          <w:tblCellMar>
            <w:top w:w="0" w:type="dxa"/>
            <w:bottom w:w="0" w:type="dxa"/>
          </w:tblCellMar>
        </w:tblPrEx>
        <w:tc>
          <w:tcPr>
            <w:tcW w:w="14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Phase 1 Task 2</w:t>
            </w:r>
          </w:p>
        </w:tc>
        <w:tc>
          <w:tcPr>
            <w:tcW w:w="2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Kafka ingestion working</w:t>
            </w:r>
          </w:p>
        </w:tc>
        <w:tc>
          <w:tcPr>
            <w:tcW w:w="29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Implement @</w:t>
            </w:r>
            <w:proofErr w:type="spellStart"/>
            <w:r>
              <w:rPr>
                <w:sz w:val="18"/>
                <w:szCs w:val="18"/>
              </w:rPr>
              <w:t>KafkaListener</w:t>
            </w:r>
            <w:proofErr w:type="spellEnd"/>
            <w:r>
              <w:rPr>
                <w:sz w:val="18"/>
                <w:szCs w:val="18"/>
              </w:rPr>
              <w:t xml:space="preserve">; bind topic via </w:t>
            </w:r>
            <w:proofErr w:type="spellStart"/>
            <w:r>
              <w:rPr>
                <w:sz w:val="18"/>
                <w:szCs w:val="18"/>
              </w:rPr>
              <w:t>config</w:t>
            </w:r>
            <w:proofErr w:type="spellEnd"/>
            <w:r>
              <w:rPr>
                <w:sz w:val="18"/>
                <w:szCs w:val="18"/>
              </w:rPr>
              <w:t xml:space="preserve">; </w:t>
            </w:r>
            <w:proofErr w:type="spellStart"/>
            <w:r>
              <w:rPr>
                <w:sz w:val="18"/>
                <w:szCs w:val="18"/>
              </w:rPr>
              <w:t>deserialize</w:t>
            </w:r>
            <w:proofErr w:type="spellEnd"/>
            <w:r>
              <w:rPr>
                <w:sz w:val="18"/>
                <w:szCs w:val="18"/>
              </w:rPr>
              <w:t xml:space="preserve"> into Transaction; verify against embedded Kafka.</w:t>
            </w:r>
          </w:p>
        </w:tc>
        <w:tc>
          <w:tcPr>
            <w:tcW w:w="10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1 day</w:t>
            </w:r>
          </w:p>
        </w:tc>
        <w:tc>
          <w:tcPr>
            <w:tcW w:w="16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Phase 0</w:t>
            </w:r>
          </w:p>
        </w:tc>
      </w:tr>
      <w:tr w:rsidR="006556B8">
        <w:tblPrEx>
          <w:tblCellMar>
            <w:top w:w="0" w:type="dxa"/>
            <w:bottom w:w="0" w:type="dxa"/>
          </w:tblCellMar>
        </w:tblPrEx>
        <w:tc>
          <w:tcPr>
            <w:tcW w:w="14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Phase 2 Task 3</w:t>
            </w:r>
          </w:p>
        </w:tc>
        <w:tc>
          <w:tcPr>
            <w:tcW w:w="2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Validation &amp; persistence working</w:t>
            </w:r>
          </w:p>
        </w:tc>
        <w:tc>
          <w:tcPr>
            <w:tcW w:w="29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 xml:space="preserve">Define </w:t>
            </w:r>
            <w:proofErr w:type="spellStart"/>
            <w:r>
              <w:rPr>
                <w:sz w:val="18"/>
                <w:szCs w:val="18"/>
              </w:rPr>
              <w:t>TransactionRecord</w:t>
            </w:r>
            <w:proofErr w:type="spellEnd"/>
            <w:r>
              <w:rPr>
                <w:sz w:val="18"/>
                <w:szCs w:val="18"/>
              </w:rPr>
              <w:t xml:space="preserve"> entity and User relationships; implement VR-01–VR-03; implement balance debit/credit; verify via debugger.</w:t>
            </w:r>
          </w:p>
        </w:tc>
        <w:tc>
          <w:tcPr>
            <w:tcW w:w="10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1.5 days</w:t>
            </w:r>
          </w:p>
        </w:tc>
        <w:tc>
          <w:tcPr>
            <w:tcW w:w="16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Phase 1</w:t>
            </w:r>
          </w:p>
        </w:tc>
      </w:tr>
      <w:tr w:rsidR="006556B8">
        <w:tblPrEx>
          <w:tblCellMar>
            <w:top w:w="0" w:type="dxa"/>
            <w:bottom w:w="0" w:type="dxa"/>
          </w:tblCellMar>
        </w:tblPrEx>
        <w:tc>
          <w:tcPr>
            <w:tcW w:w="14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Phase 3 Task 4</w:t>
            </w:r>
          </w:p>
        </w:tc>
        <w:tc>
          <w:tcPr>
            <w:tcW w:w="2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Incentive enrichment working</w:t>
            </w:r>
          </w:p>
        </w:tc>
        <w:tc>
          <w:tcPr>
            <w:tcW w:w="29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 xml:space="preserve">Implement Incentive DTO and client; call POST /incentive via </w:t>
            </w:r>
            <w:proofErr w:type="spellStart"/>
            <w:r>
              <w:rPr>
                <w:sz w:val="18"/>
                <w:szCs w:val="18"/>
              </w:rPr>
              <w:t>RestTemplate</w:t>
            </w:r>
            <w:proofErr w:type="spellEnd"/>
            <w:r>
              <w:rPr>
                <w:sz w:val="18"/>
                <w:szCs w:val="18"/>
              </w:rPr>
              <w:t>; apply incentive to recipient only.</w:t>
            </w:r>
          </w:p>
        </w:tc>
        <w:tc>
          <w:tcPr>
            <w:tcW w:w="10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1 day</w:t>
            </w:r>
          </w:p>
        </w:tc>
        <w:tc>
          <w:tcPr>
            <w:tcW w:w="16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Phase 2</w:t>
            </w:r>
          </w:p>
        </w:tc>
      </w:tr>
      <w:tr w:rsidR="006556B8">
        <w:tblPrEx>
          <w:tblCellMar>
            <w:top w:w="0" w:type="dxa"/>
            <w:bottom w:w="0" w:type="dxa"/>
          </w:tblCellMar>
        </w:tblPrEx>
        <w:tc>
          <w:tcPr>
            <w:tcW w:w="14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Phase 4 Task 5</w:t>
            </w:r>
          </w:p>
        </w:tc>
        <w:tc>
          <w:tcPr>
            <w:tcW w:w="2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Balance API exposed</w:t>
            </w:r>
          </w:p>
        </w:tc>
        <w:tc>
          <w:tcPr>
            <w:tcW w:w="29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 xml:space="preserve">Implement </w:t>
            </w:r>
            <w:proofErr w:type="spellStart"/>
            <w:r>
              <w:rPr>
                <w:sz w:val="18"/>
                <w:szCs w:val="18"/>
              </w:rPr>
              <w:t>BalanceController</w:t>
            </w:r>
            <w:proofErr w:type="spellEnd"/>
            <w:r>
              <w:rPr>
                <w:sz w:val="18"/>
                <w:szCs w:val="18"/>
              </w:rPr>
              <w:t>; configure port 33400; verify concurrent operation with listener.</w:t>
            </w:r>
          </w:p>
        </w:tc>
        <w:tc>
          <w:tcPr>
            <w:tcW w:w="10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0.5 day</w:t>
            </w:r>
          </w:p>
        </w:tc>
        <w:tc>
          <w:tcPr>
            <w:tcW w:w="16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Phase 3</w:t>
            </w:r>
          </w:p>
        </w:tc>
      </w:tr>
      <w:tr w:rsidR="006556B8">
        <w:tblPrEx>
          <w:tblCellMar>
            <w:top w:w="0" w:type="dxa"/>
            <w:bottom w:w="0" w:type="dxa"/>
          </w:tblCellMar>
        </w:tblPrEx>
        <w:tc>
          <w:tcPr>
            <w:tcW w:w="14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Phase 5 (Recommended, beyond current brief)</w:t>
            </w:r>
          </w:p>
        </w:tc>
        <w:tc>
          <w:tcPr>
            <w:tcW w:w="2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Production-readiness hardening</w:t>
            </w:r>
          </w:p>
        </w:tc>
        <w:tc>
          <w:tcPr>
            <w:tcW w:w="29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 xml:space="preserve">Address Risk Register items R-01–R-10: timeouts/circuit breaker, idempotency, </w:t>
            </w:r>
            <w:proofErr w:type="spellStart"/>
            <w:r>
              <w:rPr>
                <w:sz w:val="18"/>
                <w:szCs w:val="18"/>
              </w:rPr>
              <w:t>BigDecimal</w:t>
            </w:r>
            <w:proofErr w:type="spellEnd"/>
            <w:r>
              <w:rPr>
                <w:sz w:val="18"/>
                <w:szCs w:val="18"/>
              </w:rPr>
              <w:t xml:space="preserve"> migration, </w:t>
            </w:r>
            <w:proofErr w:type="spellStart"/>
            <w:r>
              <w:rPr>
                <w:sz w:val="18"/>
                <w:szCs w:val="18"/>
              </w:rPr>
              <w:t>auth</w:t>
            </w:r>
            <w:proofErr w:type="spellEnd"/>
            <w:r>
              <w:rPr>
                <w:sz w:val="18"/>
                <w:szCs w:val="18"/>
              </w:rPr>
              <w:t>, structured logging.</w:t>
            </w:r>
          </w:p>
        </w:tc>
        <w:tc>
          <w:tcPr>
            <w:tcW w:w="10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2–3 days</w:t>
            </w:r>
          </w:p>
        </w:tc>
        <w:tc>
          <w:tcPr>
            <w:tcW w:w="16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Phase 4</w:t>
            </w:r>
          </w:p>
        </w:tc>
      </w:tr>
    </w:tbl>
    <w:p w:rsidR="006556B8" w:rsidRDefault="00A65B26">
      <w:pPr>
        <w:spacing w:before="100" w:after="240"/>
        <w:jc w:val="center"/>
      </w:pPr>
      <w:r>
        <w:rPr>
          <w:i/>
          <w:iCs/>
          <w:color w:val="5B6577"/>
          <w:sz w:val="19"/>
          <w:szCs w:val="19"/>
        </w:rPr>
        <w:t>Phase 5 is not part of the original five-task brief; it is included because a document claiming industry-standard completeness should not stop at "tests pass" without naming what production hardening would require.</w:t>
      </w:r>
    </w:p>
    <w:p w:rsidR="006556B8" w:rsidRDefault="00A65B26">
      <w:pPr>
        <w:pStyle w:val="Heading2"/>
        <w:spacing w:before="300" w:after="140"/>
      </w:pPr>
      <w:proofErr w:type="gramStart"/>
      <w:r>
        <w:rPr>
          <w:b/>
          <w:bCs/>
          <w:color w:val="1F2A44"/>
          <w:sz w:val="24"/>
          <w:szCs w:val="24"/>
        </w:rPr>
        <w:t>5.3  Timeline</w:t>
      </w:r>
      <w:proofErr w:type="gram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50"/>
      </w:tblGrid>
      <w:tr w:rsidR="006556B8">
        <w:tblPrEx>
          <w:tblCellMar>
            <w:top w:w="0" w:type="dxa"/>
            <w:bottom w:w="0" w:type="dxa"/>
          </w:tblCellMar>
        </w:tblPrEx>
        <w:trPr>
          <w:tblHeader/>
        </w:trPr>
        <w:tc>
          <w:tcPr>
            <w:tcW w:w="23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Day</w:t>
            </w:r>
          </w:p>
        </w:tc>
        <w:tc>
          <w:tcPr>
            <w:tcW w:w="70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Focus</w:t>
            </w:r>
          </w:p>
        </w:tc>
      </w:tr>
      <w:tr w:rsidR="006556B8">
        <w:tblPrEx>
          <w:tblCellMar>
            <w:top w:w="0" w:type="dxa"/>
            <w:bottom w:w="0" w:type="dxa"/>
          </w:tblCellMar>
        </w:tblPrEx>
        <w:tc>
          <w:tcPr>
            <w:tcW w:w="2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Day 1</w:t>
            </w:r>
          </w:p>
        </w:tc>
        <w:tc>
          <w:tcPr>
            <w:tcW w:w="70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Phase 0 — environment setup and baseline build verification.</w:t>
            </w:r>
          </w:p>
        </w:tc>
      </w:tr>
      <w:tr w:rsidR="006556B8">
        <w:tblPrEx>
          <w:tblCellMar>
            <w:top w:w="0" w:type="dxa"/>
            <w:bottom w:w="0" w:type="dxa"/>
          </w:tblCellMar>
        </w:tblPrEx>
        <w:tc>
          <w:tcPr>
            <w:tcW w:w="2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Day 2</w:t>
            </w:r>
          </w:p>
        </w:tc>
        <w:tc>
          <w:tcPr>
            <w:tcW w:w="70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 xml:space="preserve">Phase 1 — Kafka listener implementation and </w:t>
            </w:r>
            <w:proofErr w:type="spellStart"/>
            <w:r>
              <w:rPr>
                <w:sz w:val="18"/>
                <w:szCs w:val="18"/>
              </w:rPr>
              <w:t>TaskTwoTests</w:t>
            </w:r>
            <w:proofErr w:type="spellEnd"/>
            <w:r>
              <w:rPr>
                <w:sz w:val="18"/>
                <w:szCs w:val="18"/>
              </w:rPr>
              <w:t xml:space="preserve"> passing.</w:t>
            </w:r>
          </w:p>
        </w:tc>
      </w:tr>
      <w:tr w:rsidR="006556B8">
        <w:tblPrEx>
          <w:tblCellMar>
            <w:top w:w="0" w:type="dxa"/>
            <w:bottom w:w="0" w:type="dxa"/>
          </w:tblCellMar>
        </w:tblPrEx>
        <w:tc>
          <w:tcPr>
            <w:tcW w:w="2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Day 3–4</w:t>
            </w:r>
          </w:p>
        </w:tc>
        <w:tc>
          <w:tcPr>
            <w:tcW w:w="70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 xml:space="preserve">Phase 2 — entity modeling, validation logic, </w:t>
            </w:r>
            <w:proofErr w:type="spellStart"/>
            <w:r>
              <w:rPr>
                <w:sz w:val="18"/>
                <w:szCs w:val="18"/>
              </w:rPr>
              <w:t>TaskThreeTests</w:t>
            </w:r>
            <w:proofErr w:type="spellEnd"/>
            <w:r>
              <w:rPr>
                <w:sz w:val="18"/>
                <w:szCs w:val="18"/>
              </w:rPr>
              <w:t xml:space="preserve"> passing.</w:t>
            </w:r>
          </w:p>
        </w:tc>
      </w:tr>
      <w:tr w:rsidR="006556B8">
        <w:tblPrEx>
          <w:tblCellMar>
            <w:top w:w="0" w:type="dxa"/>
            <w:bottom w:w="0" w:type="dxa"/>
          </w:tblCellMar>
        </w:tblPrEx>
        <w:tc>
          <w:tcPr>
            <w:tcW w:w="2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Day 5</w:t>
            </w:r>
          </w:p>
        </w:tc>
        <w:tc>
          <w:tcPr>
            <w:tcW w:w="70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 xml:space="preserve">Phase 3 — Incentive API integration, </w:t>
            </w:r>
            <w:proofErr w:type="spellStart"/>
            <w:r>
              <w:rPr>
                <w:sz w:val="18"/>
                <w:szCs w:val="18"/>
              </w:rPr>
              <w:t>TaskFourTests</w:t>
            </w:r>
            <w:proofErr w:type="spellEnd"/>
            <w:r>
              <w:rPr>
                <w:sz w:val="18"/>
                <w:szCs w:val="18"/>
              </w:rPr>
              <w:t xml:space="preserve"> passing.</w:t>
            </w:r>
          </w:p>
        </w:tc>
      </w:tr>
      <w:tr w:rsidR="006556B8">
        <w:tblPrEx>
          <w:tblCellMar>
            <w:top w:w="0" w:type="dxa"/>
            <w:bottom w:w="0" w:type="dxa"/>
          </w:tblCellMar>
        </w:tblPrEx>
        <w:tc>
          <w:tcPr>
            <w:tcW w:w="2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Day 6</w:t>
            </w:r>
          </w:p>
        </w:tc>
        <w:tc>
          <w:tcPr>
            <w:tcW w:w="70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 xml:space="preserve">Phase 4 — REST controller, </w:t>
            </w:r>
            <w:proofErr w:type="spellStart"/>
            <w:r>
              <w:rPr>
                <w:sz w:val="18"/>
                <w:szCs w:val="18"/>
              </w:rPr>
              <w:t>TaskFiveTests</w:t>
            </w:r>
            <w:proofErr w:type="spellEnd"/>
            <w:r>
              <w:rPr>
                <w:sz w:val="18"/>
                <w:szCs w:val="18"/>
              </w:rPr>
              <w:t xml:space="preserve"> passing, full regression run.</w:t>
            </w:r>
          </w:p>
        </w:tc>
      </w:tr>
      <w:tr w:rsidR="006556B8">
        <w:tblPrEx>
          <w:tblCellMar>
            <w:top w:w="0" w:type="dxa"/>
            <w:bottom w:w="0" w:type="dxa"/>
          </w:tblCellMar>
        </w:tblPrEx>
        <w:tc>
          <w:tcPr>
            <w:tcW w:w="2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Day 7</w:t>
            </w:r>
          </w:p>
        </w:tc>
        <w:tc>
          <w:tcPr>
            <w:tcW w:w="70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Buffer, documentation, and review.</w:t>
            </w:r>
          </w:p>
        </w:tc>
      </w:tr>
      <w:tr w:rsidR="006556B8">
        <w:tblPrEx>
          <w:tblCellMar>
            <w:top w:w="0" w:type="dxa"/>
            <w:bottom w:w="0" w:type="dxa"/>
          </w:tblCellMar>
        </w:tblPrEx>
        <w:tc>
          <w:tcPr>
            <w:tcW w:w="2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lastRenderedPageBreak/>
              <w:t>Day 8–10 (optional)</w:t>
            </w:r>
          </w:p>
        </w:tc>
        <w:tc>
          <w:tcPr>
            <w:tcW w:w="70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Phase 5 — hardening items, if scope is extended beyond the simulation brief.</w:t>
            </w:r>
          </w:p>
        </w:tc>
      </w:tr>
    </w:tbl>
    <w:p w:rsidR="006556B8" w:rsidRDefault="00A65B26">
      <w:pPr>
        <w:pStyle w:val="Heading2"/>
        <w:spacing w:before="300" w:after="140"/>
      </w:pPr>
      <w:proofErr w:type="gramStart"/>
      <w:r>
        <w:rPr>
          <w:b/>
          <w:bCs/>
          <w:color w:val="1F2A44"/>
          <w:sz w:val="24"/>
          <w:szCs w:val="24"/>
        </w:rPr>
        <w:t>5.4  Roles</w:t>
      </w:r>
      <w:proofErr w:type="gramEnd"/>
      <w:r>
        <w:rPr>
          <w:b/>
          <w:bCs/>
          <w:color w:val="1F2A44"/>
          <w:sz w:val="24"/>
          <w:szCs w:val="24"/>
        </w:rPr>
        <w:t xml:space="preserve"> and Responsibilities (RACI)</w:t>
      </w:r>
    </w:p>
    <w:p w:rsidR="006556B8" w:rsidRDefault="00A65B26">
      <w:pPr>
        <w:spacing w:after="160" w:line="276" w:lineRule="auto"/>
        <w:jc w:val="both"/>
      </w:pPr>
      <w:r>
        <w:t>This simulation is completed by a single contributor, who fulfills the Developer and QA roles concurrently. The RACI matrix below is provided as the standard project artifact and reflects how responsibility would be distributed on a staffed team.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150"/>
        <w:gridCol w:w="2150"/>
        <w:gridCol w:w="2150"/>
      </w:tblGrid>
      <w:tr w:rsidR="006556B8">
        <w:tblPrEx>
          <w:tblCellMar>
            <w:top w:w="0" w:type="dxa"/>
            <w:bottom w:w="0" w:type="dxa"/>
          </w:tblCellMar>
        </w:tblPrEx>
        <w:trPr>
          <w:tblHeader/>
        </w:trPr>
        <w:tc>
          <w:tcPr>
            <w:tcW w:w="29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Activity</w:t>
            </w:r>
          </w:p>
        </w:tc>
        <w:tc>
          <w:tcPr>
            <w:tcW w:w="21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Product Owner</w:t>
            </w:r>
          </w:p>
        </w:tc>
        <w:tc>
          <w:tcPr>
            <w:tcW w:w="21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Tech Lead / Developer</w:t>
            </w:r>
          </w:p>
        </w:tc>
        <w:tc>
          <w:tcPr>
            <w:tcW w:w="21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QA / Reviewer</w:t>
            </w:r>
          </w:p>
        </w:tc>
      </w:tr>
      <w:tr w:rsidR="006556B8">
        <w:tblPrEx>
          <w:tblCellMar>
            <w:top w:w="0" w:type="dxa"/>
            <w:bottom w:w="0" w:type="dxa"/>
          </w:tblCellMar>
        </w:tblPrEx>
        <w:tc>
          <w:tcPr>
            <w:tcW w:w="29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Requirements sign-off (PRD)</w:t>
            </w:r>
          </w:p>
        </w:tc>
        <w:tc>
          <w:tcPr>
            <w:tcW w:w="21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w:t>
            </w:r>
          </w:p>
        </w:tc>
        <w:tc>
          <w:tcPr>
            <w:tcW w:w="21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C</w:t>
            </w:r>
          </w:p>
        </w:tc>
        <w:tc>
          <w:tcPr>
            <w:tcW w:w="21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w:t>
            </w:r>
          </w:p>
        </w:tc>
      </w:tr>
      <w:tr w:rsidR="006556B8">
        <w:tblPrEx>
          <w:tblCellMar>
            <w:top w:w="0" w:type="dxa"/>
            <w:bottom w:w="0" w:type="dxa"/>
          </w:tblCellMar>
        </w:tblPrEx>
        <w:tc>
          <w:tcPr>
            <w:tcW w:w="29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Architecture &amp; design (TRD)</w:t>
            </w:r>
          </w:p>
        </w:tc>
        <w:tc>
          <w:tcPr>
            <w:tcW w:w="21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I</w:t>
            </w:r>
          </w:p>
        </w:tc>
        <w:tc>
          <w:tcPr>
            <w:tcW w:w="21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A / R</w:t>
            </w:r>
          </w:p>
        </w:tc>
        <w:tc>
          <w:tcPr>
            <w:tcW w:w="21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C</w:t>
            </w:r>
          </w:p>
        </w:tc>
      </w:tr>
      <w:tr w:rsidR="006556B8">
        <w:tblPrEx>
          <w:tblCellMar>
            <w:top w:w="0" w:type="dxa"/>
            <w:bottom w:w="0" w:type="dxa"/>
          </w:tblCellMar>
        </w:tblPrEx>
        <w:tc>
          <w:tcPr>
            <w:tcW w:w="29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Implementation (Tasks 1–5)</w:t>
            </w:r>
          </w:p>
        </w:tc>
        <w:tc>
          <w:tcPr>
            <w:tcW w:w="21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w:t>
            </w:r>
          </w:p>
        </w:tc>
        <w:tc>
          <w:tcPr>
            <w:tcW w:w="21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 / R</w:t>
            </w:r>
          </w:p>
        </w:tc>
        <w:tc>
          <w:tcPr>
            <w:tcW w:w="21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w:t>
            </w:r>
          </w:p>
        </w:tc>
      </w:tr>
      <w:tr w:rsidR="006556B8">
        <w:tblPrEx>
          <w:tblCellMar>
            <w:top w:w="0" w:type="dxa"/>
            <w:bottom w:w="0" w:type="dxa"/>
          </w:tblCellMar>
        </w:tblPrEx>
        <w:tc>
          <w:tcPr>
            <w:tcW w:w="29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Test execution &amp; verification</w:t>
            </w:r>
          </w:p>
        </w:tc>
        <w:tc>
          <w:tcPr>
            <w:tcW w:w="21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I</w:t>
            </w:r>
          </w:p>
        </w:tc>
        <w:tc>
          <w:tcPr>
            <w:tcW w:w="21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R</w:t>
            </w:r>
          </w:p>
        </w:tc>
        <w:tc>
          <w:tcPr>
            <w:tcW w:w="21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A</w:t>
            </w:r>
          </w:p>
        </w:tc>
      </w:tr>
      <w:tr w:rsidR="006556B8">
        <w:tblPrEx>
          <w:tblCellMar>
            <w:top w:w="0" w:type="dxa"/>
            <w:bottom w:w="0" w:type="dxa"/>
          </w:tblCellMar>
        </w:tblPrEx>
        <w:tc>
          <w:tcPr>
            <w:tcW w:w="29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Risk register review</w:t>
            </w:r>
          </w:p>
        </w:tc>
        <w:tc>
          <w:tcPr>
            <w:tcW w:w="21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C</w:t>
            </w:r>
          </w:p>
        </w:tc>
        <w:tc>
          <w:tcPr>
            <w:tcW w:w="21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w:t>
            </w:r>
          </w:p>
        </w:tc>
        <w:tc>
          <w:tcPr>
            <w:tcW w:w="21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w:t>
            </w:r>
          </w:p>
        </w:tc>
      </w:tr>
    </w:tbl>
    <w:p w:rsidR="006556B8" w:rsidRDefault="00A65B26">
      <w:pPr>
        <w:spacing w:before="100" w:after="240"/>
        <w:jc w:val="center"/>
      </w:pPr>
      <w:r>
        <w:rPr>
          <w:i/>
          <w:iCs/>
          <w:color w:val="5B6577"/>
          <w:sz w:val="19"/>
          <w:szCs w:val="19"/>
        </w:rPr>
        <w:t xml:space="preserve">R = Responsible, </w:t>
      </w:r>
      <w:proofErr w:type="gramStart"/>
      <w:r>
        <w:rPr>
          <w:i/>
          <w:iCs/>
          <w:color w:val="5B6577"/>
          <w:sz w:val="19"/>
          <w:szCs w:val="19"/>
        </w:rPr>
        <w:t>A</w:t>
      </w:r>
      <w:proofErr w:type="gramEnd"/>
      <w:r>
        <w:rPr>
          <w:i/>
          <w:iCs/>
          <w:color w:val="5B6577"/>
          <w:sz w:val="19"/>
          <w:szCs w:val="19"/>
        </w:rPr>
        <w:t xml:space="preserve"> = Accountable, C = Consulted, I = Informed.</w:t>
      </w:r>
    </w:p>
    <w:p w:rsidR="006556B8" w:rsidRDefault="00A65B26">
      <w:pPr>
        <w:pStyle w:val="Heading2"/>
        <w:spacing w:before="300" w:after="140"/>
      </w:pPr>
      <w:proofErr w:type="gramStart"/>
      <w:r>
        <w:rPr>
          <w:b/>
          <w:bCs/>
          <w:color w:val="1F2A44"/>
          <w:sz w:val="24"/>
          <w:szCs w:val="24"/>
        </w:rPr>
        <w:t>5.5  Definition</w:t>
      </w:r>
      <w:proofErr w:type="gramEnd"/>
      <w:r>
        <w:rPr>
          <w:b/>
          <w:bCs/>
          <w:color w:val="1F2A44"/>
          <w:sz w:val="24"/>
          <w:szCs w:val="24"/>
        </w:rPr>
        <w:t xml:space="preserve"> of Done</w:t>
      </w:r>
    </w:p>
    <w:p w:rsidR="006556B8" w:rsidRDefault="00A65B26">
      <w:pPr>
        <w:pStyle w:val="ListParagraph"/>
        <w:numPr>
          <w:ilvl w:val="0"/>
          <w:numId w:val="1"/>
        </w:numPr>
        <w:spacing w:after="80" w:line="264" w:lineRule="auto"/>
      </w:pPr>
      <w:r>
        <w:t>All five task-specific automated test suites pass (</w:t>
      </w:r>
      <w:proofErr w:type="spellStart"/>
      <w:r>
        <w:t>mvn</w:t>
      </w:r>
      <w:proofErr w:type="spellEnd"/>
      <w:r>
        <w:t xml:space="preserve"> clean install green end to end).</w:t>
      </w:r>
    </w:p>
    <w:p w:rsidR="006556B8" w:rsidRDefault="00A65B26">
      <w:pPr>
        <w:pStyle w:val="ListParagraph"/>
        <w:numPr>
          <w:ilvl w:val="0"/>
          <w:numId w:val="1"/>
        </w:numPr>
        <w:spacing w:after="80" w:line="264" w:lineRule="auto"/>
      </w:pPr>
      <w:r>
        <w:t>BEGIN/END console output captured for each task per program submission requirements.</w:t>
      </w:r>
    </w:p>
    <w:p w:rsidR="006556B8" w:rsidRDefault="00A65B26">
      <w:pPr>
        <w:pStyle w:val="ListParagraph"/>
        <w:numPr>
          <w:ilvl w:val="0"/>
          <w:numId w:val="1"/>
        </w:numPr>
        <w:spacing w:after="80" w:line="264" w:lineRule="auto"/>
      </w:pPr>
      <w:r>
        <w:t>Sender and recipient balances verified correct via debugger inspection for the required scenarios.</w:t>
      </w:r>
    </w:p>
    <w:p w:rsidR="006556B8" w:rsidRDefault="00A65B26">
      <w:pPr>
        <w:pStyle w:val="ListParagraph"/>
        <w:numPr>
          <w:ilvl w:val="0"/>
          <w:numId w:val="1"/>
        </w:numPr>
        <w:spacing w:after="80" w:line="264" w:lineRule="auto"/>
      </w:pPr>
      <w:r>
        <w:t>Incentive amount confirmed applied to recipient only, never to sender.</w:t>
      </w:r>
    </w:p>
    <w:p w:rsidR="006556B8" w:rsidRDefault="00A65B26">
      <w:pPr>
        <w:pStyle w:val="ListParagraph"/>
        <w:numPr>
          <w:ilvl w:val="0"/>
          <w:numId w:val="1"/>
        </w:numPr>
        <w:spacing w:after="80" w:line="264" w:lineRule="auto"/>
      </w:pPr>
      <w:r>
        <w:t>G</w:t>
      </w:r>
      <w:r>
        <w:t>ET /balance verified functioning correctly while the Kafka listener is concurrently active.</w:t>
      </w:r>
    </w:p>
    <w:p w:rsidR="006556B8" w:rsidRDefault="00A65B26">
      <w:pPr>
        <w:pStyle w:val="ListParagraph"/>
        <w:numPr>
          <w:ilvl w:val="0"/>
          <w:numId w:val="1"/>
        </w:numPr>
        <w:spacing w:after="80" w:line="264" w:lineRule="auto"/>
      </w:pPr>
      <w:r>
        <w:t xml:space="preserve">Transaction, </w:t>
      </w:r>
      <w:proofErr w:type="spellStart"/>
      <w:r>
        <w:t>Balance.toString</w:t>
      </w:r>
      <w:proofErr w:type="spellEnd"/>
      <w:r>
        <w:t>(), and other scaffold-provided contracts left unmodified.</w:t>
      </w:r>
    </w:p>
    <w:p w:rsidR="006556B8" w:rsidRDefault="00A65B26">
      <w:pPr>
        <w:pStyle w:val="ListParagraph"/>
        <w:numPr>
          <w:ilvl w:val="0"/>
          <w:numId w:val="1"/>
        </w:numPr>
        <w:spacing w:after="80" w:line="264" w:lineRule="auto"/>
      </w:pPr>
      <w:r>
        <w:t>This document's Risk Register reviewed and consciously accepted or scheduled</w:t>
      </w:r>
      <w:r>
        <w:t>, not silently ignored.</w:t>
      </w:r>
    </w:p>
    <w:p w:rsidR="006556B8" w:rsidRDefault="00A65B26">
      <w:pPr>
        <w:pStyle w:val="Heading2"/>
        <w:spacing w:before="300" w:after="140"/>
      </w:pPr>
      <w:proofErr w:type="gramStart"/>
      <w:r>
        <w:rPr>
          <w:b/>
          <w:bCs/>
          <w:color w:val="1F2A44"/>
          <w:sz w:val="24"/>
          <w:szCs w:val="24"/>
        </w:rPr>
        <w:t>5.6  Deployment</w:t>
      </w:r>
      <w:proofErr w:type="gramEnd"/>
      <w:r>
        <w:rPr>
          <w:b/>
          <w:bCs/>
          <w:color w:val="1F2A44"/>
          <w:sz w:val="24"/>
          <w:szCs w:val="24"/>
        </w:rPr>
        <w:t xml:space="preserve"> and Environment Strategy</w:t>
      </w:r>
    </w:p>
    <w:p w:rsidR="006556B8" w:rsidRDefault="00A65B26">
      <w:pPr>
        <w:spacing w:after="160" w:line="276" w:lineRule="auto"/>
        <w:jc w:val="both"/>
      </w:pPr>
      <w:r>
        <w:t>The current scope targets a local development/test environment only: H2 in-memory database, embedded Kafka for tests, and the Incentive API JAR run manually from services/. No CI/CD pipeline,</w:t>
      </w:r>
      <w:r>
        <w:t xml:space="preserve"> containerization, or cloud deployment target is defined in this simulation. For any real deployment beyond the simulation, the standard next steps would be: containerize the service, externalize configuration per environment (dev/staging/prod), replace H2</w:t>
      </w:r>
      <w:r>
        <w:t xml:space="preserve"> with a managed relational database, and stand up the Incentive API as an independently deployed and versioned service — all consistent with the architecture already established in Section 3.1.</w:t>
      </w:r>
    </w:p>
    <w:p w:rsidR="006556B8" w:rsidRDefault="00A65B26">
      <w:pPr>
        <w:pStyle w:val="Heading2"/>
        <w:spacing w:before="300" w:after="140"/>
      </w:pPr>
      <w:proofErr w:type="gramStart"/>
      <w:r>
        <w:rPr>
          <w:b/>
          <w:bCs/>
          <w:color w:val="1F2A44"/>
          <w:sz w:val="24"/>
          <w:szCs w:val="24"/>
        </w:rPr>
        <w:t>5.7  RAID</w:t>
      </w:r>
      <w:proofErr w:type="gramEnd"/>
      <w:r>
        <w:rPr>
          <w:b/>
          <w:bCs/>
          <w:color w:val="1F2A44"/>
          <w:sz w:val="24"/>
          <w:szCs w:val="24"/>
        </w:rPr>
        <w:t xml:space="preserve"> Log</w:t>
      </w:r>
    </w:p>
    <w:p w:rsidR="006556B8" w:rsidRDefault="00A65B26">
      <w:pPr>
        <w:spacing w:after="160" w:line="276" w:lineRule="auto"/>
        <w:jc w:val="both"/>
      </w:pPr>
      <w:r>
        <w:t>Open questions from the initial project-understa</w:t>
      </w:r>
      <w:r>
        <w:t>nding phase are tracked here as a formal RAID log (Risks, Assumptions, Issues, Dependencies) rather than left as an informal checklist, so that each item has an explicit owner and status.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300"/>
        <w:gridCol w:w="4300"/>
        <w:gridCol w:w="1400"/>
        <w:gridCol w:w="1300"/>
      </w:tblGrid>
      <w:tr w:rsidR="006556B8">
        <w:tblPrEx>
          <w:tblCellMar>
            <w:top w:w="0" w:type="dxa"/>
            <w:bottom w:w="0" w:type="dxa"/>
          </w:tblCellMar>
        </w:tblPrEx>
        <w:trPr>
          <w:tblHeader/>
        </w:trPr>
        <w:tc>
          <w:tcPr>
            <w:tcW w:w="10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lastRenderedPageBreak/>
              <w:t>ID</w:t>
            </w:r>
          </w:p>
        </w:tc>
        <w:tc>
          <w:tcPr>
            <w:tcW w:w="13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Type</w:t>
            </w:r>
          </w:p>
        </w:tc>
        <w:tc>
          <w:tcPr>
            <w:tcW w:w="43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Description</w:t>
            </w:r>
          </w:p>
        </w:tc>
        <w:tc>
          <w:tcPr>
            <w:tcW w:w="14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Owner</w:t>
            </w:r>
          </w:p>
        </w:tc>
        <w:tc>
          <w:tcPr>
            <w:tcW w:w="13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Status</w:t>
            </w:r>
          </w:p>
        </w:tc>
      </w:tr>
      <w:tr w:rsidR="006556B8">
        <w:tblPrEx>
          <w:tblCellMar>
            <w:top w:w="0" w:type="dxa"/>
            <w:bottom w:w="0" w:type="dxa"/>
          </w:tblCellMar>
        </w:tblPrEx>
        <w:tc>
          <w:tcPr>
            <w:tcW w:w="10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RAID-01</w:t>
            </w:r>
          </w:p>
        </w:tc>
        <w:tc>
          <w:tcPr>
            <w:tcW w:w="1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Issue</w:t>
            </w:r>
          </w:p>
        </w:tc>
        <w:tc>
          <w:tcPr>
            <w:tcW w:w="4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Unconfirmed whether the provided scaffold already includes a User entity annotated with @Entity, or whether it must be authored from scratch.</w:t>
            </w:r>
          </w:p>
        </w:tc>
        <w:tc>
          <w:tcPr>
            <w:tcW w:w="14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Developer</w:t>
            </w:r>
          </w:p>
        </w:tc>
        <w:tc>
          <w:tcPr>
            <w:tcW w:w="1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Open</w:t>
            </w:r>
          </w:p>
        </w:tc>
      </w:tr>
      <w:tr w:rsidR="006556B8">
        <w:tblPrEx>
          <w:tblCellMar>
            <w:top w:w="0" w:type="dxa"/>
            <w:bottom w:w="0" w:type="dxa"/>
          </w:tblCellMar>
        </w:tblPrEx>
        <w:tc>
          <w:tcPr>
            <w:tcW w:w="10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RAID-02</w:t>
            </w:r>
          </w:p>
        </w:tc>
        <w:tc>
          <w:tcPr>
            <w:tcW w:w="1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Dependency</w:t>
            </w:r>
          </w:p>
        </w:tc>
        <w:tc>
          <w:tcPr>
            <w:tcW w:w="4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 xml:space="preserve">Unconfirmed whether a </w:t>
            </w:r>
            <w:proofErr w:type="spellStart"/>
            <w:r>
              <w:rPr>
                <w:sz w:val="18"/>
                <w:szCs w:val="18"/>
              </w:rPr>
              <w:t>data.sql</w:t>
            </w:r>
            <w:proofErr w:type="spellEnd"/>
            <w:r>
              <w:rPr>
                <w:sz w:val="18"/>
                <w:szCs w:val="18"/>
              </w:rPr>
              <w:t xml:space="preserve"> seed file for initial user data is provided, or must be authored for tests to have accounts to reference.</w:t>
            </w:r>
          </w:p>
        </w:tc>
        <w:tc>
          <w:tcPr>
            <w:tcW w:w="14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Developer</w:t>
            </w:r>
          </w:p>
        </w:tc>
        <w:tc>
          <w:tcPr>
            <w:tcW w:w="1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Open</w:t>
            </w:r>
          </w:p>
        </w:tc>
      </w:tr>
      <w:tr w:rsidR="006556B8">
        <w:tblPrEx>
          <w:tblCellMar>
            <w:top w:w="0" w:type="dxa"/>
            <w:bottom w:w="0" w:type="dxa"/>
          </w:tblCellMar>
        </w:tblPrEx>
        <w:tc>
          <w:tcPr>
            <w:tcW w:w="10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RAID-03</w:t>
            </w:r>
          </w:p>
        </w:tc>
        <w:tc>
          <w:tcPr>
            <w:tcW w:w="1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Assumption</w:t>
            </w:r>
          </w:p>
        </w:tc>
        <w:tc>
          <w:tcPr>
            <w:tcW w:w="4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 xml:space="preserve">Transaction class is assumed to contain, at minimum, </w:t>
            </w:r>
            <w:proofErr w:type="spellStart"/>
            <w:r>
              <w:rPr>
                <w:sz w:val="18"/>
                <w:szCs w:val="18"/>
              </w:rPr>
              <w:t>senderId</w:t>
            </w:r>
            <w:proofErr w:type="spellEnd"/>
            <w:r>
              <w:rPr>
                <w:sz w:val="18"/>
                <w:szCs w:val="18"/>
              </w:rPr>
              <w:t xml:space="preserve">, </w:t>
            </w:r>
            <w:proofErr w:type="spellStart"/>
            <w:r>
              <w:rPr>
                <w:sz w:val="18"/>
                <w:szCs w:val="18"/>
              </w:rPr>
              <w:t>recipientId</w:t>
            </w:r>
            <w:proofErr w:type="spellEnd"/>
            <w:r>
              <w:rPr>
                <w:sz w:val="18"/>
                <w:szCs w:val="18"/>
              </w:rPr>
              <w:t>, and amount; exact field set (including any timestamp) to be confirmed against the scaffold.</w:t>
            </w:r>
          </w:p>
        </w:tc>
        <w:tc>
          <w:tcPr>
            <w:tcW w:w="14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Developer</w:t>
            </w:r>
          </w:p>
        </w:tc>
        <w:tc>
          <w:tcPr>
            <w:tcW w:w="1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Open</w:t>
            </w:r>
          </w:p>
        </w:tc>
      </w:tr>
      <w:tr w:rsidR="006556B8">
        <w:tblPrEx>
          <w:tblCellMar>
            <w:top w:w="0" w:type="dxa"/>
            <w:bottom w:w="0" w:type="dxa"/>
          </w:tblCellMar>
        </w:tblPrEx>
        <w:tc>
          <w:tcPr>
            <w:tcW w:w="10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RAID-04</w:t>
            </w:r>
          </w:p>
        </w:tc>
        <w:tc>
          <w:tcPr>
            <w:tcW w:w="1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Dependency</w:t>
            </w:r>
          </w:p>
        </w:tc>
        <w:tc>
          <w:tcPr>
            <w:tcW w:w="4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Incentive API JAR is assumed to be pre-built and included under services/ in the cloned repository.</w:t>
            </w:r>
          </w:p>
        </w:tc>
        <w:tc>
          <w:tcPr>
            <w:tcW w:w="14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Developer</w:t>
            </w:r>
          </w:p>
        </w:tc>
        <w:tc>
          <w:tcPr>
            <w:tcW w:w="1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Open</w:t>
            </w:r>
          </w:p>
        </w:tc>
      </w:tr>
      <w:tr w:rsidR="006556B8">
        <w:tblPrEx>
          <w:tblCellMar>
            <w:top w:w="0" w:type="dxa"/>
            <w:bottom w:w="0" w:type="dxa"/>
          </w:tblCellMar>
        </w:tblPrEx>
        <w:tc>
          <w:tcPr>
            <w:tcW w:w="10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RAID-05</w:t>
            </w:r>
          </w:p>
        </w:tc>
        <w:tc>
          <w:tcPr>
            <w:tcW w:w="1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Issue</w:t>
            </w:r>
          </w:p>
        </w:tc>
        <w:tc>
          <w:tcPr>
            <w:tcW w:w="4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Unconfirmed whether the scaffold includes any partially implemented service classes that must be completed rather than authored new.</w:t>
            </w:r>
          </w:p>
        </w:tc>
        <w:tc>
          <w:tcPr>
            <w:tcW w:w="14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Developer</w:t>
            </w:r>
          </w:p>
        </w:tc>
        <w:tc>
          <w:tcPr>
            <w:tcW w:w="13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Open</w:t>
            </w:r>
          </w:p>
        </w:tc>
      </w:tr>
      <w:tr w:rsidR="006556B8">
        <w:tblPrEx>
          <w:tblCellMar>
            <w:top w:w="0" w:type="dxa"/>
            <w:bottom w:w="0" w:type="dxa"/>
          </w:tblCellMar>
        </w:tblPrEx>
        <w:tc>
          <w:tcPr>
            <w:tcW w:w="10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RAID-06</w:t>
            </w:r>
          </w:p>
        </w:tc>
        <w:tc>
          <w:tcPr>
            <w:tcW w:w="1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Risk</w:t>
            </w:r>
          </w:p>
        </w:tc>
        <w:tc>
          <w:tcPr>
            <w:tcW w:w="4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See Section 3.9, Risk Register (R-01 through R-10) for all identified technical risks.</w:t>
            </w:r>
          </w:p>
        </w:tc>
        <w:tc>
          <w:tcPr>
            <w:tcW w:w="14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Tech Lead</w:t>
            </w:r>
          </w:p>
        </w:tc>
        <w:tc>
          <w:tcPr>
            <w:tcW w:w="13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Tracked</w:t>
            </w:r>
          </w:p>
        </w:tc>
      </w:tr>
    </w:tbl>
    <w:p w:rsidR="006556B8" w:rsidRDefault="00A65B26">
      <w:pPr>
        <w:pStyle w:val="Heading2"/>
        <w:spacing w:before="300" w:after="140"/>
      </w:pPr>
      <w:proofErr w:type="gramStart"/>
      <w:r>
        <w:rPr>
          <w:b/>
          <w:bCs/>
          <w:color w:val="1F2A44"/>
          <w:sz w:val="24"/>
          <w:szCs w:val="24"/>
        </w:rPr>
        <w:t>5.8  Rollback</w:t>
      </w:r>
      <w:proofErr w:type="gramEnd"/>
      <w:r>
        <w:rPr>
          <w:b/>
          <w:bCs/>
          <w:color w:val="1F2A44"/>
          <w:sz w:val="24"/>
          <w:szCs w:val="24"/>
        </w:rPr>
        <w:t xml:space="preserve"> and Contingency</w:t>
      </w:r>
    </w:p>
    <w:p w:rsidR="006556B8" w:rsidRDefault="00A65B26">
      <w:pPr>
        <w:spacing w:after="160" w:line="276" w:lineRule="auto"/>
        <w:jc w:val="both"/>
      </w:pPr>
      <w:r>
        <w:t>Because each of the five tasks is independently verifiable and additive, the natural rollback unit is the task boundary: if a given task's tests fail and cannot be resolved within the planned effort, work reverts to the last task with a fully green test su</w:t>
      </w:r>
      <w:r>
        <w:t>ite, and that state is treated as the deliverable baseline while the failing task is revisited. This avoids a partially-working, unverifiable intermediate state ever being treated as "done."</w:t>
      </w:r>
    </w:p>
    <w:p w:rsidR="006556B8" w:rsidRDefault="00A65B26">
      <w:pPr>
        <w:pStyle w:val="Heading1"/>
        <w:pageBreakBefore/>
        <w:pBdr>
          <w:bottom w:val="single" w:sz="8" w:space="6" w:color="1F2A44"/>
        </w:pBdr>
        <w:spacing w:before="240" w:after="160"/>
      </w:pPr>
      <w:r>
        <w:rPr>
          <w:b/>
          <w:bCs/>
          <w:color w:val="1F2A44"/>
          <w:sz w:val="30"/>
          <w:szCs w:val="30"/>
        </w:rPr>
        <w:lastRenderedPageBreak/>
        <w:t>6.  Appendices</w:t>
      </w:r>
    </w:p>
    <w:p w:rsidR="006556B8" w:rsidRDefault="00A65B26">
      <w:pPr>
        <w:pStyle w:val="Heading2"/>
        <w:spacing w:before="300" w:after="140"/>
      </w:pPr>
      <w:proofErr w:type="gramStart"/>
      <w:r>
        <w:rPr>
          <w:b/>
          <w:bCs/>
          <w:color w:val="1F2A44"/>
          <w:sz w:val="24"/>
          <w:szCs w:val="24"/>
        </w:rPr>
        <w:t>6.1  Glossary</w:t>
      </w:r>
      <w:proofErr w:type="gram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0"/>
      </w:tblGrid>
      <w:tr w:rsidR="006556B8">
        <w:tblPrEx>
          <w:tblCellMar>
            <w:top w:w="0" w:type="dxa"/>
            <w:bottom w:w="0" w:type="dxa"/>
          </w:tblCellMar>
        </w:tblPrEx>
        <w:trPr>
          <w:tblHeader/>
        </w:trPr>
        <w:tc>
          <w:tcPr>
            <w:tcW w:w="20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Term</w:t>
            </w:r>
          </w:p>
        </w:tc>
        <w:tc>
          <w:tcPr>
            <w:tcW w:w="73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Definition</w:t>
            </w:r>
          </w:p>
        </w:tc>
      </w:tr>
      <w:tr w:rsidR="006556B8">
        <w:tblPrEx>
          <w:tblCellMar>
            <w:top w:w="0" w:type="dxa"/>
            <w:bottom w:w="0" w:type="dxa"/>
          </w:tblCellMar>
        </w:tblPrEx>
        <w:tc>
          <w:tcPr>
            <w:tcW w:w="20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DTO</w:t>
            </w:r>
          </w:p>
        </w:tc>
        <w:tc>
          <w:tcPr>
            <w:tcW w:w="7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Data Transfer Object — a plain object used to move data between layers or across a network boundary, without persistence behavior.</w:t>
            </w:r>
          </w:p>
        </w:tc>
      </w:tr>
      <w:tr w:rsidR="006556B8">
        <w:tblPrEx>
          <w:tblCellMar>
            <w:top w:w="0" w:type="dxa"/>
            <w:bottom w:w="0" w:type="dxa"/>
          </w:tblCellMar>
        </w:tblPrEx>
        <w:tc>
          <w:tcPr>
            <w:tcW w:w="20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Entity</w:t>
            </w:r>
          </w:p>
        </w:tc>
        <w:tc>
          <w:tcPr>
            <w:tcW w:w="7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A class annotated for JPA persistence, mapped to a relational database table.</w:t>
            </w:r>
          </w:p>
        </w:tc>
      </w:tr>
      <w:tr w:rsidR="006556B8">
        <w:tblPrEx>
          <w:tblCellMar>
            <w:top w:w="0" w:type="dxa"/>
            <w:bottom w:w="0" w:type="dxa"/>
          </w:tblCellMar>
        </w:tblPrEx>
        <w:tc>
          <w:tcPr>
            <w:tcW w:w="20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Idempotency</w:t>
            </w:r>
          </w:p>
        </w:tc>
        <w:tc>
          <w:tcPr>
            <w:tcW w:w="7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 property whereby performing an operation multiple times has the same effect as performing it once — relevant to safe handling of redelivered Kafka messages.</w:t>
            </w:r>
          </w:p>
        </w:tc>
      </w:tr>
      <w:tr w:rsidR="006556B8">
        <w:tblPrEx>
          <w:tblCellMar>
            <w:top w:w="0" w:type="dxa"/>
            <w:bottom w:w="0" w:type="dxa"/>
          </w:tblCellMar>
        </w:tblPrEx>
        <w:tc>
          <w:tcPr>
            <w:tcW w:w="20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Kafka Topic</w:t>
            </w:r>
          </w:p>
        </w:tc>
        <w:tc>
          <w:tcPr>
            <w:tcW w:w="7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A named, partitioned log to which producers publish and from which consumers read messages asynchronously.</w:t>
            </w:r>
          </w:p>
        </w:tc>
      </w:tr>
      <w:tr w:rsidR="006556B8">
        <w:tblPrEx>
          <w:tblCellMar>
            <w:top w:w="0" w:type="dxa"/>
            <w:bottom w:w="0" w:type="dxa"/>
          </w:tblCellMar>
        </w:tblPrEx>
        <w:tc>
          <w:tcPr>
            <w:tcW w:w="20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proofErr w:type="spellStart"/>
            <w:r>
              <w:rPr>
                <w:sz w:val="18"/>
                <w:szCs w:val="18"/>
              </w:rPr>
              <w:t>RestTemplate</w:t>
            </w:r>
            <w:proofErr w:type="spellEnd"/>
          </w:p>
        </w:tc>
        <w:tc>
          <w:tcPr>
            <w:tcW w:w="7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Spring's synchronous HTTP client, used here to call the external Incentive API.</w:t>
            </w:r>
          </w:p>
        </w:tc>
      </w:tr>
      <w:tr w:rsidR="006556B8">
        <w:tblPrEx>
          <w:tblCellMar>
            <w:top w:w="0" w:type="dxa"/>
            <w:bottom w:w="0" w:type="dxa"/>
          </w:tblCellMar>
        </w:tblPrEx>
        <w:tc>
          <w:tcPr>
            <w:tcW w:w="20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proofErr w:type="spellStart"/>
            <w:r>
              <w:rPr>
                <w:sz w:val="18"/>
                <w:szCs w:val="18"/>
              </w:rPr>
              <w:t>Testcontainers</w:t>
            </w:r>
            <w:proofErr w:type="spellEnd"/>
          </w:p>
        </w:tc>
        <w:tc>
          <w:tcPr>
            <w:tcW w:w="73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A library that provisions throwaway, real infrastructure (e.g. an embedded Kafka broker) for integration tests.</w:t>
            </w:r>
          </w:p>
        </w:tc>
      </w:tr>
      <w:tr w:rsidR="006556B8">
        <w:tblPrEx>
          <w:tblCellMar>
            <w:top w:w="0" w:type="dxa"/>
            <w:bottom w:w="0" w:type="dxa"/>
          </w:tblCellMar>
        </w:tblPrEx>
        <w:tc>
          <w:tcPr>
            <w:tcW w:w="20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Circuit Breaker</w:t>
            </w:r>
          </w:p>
        </w:tc>
        <w:tc>
          <w:tcPr>
            <w:tcW w:w="73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 resilience pattern that stops calls to a failing dependency for a cool-down period, preventing cascading failure.</w:t>
            </w:r>
          </w:p>
        </w:tc>
      </w:tr>
    </w:tbl>
    <w:p w:rsidR="006556B8" w:rsidRDefault="00A65B26">
      <w:pPr>
        <w:pStyle w:val="Heading2"/>
        <w:spacing w:before="300" w:after="140"/>
      </w:pPr>
      <w:proofErr w:type="gramStart"/>
      <w:r>
        <w:rPr>
          <w:b/>
          <w:bCs/>
          <w:color w:val="1F2A44"/>
          <w:sz w:val="24"/>
          <w:szCs w:val="24"/>
        </w:rPr>
        <w:t>6.2  Reference</w:t>
      </w:r>
      <w:proofErr w:type="gramEnd"/>
      <w:r>
        <w:rPr>
          <w:b/>
          <w:bCs/>
          <w:color w:val="1F2A44"/>
          <w:sz w:val="24"/>
          <w:szCs w:val="24"/>
        </w:rPr>
        <w:t xml:space="preserve"> Documents</w:t>
      </w:r>
    </w:p>
    <w:p w:rsidR="006556B8" w:rsidRDefault="00A65B26">
      <w:pPr>
        <w:pStyle w:val="ListParagraph"/>
        <w:numPr>
          <w:ilvl w:val="0"/>
          <w:numId w:val="1"/>
        </w:numPr>
        <w:spacing w:after="80" w:line="264" w:lineRule="auto"/>
      </w:pPr>
      <w:r>
        <w:t>Scaffold repository: https://github.com/vagabond-systems/forage-midas</w:t>
      </w:r>
    </w:p>
    <w:p w:rsidR="006556B8" w:rsidRDefault="00A65B26">
      <w:pPr>
        <w:pStyle w:val="ListParagraph"/>
        <w:numPr>
          <w:ilvl w:val="0"/>
          <w:numId w:val="1"/>
        </w:numPr>
        <w:spacing w:after="80" w:line="264" w:lineRule="auto"/>
      </w:pPr>
      <w:r>
        <w:t xml:space="preserve">Program: Forage × </w:t>
      </w:r>
      <w:proofErr w:type="spellStart"/>
      <w:r>
        <w:t>JPMorganChase</w:t>
      </w:r>
      <w:proofErr w:type="spellEnd"/>
      <w:r>
        <w:t xml:space="preserve"> Software Engineering Virtual Internship</w:t>
      </w:r>
    </w:p>
    <w:p w:rsidR="006556B8" w:rsidRDefault="00A65B26">
      <w:pPr>
        <w:pStyle w:val="ListParagraph"/>
        <w:numPr>
          <w:ilvl w:val="0"/>
          <w:numId w:val="1"/>
        </w:numPr>
        <w:spacing w:after="80" w:line="264" w:lineRule="auto"/>
      </w:pPr>
      <w:r>
        <w:t>Source input: Project_Understanding_Draft.md, Phase 1 — Documents &amp; Designing</w:t>
      </w:r>
    </w:p>
    <w:p w:rsidR="006556B8" w:rsidRDefault="00A65B26">
      <w:pPr>
        <w:pStyle w:val="Heading2"/>
        <w:spacing w:before="300" w:after="140"/>
      </w:pPr>
      <w:proofErr w:type="gramStart"/>
      <w:r>
        <w:rPr>
          <w:b/>
          <w:bCs/>
          <w:color w:val="1F2A44"/>
          <w:sz w:val="24"/>
          <w:szCs w:val="24"/>
        </w:rPr>
        <w:t>6.3  Key</w:t>
      </w:r>
      <w:proofErr w:type="gramEnd"/>
      <w:r>
        <w:rPr>
          <w:b/>
          <w:bCs/>
          <w:color w:val="1F2A44"/>
          <w:sz w:val="24"/>
          <w:szCs w:val="24"/>
        </w:rPr>
        <w:t xml:space="preserve"> Do</w:t>
      </w:r>
      <w:r>
        <w:rPr>
          <w:b/>
          <w:bCs/>
          <w:color w:val="1F2A44"/>
          <w:sz w:val="24"/>
          <w:szCs w:val="24"/>
        </w:rPr>
        <w:t>main Classes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50"/>
      </w:tblGrid>
      <w:tr w:rsidR="006556B8">
        <w:tblPrEx>
          <w:tblCellMar>
            <w:top w:w="0" w:type="dxa"/>
            <w:bottom w:w="0" w:type="dxa"/>
          </w:tblCellMar>
        </w:tblPrEx>
        <w:trPr>
          <w:tblHeader/>
        </w:trPr>
        <w:tc>
          <w:tcPr>
            <w:tcW w:w="22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Class</w:t>
            </w:r>
          </w:p>
        </w:tc>
        <w:tc>
          <w:tcPr>
            <w:tcW w:w="16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Type</w:t>
            </w:r>
          </w:p>
        </w:tc>
        <w:tc>
          <w:tcPr>
            <w:tcW w:w="55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Description</w:t>
            </w:r>
          </w:p>
        </w:tc>
      </w:tr>
      <w:tr w:rsidR="006556B8">
        <w:tblPrEx>
          <w:tblCellMar>
            <w:top w:w="0" w:type="dxa"/>
            <w:bottom w:w="0" w:type="dxa"/>
          </w:tblCellMar>
        </w:tblPrEx>
        <w:tc>
          <w:tcPr>
            <w:tcW w:w="22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Transaction</w:t>
            </w:r>
          </w:p>
        </w:tc>
        <w:tc>
          <w:tcPr>
            <w:tcW w:w="1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DTO</w:t>
            </w:r>
          </w:p>
        </w:tc>
        <w:tc>
          <w:tcPr>
            <w:tcW w:w="55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 xml:space="preserve">Incoming Kafka message payload: </w:t>
            </w:r>
            <w:proofErr w:type="spellStart"/>
            <w:r>
              <w:rPr>
                <w:sz w:val="18"/>
                <w:szCs w:val="18"/>
              </w:rPr>
              <w:t>senderId</w:t>
            </w:r>
            <w:proofErr w:type="spellEnd"/>
            <w:r>
              <w:rPr>
                <w:sz w:val="18"/>
                <w:szCs w:val="18"/>
              </w:rPr>
              <w:t xml:space="preserve">, </w:t>
            </w:r>
            <w:proofErr w:type="spellStart"/>
            <w:r>
              <w:rPr>
                <w:sz w:val="18"/>
                <w:szCs w:val="18"/>
              </w:rPr>
              <w:t>recipientId</w:t>
            </w:r>
            <w:proofErr w:type="spellEnd"/>
            <w:r>
              <w:rPr>
                <w:sz w:val="18"/>
                <w:szCs w:val="18"/>
              </w:rPr>
              <w:t>, amount. Provided by the scaffold; not to be modified.</w:t>
            </w:r>
          </w:p>
        </w:tc>
      </w:tr>
      <w:tr w:rsidR="006556B8">
        <w:tblPrEx>
          <w:tblCellMar>
            <w:top w:w="0" w:type="dxa"/>
            <w:bottom w:w="0" w:type="dxa"/>
          </w:tblCellMar>
        </w:tblPrEx>
        <w:tc>
          <w:tcPr>
            <w:tcW w:w="22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proofErr w:type="spellStart"/>
            <w:r>
              <w:rPr>
                <w:sz w:val="18"/>
                <w:szCs w:val="18"/>
              </w:rPr>
              <w:t>TransactionRecord</w:t>
            </w:r>
            <w:proofErr w:type="spellEnd"/>
          </w:p>
        </w:tc>
        <w:tc>
          <w:tcPr>
            <w:tcW w:w="1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JPA Entity</w:t>
            </w:r>
          </w:p>
        </w:tc>
        <w:tc>
          <w:tcPr>
            <w:tcW w:w="55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Persisted transaction, with Many-to-One relationships to sender and recipient User entities.</w:t>
            </w:r>
          </w:p>
        </w:tc>
      </w:tr>
      <w:tr w:rsidR="006556B8">
        <w:tblPrEx>
          <w:tblCellMar>
            <w:top w:w="0" w:type="dxa"/>
            <w:bottom w:w="0" w:type="dxa"/>
          </w:tblCellMar>
        </w:tblPrEx>
        <w:tc>
          <w:tcPr>
            <w:tcW w:w="22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User</w:t>
            </w:r>
          </w:p>
        </w:tc>
        <w:tc>
          <w:tcPr>
            <w:tcW w:w="1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JPA Entity</w:t>
            </w:r>
          </w:p>
        </w:tc>
        <w:tc>
          <w:tcPr>
            <w:tcW w:w="55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Account holder with an id and a balance; One-to-Many owner of its associated transactions.</w:t>
            </w:r>
          </w:p>
        </w:tc>
      </w:tr>
      <w:tr w:rsidR="006556B8">
        <w:tblPrEx>
          <w:tblCellMar>
            <w:top w:w="0" w:type="dxa"/>
            <w:bottom w:w="0" w:type="dxa"/>
          </w:tblCellMar>
        </w:tblPrEx>
        <w:tc>
          <w:tcPr>
            <w:tcW w:w="22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Incentive</w:t>
            </w:r>
          </w:p>
        </w:tc>
        <w:tc>
          <w:tcPr>
            <w:tcW w:w="16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DTO</w:t>
            </w:r>
          </w:p>
        </w:tc>
        <w:tc>
          <w:tcPr>
            <w:tcW w:w="55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Response payload from the Incentive API — a single amount field.</w:t>
            </w:r>
          </w:p>
        </w:tc>
      </w:tr>
      <w:tr w:rsidR="006556B8">
        <w:tblPrEx>
          <w:tblCellMar>
            <w:top w:w="0" w:type="dxa"/>
            <w:bottom w:w="0" w:type="dxa"/>
          </w:tblCellMar>
        </w:tblPrEx>
        <w:tc>
          <w:tcPr>
            <w:tcW w:w="22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Balance</w:t>
            </w:r>
          </w:p>
        </w:tc>
        <w:tc>
          <w:tcPr>
            <w:tcW w:w="16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DTO</w:t>
            </w:r>
          </w:p>
        </w:tc>
        <w:tc>
          <w:tcPr>
            <w:tcW w:w="55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 xml:space="preserve">Response payload for GET /balance; its </w:t>
            </w:r>
            <w:proofErr w:type="spellStart"/>
            <w:r>
              <w:rPr>
                <w:sz w:val="18"/>
                <w:szCs w:val="18"/>
              </w:rPr>
              <w:t>toString</w:t>
            </w:r>
            <w:proofErr w:type="spellEnd"/>
            <w:r>
              <w:rPr>
                <w:sz w:val="18"/>
                <w:szCs w:val="18"/>
              </w:rPr>
              <w:t>() output is used for automated test verification.</w:t>
            </w:r>
          </w:p>
        </w:tc>
      </w:tr>
    </w:tbl>
    <w:p w:rsidR="006556B8" w:rsidRDefault="00A65B26">
      <w:pPr>
        <w:pStyle w:val="Heading2"/>
        <w:spacing w:before="300" w:after="140"/>
      </w:pPr>
      <w:proofErr w:type="gramStart"/>
      <w:r>
        <w:rPr>
          <w:b/>
          <w:bCs/>
          <w:color w:val="1F2A44"/>
          <w:sz w:val="24"/>
          <w:szCs w:val="24"/>
        </w:rPr>
        <w:t>6.4  Software</w:t>
      </w:r>
      <w:proofErr w:type="gramEnd"/>
      <w:r>
        <w:rPr>
          <w:b/>
          <w:bCs/>
          <w:color w:val="1F2A44"/>
          <w:sz w:val="24"/>
          <w:szCs w:val="24"/>
        </w:rPr>
        <w:t xml:space="preserve"> Engineering Principles Applied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6556B8">
        <w:tblPrEx>
          <w:tblCellMar>
            <w:top w:w="0" w:type="dxa"/>
            <w:bottom w:w="0" w:type="dxa"/>
          </w:tblCellMar>
        </w:tblPrEx>
        <w:trPr>
          <w:tblHeader/>
        </w:trPr>
        <w:tc>
          <w:tcPr>
            <w:tcW w:w="280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Principle</w:t>
            </w:r>
          </w:p>
        </w:tc>
        <w:tc>
          <w:tcPr>
            <w:tcW w:w="6550" w:type="dxa"/>
            <w:tcBorders>
              <w:top w:val="single" w:sz="2" w:space="0" w:color="B7BFCC"/>
              <w:left w:val="single" w:sz="2" w:space="0" w:color="B7BFCC"/>
              <w:bottom w:val="single" w:sz="2" w:space="0" w:color="B7BFCC"/>
              <w:right w:val="single" w:sz="2" w:space="0" w:color="B7BFCC"/>
            </w:tcBorders>
            <w:shd w:val="clear" w:color="auto" w:fill="1F2A44"/>
            <w:tcMar>
              <w:top w:w="80" w:type="dxa"/>
              <w:left w:w="110" w:type="dxa"/>
              <w:bottom w:w="80" w:type="dxa"/>
              <w:right w:w="110" w:type="dxa"/>
            </w:tcMar>
            <w:vAlign w:val="center"/>
          </w:tcPr>
          <w:p w:rsidR="006556B8" w:rsidRDefault="00A65B26">
            <w:r>
              <w:rPr>
                <w:b/>
                <w:bCs/>
                <w:color w:val="FFFFFF"/>
                <w:sz w:val="19"/>
                <w:szCs w:val="19"/>
              </w:rPr>
              <w:t>Where Applied</w:t>
            </w:r>
          </w:p>
        </w:tc>
      </w:tr>
      <w:tr w:rsidR="006556B8">
        <w:tblPrEx>
          <w:tblCellMar>
            <w:top w:w="0" w:type="dxa"/>
            <w:bottom w:w="0" w:type="dxa"/>
          </w:tblCellMar>
        </w:tblPrEx>
        <w:tc>
          <w:tcPr>
            <w:tcW w:w="28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Separation of Concerns</w:t>
            </w:r>
          </w:p>
        </w:tc>
        <w:tc>
          <w:tcPr>
            <w:tcW w:w="65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Kafka ingestion, persistence, external integration, and REST exposure are kept as distinct components.</w:t>
            </w:r>
          </w:p>
        </w:tc>
      </w:tr>
      <w:tr w:rsidR="006556B8">
        <w:tblPrEx>
          <w:tblCellMar>
            <w:top w:w="0" w:type="dxa"/>
            <w:bottom w:w="0" w:type="dxa"/>
          </w:tblCellMar>
        </w:tblPrEx>
        <w:tc>
          <w:tcPr>
            <w:tcW w:w="28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API as a Contract</w:t>
            </w:r>
          </w:p>
        </w:tc>
        <w:tc>
          <w:tcPr>
            <w:tcW w:w="65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The Incentive API boundary lets two teams work independently as long as its request/response schema holds.</w:t>
            </w:r>
          </w:p>
        </w:tc>
      </w:tr>
      <w:tr w:rsidR="006556B8">
        <w:tblPrEx>
          <w:tblCellMar>
            <w:top w:w="0" w:type="dxa"/>
            <w:bottom w:w="0" w:type="dxa"/>
          </w:tblCellMar>
        </w:tblPrEx>
        <w:tc>
          <w:tcPr>
            <w:tcW w:w="28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lastRenderedPageBreak/>
              <w:t>Avoid Premature Over-Engineering</w:t>
            </w:r>
          </w:p>
        </w:tc>
        <w:tc>
          <w:tcPr>
            <w:tcW w:w="65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The balance endpoint is added to Midas Core rather than extracted into a new service prematurely (Section 3.1).</w:t>
            </w:r>
          </w:p>
        </w:tc>
      </w:tr>
      <w:tr w:rsidR="006556B8">
        <w:tblPrEx>
          <w:tblCellMar>
            <w:top w:w="0" w:type="dxa"/>
            <w:bottom w:w="0" w:type="dxa"/>
          </w:tblCellMar>
        </w:tblPrEx>
        <w:tc>
          <w:tcPr>
            <w:tcW w:w="28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Abstraction via ORM</w:t>
            </w:r>
          </w:p>
        </w:tc>
        <w:tc>
          <w:tcPr>
            <w:tcW w:w="65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JPA decouples business logic from the concrete database engine, enabling a production swap without code changes.</w:t>
            </w:r>
          </w:p>
        </w:tc>
      </w:tr>
      <w:tr w:rsidR="006556B8">
        <w:tblPrEx>
          <w:tblCellMar>
            <w:top w:w="0" w:type="dxa"/>
            <w:bottom w:w="0" w:type="dxa"/>
          </w:tblCellMar>
        </w:tblPrEx>
        <w:tc>
          <w:tcPr>
            <w:tcW w:w="28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Asynchronous, Resilient Ingestion</w:t>
            </w:r>
          </w:p>
        </w:tc>
        <w:tc>
          <w:tcPr>
            <w:tcW w:w="65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 xml:space="preserve">Kafka decouples producer availability from Midas Core's own uptime and absorbs </w:t>
            </w:r>
            <w:proofErr w:type="spellStart"/>
            <w:r>
              <w:rPr>
                <w:sz w:val="18"/>
                <w:szCs w:val="18"/>
              </w:rPr>
              <w:t>bursty</w:t>
            </w:r>
            <w:proofErr w:type="spellEnd"/>
            <w:r>
              <w:rPr>
                <w:sz w:val="18"/>
                <w:szCs w:val="18"/>
              </w:rPr>
              <w:t xml:space="preserve"> load.</w:t>
            </w:r>
          </w:p>
        </w:tc>
      </w:tr>
      <w:tr w:rsidR="006556B8">
        <w:tblPrEx>
          <w:tblCellMar>
            <w:top w:w="0" w:type="dxa"/>
            <w:bottom w:w="0" w:type="dxa"/>
          </w:tblCellMar>
        </w:tblPrEx>
        <w:tc>
          <w:tcPr>
            <w:tcW w:w="280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SQL for Financial Data</w:t>
            </w:r>
          </w:p>
        </w:tc>
        <w:tc>
          <w:tcPr>
            <w:tcW w:w="6550" w:type="dxa"/>
            <w:tcBorders>
              <w:top w:val="single" w:sz="2" w:space="0" w:color="B7BFCC"/>
              <w:left w:val="single" w:sz="2" w:space="0" w:color="B7BFCC"/>
              <w:bottom w:val="single" w:sz="2" w:space="0" w:color="B7BFCC"/>
              <w:right w:val="single" w:sz="2" w:space="0" w:color="B7BFCC"/>
            </w:tcBorders>
            <w:shd w:val="clear" w:color="auto" w:fill="F2F4F8"/>
            <w:tcMar>
              <w:top w:w="80" w:type="dxa"/>
              <w:left w:w="110" w:type="dxa"/>
              <w:bottom w:w="80" w:type="dxa"/>
              <w:right w:w="110" w:type="dxa"/>
            </w:tcMar>
            <w:vAlign w:val="center"/>
          </w:tcPr>
          <w:p w:rsidR="006556B8" w:rsidRDefault="00A65B26">
            <w:r>
              <w:rPr>
                <w:sz w:val="18"/>
                <w:szCs w:val="18"/>
              </w:rPr>
              <w:t>A relational engine is chosen over NoSQL specifically for the stronger consistency guarantees financial state requires.</w:t>
            </w:r>
          </w:p>
        </w:tc>
      </w:tr>
      <w:tr w:rsidR="006556B8">
        <w:tblPrEx>
          <w:tblCellMar>
            <w:top w:w="0" w:type="dxa"/>
            <w:bottom w:w="0" w:type="dxa"/>
          </w:tblCellMar>
        </w:tblPrEx>
        <w:tc>
          <w:tcPr>
            <w:tcW w:w="280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Test-Driven Verification</w:t>
            </w:r>
          </w:p>
        </w:tc>
        <w:tc>
          <w:tcPr>
            <w:tcW w:w="6550" w:type="dxa"/>
            <w:tcBorders>
              <w:top w:val="single" w:sz="2" w:space="0" w:color="B7BFCC"/>
              <w:left w:val="single" w:sz="2" w:space="0" w:color="B7BFCC"/>
              <w:bottom w:val="single" w:sz="2" w:space="0" w:color="B7BFCC"/>
              <w:right w:val="single" w:sz="2" w:space="0" w:color="B7BFCC"/>
            </w:tcBorders>
            <w:tcMar>
              <w:top w:w="80" w:type="dxa"/>
              <w:left w:w="110" w:type="dxa"/>
              <w:bottom w:w="80" w:type="dxa"/>
              <w:right w:w="110" w:type="dxa"/>
            </w:tcMar>
            <w:vAlign w:val="center"/>
          </w:tcPr>
          <w:p w:rsidR="006556B8" w:rsidRDefault="00A65B26">
            <w:r>
              <w:rPr>
                <w:sz w:val="18"/>
                <w:szCs w:val="18"/>
              </w:rPr>
              <w:t>Every task has a dedicated, automated test suite gating completion.</w:t>
            </w:r>
          </w:p>
        </w:tc>
      </w:tr>
    </w:tbl>
    <w:p w:rsidR="006556B8" w:rsidRDefault="006556B8">
      <w:pPr>
        <w:spacing w:before="400"/>
      </w:pPr>
    </w:p>
    <w:p w:rsidR="006556B8" w:rsidRDefault="00A65B26">
      <w:pPr>
        <w:pBdr>
          <w:top w:val="single" w:sz="4" w:space="8" w:color="B7BFCC"/>
        </w:pBdr>
        <w:spacing w:before="200"/>
        <w:jc w:val="center"/>
      </w:pPr>
      <w:r>
        <w:rPr>
          <w:i/>
          <w:iCs/>
          <w:color w:val="5B6577"/>
          <w:sz w:val="18"/>
          <w:szCs w:val="18"/>
        </w:rPr>
        <w:t>End of Document</w:t>
      </w:r>
    </w:p>
    <w:sectPr w:rsidR="006556B8">
      <w:headerReference w:type="default" r:id="rId10"/>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5B26" w:rsidRDefault="00A65B26">
      <w:r>
        <w:separator/>
      </w:r>
    </w:p>
  </w:endnote>
  <w:endnote w:type="continuationSeparator" w:id="0">
    <w:p w:rsidR="00A65B26" w:rsidRDefault="00A65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6B8" w:rsidRDefault="00A65B26">
    <w:pPr>
      <w:pBdr>
        <w:top w:val="single" w:sz="4" w:space="4" w:color="B7BFCC"/>
      </w:pBdr>
      <w:jc w:val="center"/>
    </w:pPr>
    <w:r>
      <w:rPr>
        <w:color w:val="5B6577"/>
        <w:sz w:val="16"/>
        <w:szCs w:val="16"/>
      </w:rPr>
      <w:t xml:space="preserve">Confidential — Internal Use    |    Page </w:t>
    </w:r>
    <w:r>
      <w:rPr>
        <w:color w:val="5B6577"/>
        <w:sz w:val="16"/>
        <w:szCs w:val="16"/>
      </w:rPr>
      <w:fldChar w:fldCharType="begin"/>
    </w:r>
    <w:r>
      <w:rPr>
        <w:color w:val="5B6577"/>
        <w:sz w:val="16"/>
        <w:szCs w:val="16"/>
      </w:rPr>
      <w:instrText>PAGE</w:instrText>
    </w:r>
    <w:r w:rsidR="00EC00BA">
      <w:rPr>
        <w:color w:val="5B6577"/>
        <w:sz w:val="16"/>
        <w:szCs w:val="16"/>
      </w:rPr>
      <w:fldChar w:fldCharType="separate"/>
    </w:r>
    <w:r w:rsidR="00EC00BA">
      <w:rPr>
        <w:noProof/>
        <w:color w:val="5B6577"/>
        <w:sz w:val="16"/>
        <w:szCs w:val="16"/>
      </w:rPr>
      <w:t>22</w:t>
    </w:r>
    <w:r>
      <w:rPr>
        <w:color w:val="5B6577"/>
        <w:sz w:val="16"/>
        <w:szCs w:val="16"/>
      </w:rPr>
      <w:fldChar w:fldCharType="end"/>
    </w:r>
    <w:r>
      <w:rPr>
        <w:color w:val="5B6577"/>
        <w:sz w:val="16"/>
        <w:szCs w:val="16"/>
      </w:rPr>
      <w:t xml:space="preserve"> of </w:t>
    </w:r>
    <w:r>
      <w:rPr>
        <w:color w:val="5B6577"/>
        <w:sz w:val="16"/>
        <w:szCs w:val="16"/>
      </w:rPr>
      <w:fldChar w:fldCharType="begin"/>
    </w:r>
    <w:r>
      <w:rPr>
        <w:color w:val="5B6577"/>
        <w:sz w:val="16"/>
        <w:szCs w:val="16"/>
      </w:rPr>
      <w:instrText>NUMPAGES</w:instrText>
    </w:r>
    <w:r w:rsidR="00EC00BA">
      <w:rPr>
        <w:color w:val="5B6577"/>
        <w:sz w:val="16"/>
        <w:szCs w:val="16"/>
      </w:rPr>
      <w:fldChar w:fldCharType="separate"/>
    </w:r>
    <w:r w:rsidR="00EC00BA">
      <w:rPr>
        <w:noProof/>
        <w:color w:val="5B6577"/>
        <w:sz w:val="16"/>
        <w:szCs w:val="16"/>
      </w:rPr>
      <w:t>23</w:t>
    </w:r>
    <w:r>
      <w:rPr>
        <w:color w:val="5B6577"/>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5B26" w:rsidRDefault="00A65B26">
      <w:r>
        <w:separator/>
      </w:r>
    </w:p>
  </w:footnote>
  <w:footnote w:type="continuationSeparator" w:id="0">
    <w:p w:rsidR="00A65B26" w:rsidRDefault="00A65B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6B8" w:rsidRDefault="00A65B26">
    <w:pPr>
      <w:pBdr>
        <w:bottom w:val="single" w:sz="4" w:space="4" w:color="B7BFCC"/>
      </w:pBdr>
      <w:jc w:val="right"/>
    </w:pPr>
    <w:r>
      <w:rPr>
        <w:color w:val="5B6577"/>
        <w:sz w:val="16"/>
        <w:szCs w:val="16"/>
      </w:rPr>
      <w:t>Midas Core — Product &amp; Engineering Specification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36758"/>
    <w:multiLevelType w:val="hybridMultilevel"/>
    <w:tmpl w:val="DD0A6FAC"/>
    <w:lvl w:ilvl="0" w:tplc="77F095B0">
      <w:start w:val="1"/>
      <w:numFmt w:val="bullet"/>
      <w:lvlText w:val="●"/>
      <w:lvlJc w:val="left"/>
      <w:pPr>
        <w:ind w:left="720" w:hanging="360"/>
      </w:pPr>
    </w:lvl>
    <w:lvl w:ilvl="1" w:tplc="F6629490">
      <w:start w:val="1"/>
      <w:numFmt w:val="bullet"/>
      <w:lvlText w:val="○"/>
      <w:lvlJc w:val="left"/>
      <w:pPr>
        <w:ind w:left="1440" w:hanging="360"/>
      </w:pPr>
    </w:lvl>
    <w:lvl w:ilvl="2" w:tplc="E87672D4">
      <w:start w:val="1"/>
      <w:numFmt w:val="bullet"/>
      <w:lvlText w:val="■"/>
      <w:lvlJc w:val="left"/>
      <w:pPr>
        <w:ind w:left="2160" w:hanging="360"/>
      </w:pPr>
    </w:lvl>
    <w:lvl w:ilvl="3" w:tplc="9C4C7758">
      <w:start w:val="1"/>
      <w:numFmt w:val="bullet"/>
      <w:lvlText w:val="●"/>
      <w:lvlJc w:val="left"/>
      <w:pPr>
        <w:ind w:left="2880" w:hanging="360"/>
      </w:pPr>
    </w:lvl>
    <w:lvl w:ilvl="4" w:tplc="DDC6A79C">
      <w:start w:val="1"/>
      <w:numFmt w:val="bullet"/>
      <w:lvlText w:val="○"/>
      <w:lvlJc w:val="left"/>
      <w:pPr>
        <w:ind w:left="3600" w:hanging="360"/>
      </w:pPr>
    </w:lvl>
    <w:lvl w:ilvl="5" w:tplc="BABA1E3E">
      <w:start w:val="1"/>
      <w:numFmt w:val="bullet"/>
      <w:lvlText w:val="■"/>
      <w:lvlJc w:val="left"/>
      <w:pPr>
        <w:ind w:left="4320" w:hanging="360"/>
      </w:pPr>
    </w:lvl>
    <w:lvl w:ilvl="6" w:tplc="93942E44">
      <w:start w:val="1"/>
      <w:numFmt w:val="bullet"/>
      <w:lvlText w:val="●"/>
      <w:lvlJc w:val="left"/>
      <w:pPr>
        <w:ind w:left="5040" w:hanging="360"/>
      </w:pPr>
    </w:lvl>
    <w:lvl w:ilvl="7" w:tplc="2FF883F0">
      <w:start w:val="1"/>
      <w:numFmt w:val="bullet"/>
      <w:lvlText w:val="●"/>
      <w:lvlJc w:val="left"/>
      <w:pPr>
        <w:ind w:left="5760" w:hanging="360"/>
      </w:pPr>
    </w:lvl>
    <w:lvl w:ilvl="8" w:tplc="2D5CAA50">
      <w:start w:val="1"/>
      <w:numFmt w:val="bullet"/>
      <w:lvlText w:val="●"/>
      <w:lvlJc w:val="left"/>
      <w:pPr>
        <w:ind w:left="6480" w:hanging="360"/>
      </w:pPr>
    </w:lvl>
  </w:abstractNum>
  <w:abstractNum w:abstractNumId="1" w15:restartNumberingAfterBreak="0">
    <w:nsid w:val="38694C64"/>
    <w:multiLevelType w:val="hybridMultilevel"/>
    <w:tmpl w:val="9FF058D0"/>
    <w:lvl w:ilvl="0" w:tplc="A2AE5D26">
      <w:start w:val="1"/>
      <w:numFmt w:val="decimal"/>
      <w:lvlText w:val="%1."/>
      <w:lvlJc w:val="left"/>
      <w:pPr>
        <w:ind w:left="420" w:hanging="260"/>
      </w:pPr>
    </w:lvl>
    <w:lvl w:ilvl="1" w:tplc="09DCA838">
      <w:numFmt w:val="decimal"/>
      <w:lvlText w:val=""/>
      <w:lvlJc w:val="left"/>
    </w:lvl>
    <w:lvl w:ilvl="2" w:tplc="EDE4C5C2">
      <w:numFmt w:val="decimal"/>
      <w:lvlText w:val=""/>
      <w:lvlJc w:val="left"/>
    </w:lvl>
    <w:lvl w:ilvl="3" w:tplc="4A5E633A">
      <w:numFmt w:val="decimal"/>
      <w:lvlText w:val=""/>
      <w:lvlJc w:val="left"/>
    </w:lvl>
    <w:lvl w:ilvl="4" w:tplc="3C46D77E">
      <w:numFmt w:val="decimal"/>
      <w:lvlText w:val=""/>
      <w:lvlJc w:val="left"/>
    </w:lvl>
    <w:lvl w:ilvl="5" w:tplc="BAB2BDBC">
      <w:numFmt w:val="decimal"/>
      <w:lvlText w:val=""/>
      <w:lvlJc w:val="left"/>
    </w:lvl>
    <w:lvl w:ilvl="6" w:tplc="5B6A7598">
      <w:numFmt w:val="decimal"/>
      <w:lvlText w:val=""/>
      <w:lvlJc w:val="left"/>
    </w:lvl>
    <w:lvl w:ilvl="7" w:tplc="BEB81DE0">
      <w:numFmt w:val="decimal"/>
      <w:lvlText w:val=""/>
      <w:lvlJc w:val="left"/>
    </w:lvl>
    <w:lvl w:ilvl="8" w:tplc="905EE4B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6B8"/>
    <w:rsid w:val="006556B8"/>
    <w:rsid w:val="00A65B26"/>
    <w:rsid w:val="00EC0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98057C-520D-4743-8901-EC770264E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5471</Words>
  <Characters>31186</Characters>
  <Application>Microsoft Office Word</Application>
  <DocSecurity>0</DocSecurity>
  <Lines>259</Lines>
  <Paragraphs>73</Paragraphs>
  <ScaleCrop>false</ScaleCrop>
  <Company/>
  <LinksUpToDate>false</LinksUpToDate>
  <CharactersWithSpaces>36584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Midas Core — Product &amp; Engineering Specification</dc:title>
  <dc:creator>Engineering</dc:creator>
  <cp:lastModifiedBy>DELL</cp:lastModifiedBy>
  <cp:revision>2</cp:revision>
  <dcterms:created xsi:type="dcterms:W3CDTF">2026-09-15T07:29:00Z</dcterms:created>
  <dcterms:modified xsi:type="dcterms:W3CDTF">2026-09-15T07:33:00Z</dcterms:modified>
</cp:coreProperties>
</file>