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737C7" w14:textId="77777777" w:rsidR="00D52A67" w:rsidRPr="000F700F" w:rsidRDefault="00D52A67" w:rsidP="000F700F">
      <w:pPr>
        <w:spacing w:line="480" w:lineRule="auto"/>
        <w:jc w:val="center"/>
        <w:rPr>
          <w:rFonts w:ascii="Tahoma" w:eastAsiaTheme="minorHAnsi" w:hAnsi="Tahoma" w:cs="Tahoma"/>
          <w:b/>
          <w:sz w:val="30"/>
          <w:szCs w:val="30"/>
          <w:u w:val="single"/>
          <w:lang w:val="en-US" w:eastAsia="en-US"/>
        </w:rPr>
      </w:pPr>
      <w:r w:rsidRPr="000F700F">
        <w:rPr>
          <w:rFonts w:ascii="Tahoma" w:eastAsiaTheme="minorHAnsi" w:hAnsi="Tahoma" w:cs="Tahoma"/>
          <w:b/>
          <w:sz w:val="30"/>
          <w:szCs w:val="30"/>
          <w:u w:val="single"/>
          <w:lang w:val="en-US" w:eastAsia="en-US"/>
        </w:rPr>
        <w:t>Question 1</w:t>
      </w:r>
    </w:p>
    <w:p w14:paraId="2223A749" w14:textId="07F500BC" w:rsidR="00D52A67" w:rsidRDefault="00D52A67" w:rsidP="00D52A67">
      <w:pPr>
        <w:spacing w:line="480" w:lineRule="auto"/>
        <w:rPr>
          <w:rFonts w:ascii="Tahoma" w:eastAsiaTheme="minorHAnsi" w:hAnsi="Tahoma" w:cs="Tahoma"/>
          <w:bCs/>
          <w:sz w:val="24"/>
          <w:szCs w:val="24"/>
          <w:lang w:val="en-US" w:eastAsia="en-US"/>
        </w:rPr>
      </w:pPr>
      <w:r w:rsidRPr="00C434DD">
        <w:rPr>
          <w:rFonts w:ascii="Tahoma" w:eastAsiaTheme="minorHAnsi" w:hAnsi="Tahoma" w:cs="Tahoma"/>
          <w:bCs/>
          <w:sz w:val="24"/>
          <w:szCs w:val="24"/>
          <w:lang w:val="en-US" w:eastAsia="en-US"/>
        </w:rPr>
        <w:t>Internal hacking takes place when a person or a group of people within an organization aims at accessing the computer systems without authority with the intention of exploiting organizational asserts or disrupting operations</w:t>
      </w:r>
      <w:sdt>
        <w:sdtPr>
          <w:rPr>
            <w:rFonts w:ascii="Tahoma" w:eastAsiaTheme="minorHAnsi" w:hAnsi="Tahoma" w:cs="Tahoma"/>
            <w:bCs/>
            <w:sz w:val="24"/>
            <w:szCs w:val="24"/>
            <w:lang w:val="en-US" w:eastAsia="en-US"/>
          </w:rPr>
          <w:id w:val="2055808772"/>
          <w:citation/>
        </w:sdtPr>
        <w:sdtEndPr/>
        <w:sdtContent>
          <w:r w:rsidRPr="00C434DD">
            <w:rPr>
              <w:rFonts w:ascii="Tahoma" w:eastAsiaTheme="minorHAnsi" w:hAnsi="Tahoma" w:cs="Tahoma"/>
              <w:bCs/>
              <w:sz w:val="24"/>
              <w:szCs w:val="24"/>
              <w:lang w:val="en-US" w:eastAsia="en-US"/>
            </w:rPr>
            <w:fldChar w:fldCharType="begin"/>
          </w:r>
          <w:r w:rsidRPr="00C434DD">
            <w:rPr>
              <w:rFonts w:ascii="Tahoma" w:eastAsiaTheme="minorHAnsi" w:hAnsi="Tahoma" w:cs="Tahoma"/>
              <w:bCs/>
              <w:sz w:val="24"/>
              <w:szCs w:val="24"/>
              <w:lang w:val="en-US" w:eastAsia="en-US"/>
            </w:rPr>
            <w:instrText xml:space="preserve"> CITATION Mar161 \l 1033 </w:instrText>
          </w:r>
          <w:r w:rsidRPr="00C434DD">
            <w:rPr>
              <w:rFonts w:ascii="Tahoma" w:eastAsiaTheme="minorHAnsi" w:hAnsi="Tahoma" w:cs="Tahoma"/>
              <w:bCs/>
              <w:sz w:val="24"/>
              <w:szCs w:val="24"/>
              <w:lang w:val="en-US" w:eastAsia="en-US"/>
            </w:rPr>
            <w:fldChar w:fldCharType="separate"/>
          </w:r>
          <w:r w:rsidRPr="00C434DD">
            <w:rPr>
              <w:rFonts w:ascii="Tahoma" w:eastAsiaTheme="minorHAnsi" w:hAnsi="Tahoma" w:cs="Tahoma"/>
              <w:bCs/>
              <w:sz w:val="24"/>
              <w:szCs w:val="24"/>
              <w:lang w:val="en-US" w:eastAsia="en-US"/>
            </w:rPr>
            <w:t xml:space="preserve"> (Weiss &amp; Solomon, 2016)</w:t>
          </w:r>
          <w:r w:rsidRPr="00C434DD">
            <w:rPr>
              <w:rFonts w:ascii="Tahoma" w:eastAsiaTheme="minorHAnsi" w:hAnsi="Tahoma" w:cs="Tahoma"/>
              <w:bCs/>
              <w:sz w:val="24"/>
              <w:szCs w:val="24"/>
              <w:lang w:val="en-US" w:eastAsia="en-US"/>
            </w:rPr>
            <w:fldChar w:fldCharType="end"/>
          </w:r>
        </w:sdtContent>
      </w:sdt>
      <w:r w:rsidRPr="00C434DD">
        <w:rPr>
          <w:rFonts w:ascii="Tahoma" w:eastAsiaTheme="minorHAnsi" w:hAnsi="Tahoma" w:cs="Tahoma"/>
          <w:bCs/>
          <w:sz w:val="24"/>
          <w:szCs w:val="24"/>
          <w:lang w:val="en-US" w:eastAsia="en-US"/>
        </w:rPr>
        <w:t>. Most of the internal hacking cases involve the hacker employing various skills, tools, and resources to launch a complex computer attack against their organization and potentially get rid of any evidence that could create awareness of the attack or its origin. Disgruntled, highly skilled employees including programmers and administrators, or technical users that could potentially benefit from the disruption of organizational operations may decide to start an internal hack against an organization via its computer systems</w:t>
      </w:r>
      <w:sdt>
        <w:sdtPr>
          <w:rPr>
            <w:rFonts w:ascii="Tahoma" w:eastAsiaTheme="minorHAnsi" w:hAnsi="Tahoma" w:cs="Tahoma"/>
            <w:bCs/>
            <w:sz w:val="24"/>
            <w:szCs w:val="24"/>
            <w:lang w:val="en-US" w:eastAsia="en-US"/>
          </w:rPr>
          <w:id w:val="-1920474079"/>
          <w:citation/>
        </w:sdtPr>
        <w:sdtEndPr/>
        <w:sdtContent>
          <w:r w:rsidRPr="00C434DD">
            <w:rPr>
              <w:rFonts w:ascii="Tahoma" w:eastAsiaTheme="minorHAnsi" w:hAnsi="Tahoma" w:cs="Tahoma"/>
              <w:bCs/>
              <w:sz w:val="24"/>
              <w:szCs w:val="24"/>
              <w:lang w:val="en-US" w:eastAsia="en-US"/>
            </w:rPr>
            <w:fldChar w:fldCharType="begin"/>
          </w:r>
          <w:r w:rsidRPr="00C434DD">
            <w:rPr>
              <w:rFonts w:ascii="Tahoma" w:eastAsiaTheme="minorHAnsi" w:hAnsi="Tahoma" w:cs="Tahoma"/>
              <w:bCs/>
              <w:sz w:val="24"/>
              <w:szCs w:val="24"/>
              <w:lang w:val="en-US" w:eastAsia="en-US"/>
            </w:rPr>
            <w:instrText xml:space="preserve"> CITATION Mar161 \l 1033 </w:instrText>
          </w:r>
          <w:r w:rsidRPr="00C434DD">
            <w:rPr>
              <w:rFonts w:ascii="Tahoma" w:eastAsiaTheme="minorHAnsi" w:hAnsi="Tahoma" w:cs="Tahoma"/>
              <w:bCs/>
              <w:sz w:val="24"/>
              <w:szCs w:val="24"/>
              <w:lang w:val="en-US" w:eastAsia="en-US"/>
            </w:rPr>
            <w:fldChar w:fldCharType="separate"/>
          </w:r>
          <w:r w:rsidRPr="00C434DD">
            <w:rPr>
              <w:rFonts w:ascii="Tahoma" w:eastAsiaTheme="minorHAnsi" w:hAnsi="Tahoma" w:cs="Tahoma"/>
              <w:bCs/>
              <w:sz w:val="24"/>
              <w:szCs w:val="24"/>
              <w:lang w:val="en-US" w:eastAsia="en-US"/>
            </w:rPr>
            <w:t xml:space="preserve"> (Weiss &amp; Solomon, 2016)</w:t>
          </w:r>
          <w:r w:rsidRPr="00C434DD">
            <w:rPr>
              <w:rFonts w:ascii="Tahoma" w:eastAsiaTheme="minorHAnsi" w:hAnsi="Tahoma" w:cs="Tahoma"/>
              <w:bCs/>
              <w:sz w:val="24"/>
              <w:szCs w:val="24"/>
              <w:lang w:val="en-US" w:eastAsia="en-US"/>
            </w:rPr>
            <w:fldChar w:fldCharType="end"/>
          </w:r>
        </w:sdtContent>
      </w:sdt>
      <w:r w:rsidRPr="00C434DD">
        <w:rPr>
          <w:rFonts w:ascii="Tahoma" w:eastAsiaTheme="minorHAnsi" w:hAnsi="Tahoma" w:cs="Tahoma"/>
          <w:bCs/>
          <w:sz w:val="24"/>
          <w:szCs w:val="24"/>
          <w:lang w:val="en-US" w:eastAsia="en-US"/>
        </w:rPr>
        <w:t>. Organizations put in place different measures to protect themselves from internal attacks, including implementation of intrusion detection systems that would screen both internal and external hacking attempts. In addition, organizations log all forms of attacks and review the logs regularly</w:t>
      </w:r>
      <w:sdt>
        <w:sdtPr>
          <w:rPr>
            <w:rFonts w:ascii="Tahoma" w:eastAsiaTheme="minorHAnsi" w:hAnsi="Tahoma" w:cs="Tahoma"/>
            <w:bCs/>
            <w:sz w:val="24"/>
            <w:szCs w:val="24"/>
            <w:lang w:val="en-US" w:eastAsia="en-US"/>
          </w:rPr>
          <w:id w:val="-1580358770"/>
          <w:citation/>
        </w:sdtPr>
        <w:sdtEndPr/>
        <w:sdtContent>
          <w:r w:rsidRPr="00C434DD">
            <w:rPr>
              <w:rFonts w:ascii="Tahoma" w:eastAsiaTheme="minorHAnsi" w:hAnsi="Tahoma" w:cs="Tahoma"/>
              <w:bCs/>
              <w:sz w:val="24"/>
              <w:szCs w:val="24"/>
              <w:lang w:val="en-US" w:eastAsia="en-US"/>
            </w:rPr>
            <w:fldChar w:fldCharType="begin"/>
          </w:r>
          <w:r w:rsidRPr="00C434DD">
            <w:rPr>
              <w:rFonts w:ascii="Tahoma" w:eastAsiaTheme="minorHAnsi" w:hAnsi="Tahoma" w:cs="Tahoma"/>
              <w:bCs/>
              <w:sz w:val="24"/>
              <w:szCs w:val="24"/>
              <w:lang w:val="en-US" w:eastAsia="en-US"/>
            </w:rPr>
            <w:instrText xml:space="preserve"> CITATION Mar161 \l 1033 </w:instrText>
          </w:r>
          <w:r w:rsidRPr="00C434DD">
            <w:rPr>
              <w:rFonts w:ascii="Tahoma" w:eastAsiaTheme="minorHAnsi" w:hAnsi="Tahoma" w:cs="Tahoma"/>
              <w:bCs/>
              <w:sz w:val="24"/>
              <w:szCs w:val="24"/>
              <w:lang w:val="en-US" w:eastAsia="en-US"/>
            </w:rPr>
            <w:fldChar w:fldCharType="separate"/>
          </w:r>
          <w:r w:rsidRPr="00C434DD">
            <w:rPr>
              <w:rFonts w:ascii="Tahoma" w:eastAsiaTheme="minorHAnsi" w:hAnsi="Tahoma" w:cs="Tahoma"/>
              <w:bCs/>
              <w:sz w:val="24"/>
              <w:szCs w:val="24"/>
              <w:lang w:val="en-US" w:eastAsia="en-US"/>
            </w:rPr>
            <w:t xml:space="preserve"> (Weiss &amp; Solomon, 2016)</w:t>
          </w:r>
          <w:r w:rsidRPr="00C434DD">
            <w:rPr>
              <w:rFonts w:ascii="Tahoma" w:eastAsiaTheme="minorHAnsi" w:hAnsi="Tahoma" w:cs="Tahoma"/>
              <w:bCs/>
              <w:sz w:val="24"/>
              <w:szCs w:val="24"/>
              <w:lang w:val="en-US" w:eastAsia="en-US"/>
            </w:rPr>
            <w:fldChar w:fldCharType="end"/>
          </w:r>
        </w:sdtContent>
      </w:sdt>
      <w:r w:rsidRPr="00C434DD">
        <w:rPr>
          <w:rFonts w:ascii="Tahoma" w:eastAsiaTheme="minorHAnsi" w:hAnsi="Tahoma" w:cs="Tahoma"/>
          <w:bCs/>
          <w:sz w:val="24"/>
          <w:szCs w:val="24"/>
          <w:lang w:val="en-US" w:eastAsia="en-US"/>
        </w:rPr>
        <w:t xml:space="preserve">. </w:t>
      </w:r>
    </w:p>
    <w:p w14:paraId="5D29D222" w14:textId="77777777" w:rsidR="008B717D" w:rsidRPr="00C434DD" w:rsidRDefault="008B717D" w:rsidP="00D52A67">
      <w:pPr>
        <w:spacing w:line="480" w:lineRule="auto"/>
        <w:rPr>
          <w:rFonts w:ascii="Tahoma" w:eastAsiaTheme="minorHAnsi" w:hAnsi="Tahoma" w:cs="Tahoma"/>
          <w:bCs/>
          <w:sz w:val="24"/>
          <w:szCs w:val="24"/>
          <w:lang w:val="en-US" w:eastAsia="en-US"/>
        </w:rPr>
      </w:pPr>
    </w:p>
    <w:p w14:paraId="4CD554C4" w14:textId="286F5824" w:rsidR="00D52A67" w:rsidRDefault="00D52A67" w:rsidP="00D52A67">
      <w:pPr>
        <w:spacing w:line="480" w:lineRule="auto"/>
        <w:rPr>
          <w:rFonts w:ascii="Tahoma" w:eastAsiaTheme="minorHAnsi" w:hAnsi="Tahoma" w:cs="Tahoma"/>
          <w:bCs/>
          <w:sz w:val="24"/>
          <w:szCs w:val="24"/>
          <w:lang w:val="en-US" w:eastAsia="en-US"/>
        </w:rPr>
      </w:pPr>
      <w:r w:rsidRPr="00C434DD">
        <w:rPr>
          <w:rFonts w:ascii="Tahoma" w:eastAsiaTheme="minorHAnsi" w:hAnsi="Tahoma" w:cs="Tahoma"/>
          <w:bCs/>
          <w:sz w:val="24"/>
          <w:szCs w:val="24"/>
          <w:lang w:val="en-US" w:eastAsia="en-US"/>
        </w:rPr>
        <w:t xml:space="preserve">One of the laws in the United Kingdom that are directed at addressing cybercrimes, including internal hacking, is the Computer Misuse Act 1990. This refers to a United Kingdom’s Act of Parliament that was partly introduced to respond to the decision made by the court in R v Gold &amp; </w:t>
      </w:r>
      <w:proofErr w:type="spellStart"/>
      <w:r w:rsidRPr="00C434DD">
        <w:rPr>
          <w:rFonts w:ascii="Tahoma" w:eastAsiaTheme="minorHAnsi" w:hAnsi="Tahoma" w:cs="Tahoma"/>
          <w:bCs/>
          <w:sz w:val="24"/>
          <w:szCs w:val="24"/>
          <w:lang w:val="en-US" w:eastAsia="en-US"/>
        </w:rPr>
        <w:t>Schifreen</w:t>
      </w:r>
      <w:proofErr w:type="spellEnd"/>
      <w:r w:rsidRPr="00C434DD">
        <w:rPr>
          <w:rFonts w:ascii="Tahoma" w:eastAsiaTheme="minorHAnsi" w:hAnsi="Tahoma" w:cs="Tahoma"/>
          <w:bCs/>
          <w:sz w:val="24"/>
          <w:szCs w:val="24"/>
          <w:lang w:val="en-US" w:eastAsia="en-US"/>
        </w:rPr>
        <w:t xml:space="preserve"> (1988)</w:t>
      </w:r>
      <w:sdt>
        <w:sdtPr>
          <w:rPr>
            <w:rFonts w:ascii="Tahoma" w:eastAsiaTheme="minorHAnsi" w:hAnsi="Tahoma" w:cs="Tahoma"/>
            <w:bCs/>
            <w:sz w:val="24"/>
            <w:szCs w:val="24"/>
            <w:lang w:val="en-US" w:eastAsia="en-US"/>
          </w:rPr>
          <w:id w:val="-440149182"/>
          <w:citation/>
        </w:sdtPr>
        <w:sdtEndPr/>
        <w:sdtContent>
          <w:r w:rsidRPr="00C434DD">
            <w:rPr>
              <w:rFonts w:ascii="Tahoma" w:eastAsiaTheme="minorHAnsi" w:hAnsi="Tahoma" w:cs="Tahoma"/>
              <w:bCs/>
              <w:sz w:val="24"/>
              <w:szCs w:val="24"/>
              <w:lang w:val="en-US" w:eastAsia="en-US"/>
            </w:rPr>
            <w:fldChar w:fldCharType="begin"/>
          </w:r>
          <w:r w:rsidRPr="00C434DD">
            <w:rPr>
              <w:rFonts w:ascii="Tahoma" w:eastAsiaTheme="minorHAnsi" w:hAnsi="Tahoma" w:cs="Tahoma"/>
              <w:bCs/>
              <w:sz w:val="24"/>
              <w:szCs w:val="24"/>
              <w:lang w:val="en-US" w:eastAsia="en-US"/>
            </w:rPr>
            <w:instrText xml:space="preserve"> CITATION Ste14 \l 1033 </w:instrText>
          </w:r>
          <w:r w:rsidRPr="00C434DD">
            <w:rPr>
              <w:rFonts w:ascii="Tahoma" w:eastAsiaTheme="minorHAnsi" w:hAnsi="Tahoma" w:cs="Tahoma"/>
              <w:bCs/>
              <w:sz w:val="24"/>
              <w:szCs w:val="24"/>
              <w:lang w:val="en-US" w:eastAsia="en-US"/>
            </w:rPr>
            <w:fldChar w:fldCharType="separate"/>
          </w:r>
          <w:r w:rsidRPr="00C434DD">
            <w:rPr>
              <w:rFonts w:ascii="Tahoma" w:eastAsiaTheme="minorHAnsi" w:hAnsi="Tahoma" w:cs="Tahoma"/>
              <w:bCs/>
              <w:sz w:val="24"/>
              <w:szCs w:val="24"/>
              <w:lang w:val="en-US" w:eastAsia="en-US"/>
            </w:rPr>
            <w:t xml:space="preserve"> (Fafinski, 2014)</w:t>
          </w:r>
          <w:r w:rsidRPr="00C434DD">
            <w:rPr>
              <w:rFonts w:ascii="Tahoma" w:eastAsiaTheme="minorHAnsi" w:hAnsi="Tahoma" w:cs="Tahoma"/>
              <w:bCs/>
              <w:sz w:val="24"/>
              <w:szCs w:val="24"/>
              <w:lang w:val="en-US" w:eastAsia="en-US"/>
            </w:rPr>
            <w:fldChar w:fldCharType="end"/>
          </w:r>
        </w:sdtContent>
      </w:sdt>
      <w:r w:rsidRPr="00C434DD">
        <w:rPr>
          <w:rFonts w:ascii="Tahoma" w:eastAsiaTheme="minorHAnsi" w:hAnsi="Tahoma" w:cs="Tahoma"/>
          <w:bCs/>
          <w:sz w:val="24"/>
          <w:szCs w:val="24"/>
          <w:lang w:val="en-US" w:eastAsia="en-US"/>
        </w:rPr>
        <w:t xml:space="preserve">. The Act has formed a model that has been emulated by other countries such as the Republic of Ireland and Canada in the development of their cyber security laws. The law presents three criminal </w:t>
      </w:r>
      <w:r w:rsidRPr="00C434DD">
        <w:rPr>
          <w:rFonts w:ascii="Tahoma" w:eastAsiaTheme="minorHAnsi" w:hAnsi="Tahoma" w:cs="Tahoma"/>
          <w:bCs/>
          <w:sz w:val="24"/>
          <w:szCs w:val="24"/>
          <w:lang w:val="en-US" w:eastAsia="en-US"/>
        </w:rPr>
        <w:lastRenderedPageBreak/>
        <w:t>offenses including “unauthorized access to computer material, unauthorized access with intent to commit or facilitate commission of further offenses, and unauthorized modification of computer material,” all of which hold different sentences</w:t>
      </w:r>
      <w:sdt>
        <w:sdtPr>
          <w:rPr>
            <w:rFonts w:ascii="Tahoma" w:eastAsiaTheme="minorHAnsi" w:hAnsi="Tahoma" w:cs="Tahoma"/>
            <w:bCs/>
            <w:sz w:val="24"/>
            <w:szCs w:val="24"/>
            <w:lang w:val="en-US" w:eastAsia="en-US"/>
          </w:rPr>
          <w:id w:val="-1392271960"/>
          <w:citation/>
        </w:sdtPr>
        <w:sdtEndPr/>
        <w:sdtContent>
          <w:r w:rsidRPr="00C434DD">
            <w:rPr>
              <w:rFonts w:ascii="Tahoma" w:eastAsiaTheme="minorHAnsi" w:hAnsi="Tahoma" w:cs="Tahoma"/>
              <w:bCs/>
              <w:sz w:val="24"/>
              <w:szCs w:val="24"/>
              <w:lang w:val="en-US" w:eastAsia="en-US"/>
            </w:rPr>
            <w:fldChar w:fldCharType="begin"/>
          </w:r>
          <w:r w:rsidRPr="00C434DD">
            <w:rPr>
              <w:rFonts w:ascii="Tahoma" w:eastAsiaTheme="minorHAnsi" w:hAnsi="Tahoma" w:cs="Tahoma"/>
              <w:bCs/>
              <w:sz w:val="24"/>
              <w:szCs w:val="24"/>
              <w:lang w:val="en-US" w:eastAsia="en-US"/>
            </w:rPr>
            <w:instrText xml:space="preserve"> CITATION Ste14 \l 1033 </w:instrText>
          </w:r>
          <w:r w:rsidRPr="00C434DD">
            <w:rPr>
              <w:rFonts w:ascii="Tahoma" w:eastAsiaTheme="minorHAnsi" w:hAnsi="Tahoma" w:cs="Tahoma"/>
              <w:bCs/>
              <w:sz w:val="24"/>
              <w:szCs w:val="24"/>
              <w:lang w:val="en-US" w:eastAsia="en-US"/>
            </w:rPr>
            <w:fldChar w:fldCharType="separate"/>
          </w:r>
          <w:r w:rsidRPr="00C434DD">
            <w:rPr>
              <w:rFonts w:ascii="Tahoma" w:eastAsiaTheme="minorHAnsi" w:hAnsi="Tahoma" w:cs="Tahoma"/>
              <w:bCs/>
              <w:sz w:val="24"/>
              <w:szCs w:val="24"/>
              <w:lang w:val="en-US" w:eastAsia="en-US"/>
            </w:rPr>
            <w:t xml:space="preserve"> (Fafinski, 2014)</w:t>
          </w:r>
          <w:r w:rsidRPr="00C434DD">
            <w:rPr>
              <w:rFonts w:ascii="Tahoma" w:eastAsiaTheme="minorHAnsi" w:hAnsi="Tahoma" w:cs="Tahoma"/>
              <w:bCs/>
              <w:sz w:val="24"/>
              <w:szCs w:val="24"/>
              <w:lang w:val="en-US" w:eastAsia="en-US"/>
            </w:rPr>
            <w:fldChar w:fldCharType="end"/>
          </w:r>
        </w:sdtContent>
      </w:sdt>
      <w:r w:rsidRPr="00C434DD">
        <w:rPr>
          <w:rFonts w:ascii="Tahoma" w:eastAsiaTheme="minorHAnsi" w:hAnsi="Tahoma" w:cs="Tahoma"/>
          <w:bCs/>
          <w:sz w:val="24"/>
          <w:szCs w:val="24"/>
          <w:lang w:val="en-US" w:eastAsia="en-US"/>
        </w:rPr>
        <w:t xml:space="preserve">. When it comes to the issue of internal hacking, section 1 of the CMA significantly applies. </w:t>
      </w:r>
    </w:p>
    <w:p w14:paraId="5295253C" w14:textId="77777777" w:rsidR="008B717D" w:rsidRPr="00C434DD" w:rsidRDefault="008B717D" w:rsidP="00D52A67">
      <w:pPr>
        <w:spacing w:line="480" w:lineRule="auto"/>
        <w:rPr>
          <w:rFonts w:ascii="Tahoma" w:eastAsiaTheme="minorHAnsi" w:hAnsi="Tahoma" w:cs="Tahoma"/>
          <w:bCs/>
          <w:sz w:val="24"/>
          <w:szCs w:val="24"/>
          <w:lang w:val="en-US" w:eastAsia="en-US"/>
        </w:rPr>
      </w:pPr>
    </w:p>
    <w:p w14:paraId="2F21B45A" w14:textId="77777777" w:rsidR="00D52A67" w:rsidRPr="00C434DD" w:rsidRDefault="00D52A67" w:rsidP="00D52A67">
      <w:pPr>
        <w:spacing w:line="480" w:lineRule="auto"/>
        <w:rPr>
          <w:rFonts w:ascii="Tahoma" w:eastAsiaTheme="minorHAnsi" w:hAnsi="Tahoma" w:cs="Tahoma"/>
          <w:bCs/>
          <w:sz w:val="24"/>
          <w:szCs w:val="24"/>
          <w:lang w:val="en-US" w:eastAsia="en-US"/>
        </w:rPr>
      </w:pPr>
      <w:r w:rsidRPr="00C434DD">
        <w:rPr>
          <w:rFonts w:ascii="Tahoma" w:eastAsiaTheme="minorHAnsi" w:hAnsi="Tahoma" w:cs="Tahoma"/>
          <w:bCs/>
          <w:sz w:val="24"/>
          <w:szCs w:val="24"/>
          <w:lang w:val="en-US" w:eastAsia="en-US"/>
        </w:rPr>
        <w:t>With regards to the crime of unauthorized access to computer material, internal hackers are liable as they use a computer, including their computer or the company’s computer, to carry out a function that is aimed at securing access</w:t>
      </w:r>
      <w:sdt>
        <w:sdtPr>
          <w:rPr>
            <w:rFonts w:ascii="Tahoma" w:eastAsiaTheme="minorHAnsi" w:hAnsi="Tahoma" w:cs="Tahoma"/>
            <w:bCs/>
            <w:sz w:val="24"/>
            <w:szCs w:val="24"/>
            <w:lang w:val="en-US" w:eastAsia="en-US"/>
          </w:rPr>
          <w:id w:val="-213039589"/>
          <w:citation/>
        </w:sdtPr>
        <w:sdtEndPr/>
        <w:sdtContent>
          <w:r w:rsidRPr="00C434DD">
            <w:rPr>
              <w:rFonts w:ascii="Tahoma" w:eastAsiaTheme="minorHAnsi" w:hAnsi="Tahoma" w:cs="Tahoma"/>
              <w:bCs/>
              <w:sz w:val="24"/>
              <w:szCs w:val="24"/>
              <w:lang w:val="en-US" w:eastAsia="en-US"/>
            </w:rPr>
            <w:fldChar w:fldCharType="begin"/>
          </w:r>
          <w:r w:rsidRPr="00C434DD">
            <w:rPr>
              <w:rFonts w:ascii="Tahoma" w:eastAsiaTheme="minorHAnsi" w:hAnsi="Tahoma" w:cs="Tahoma"/>
              <w:bCs/>
              <w:sz w:val="24"/>
              <w:szCs w:val="24"/>
              <w:lang w:val="en-US" w:eastAsia="en-US"/>
            </w:rPr>
            <w:instrText xml:space="preserve"> CITATION Ste14 \l 1033 </w:instrText>
          </w:r>
          <w:r w:rsidRPr="00C434DD">
            <w:rPr>
              <w:rFonts w:ascii="Tahoma" w:eastAsiaTheme="minorHAnsi" w:hAnsi="Tahoma" w:cs="Tahoma"/>
              <w:bCs/>
              <w:sz w:val="24"/>
              <w:szCs w:val="24"/>
              <w:lang w:val="en-US" w:eastAsia="en-US"/>
            </w:rPr>
            <w:fldChar w:fldCharType="separate"/>
          </w:r>
          <w:r w:rsidRPr="00C434DD">
            <w:rPr>
              <w:rFonts w:ascii="Tahoma" w:eastAsiaTheme="minorHAnsi" w:hAnsi="Tahoma" w:cs="Tahoma"/>
              <w:bCs/>
              <w:sz w:val="24"/>
              <w:szCs w:val="24"/>
              <w:lang w:val="en-US" w:eastAsia="en-US"/>
            </w:rPr>
            <w:t xml:space="preserve"> (Fafinski, 2014)</w:t>
          </w:r>
          <w:r w:rsidRPr="00C434DD">
            <w:rPr>
              <w:rFonts w:ascii="Tahoma" w:eastAsiaTheme="minorHAnsi" w:hAnsi="Tahoma" w:cs="Tahoma"/>
              <w:bCs/>
              <w:sz w:val="24"/>
              <w:szCs w:val="24"/>
              <w:lang w:val="en-US" w:eastAsia="en-US"/>
            </w:rPr>
            <w:fldChar w:fldCharType="end"/>
          </w:r>
        </w:sdtContent>
      </w:sdt>
      <w:r w:rsidRPr="00C434DD">
        <w:rPr>
          <w:rFonts w:ascii="Tahoma" w:eastAsiaTheme="minorHAnsi" w:hAnsi="Tahoma" w:cs="Tahoma"/>
          <w:bCs/>
          <w:sz w:val="24"/>
          <w:szCs w:val="24"/>
          <w:lang w:val="en-US" w:eastAsia="en-US"/>
        </w:rPr>
        <w:t>. This does not include the individual merely coming into physical contact with the computer. The law does not cover events in which an accused person engaged in 'computer eavesdropping', reading data on display or any other confidential data that is readily accessible on the computer. To prove that an offender violated this law, the plaintiff must show knowledge that any attempted access was unauthorized and that the attacker intended to access to data or programs on the organization’s computer</w:t>
      </w:r>
      <w:sdt>
        <w:sdtPr>
          <w:rPr>
            <w:rFonts w:ascii="Tahoma" w:eastAsiaTheme="minorHAnsi" w:hAnsi="Tahoma" w:cs="Tahoma"/>
            <w:bCs/>
            <w:sz w:val="24"/>
            <w:szCs w:val="24"/>
            <w:lang w:val="en-US" w:eastAsia="en-US"/>
          </w:rPr>
          <w:id w:val="547501851"/>
          <w:citation/>
        </w:sdtPr>
        <w:sdtEndPr/>
        <w:sdtContent>
          <w:r w:rsidRPr="00C434DD">
            <w:rPr>
              <w:rFonts w:ascii="Tahoma" w:eastAsiaTheme="minorHAnsi" w:hAnsi="Tahoma" w:cs="Tahoma"/>
              <w:bCs/>
              <w:sz w:val="24"/>
              <w:szCs w:val="24"/>
              <w:lang w:val="en-US" w:eastAsia="en-US"/>
            </w:rPr>
            <w:fldChar w:fldCharType="begin"/>
          </w:r>
          <w:r w:rsidRPr="00C434DD">
            <w:rPr>
              <w:rFonts w:ascii="Tahoma" w:eastAsiaTheme="minorHAnsi" w:hAnsi="Tahoma" w:cs="Tahoma"/>
              <w:bCs/>
              <w:sz w:val="24"/>
              <w:szCs w:val="24"/>
              <w:lang w:val="en-US" w:eastAsia="en-US"/>
            </w:rPr>
            <w:instrText xml:space="preserve"> CITATION Ste14 \l 1033 </w:instrText>
          </w:r>
          <w:r w:rsidRPr="00C434DD">
            <w:rPr>
              <w:rFonts w:ascii="Tahoma" w:eastAsiaTheme="minorHAnsi" w:hAnsi="Tahoma" w:cs="Tahoma"/>
              <w:bCs/>
              <w:sz w:val="24"/>
              <w:szCs w:val="24"/>
              <w:lang w:val="en-US" w:eastAsia="en-US"/>
            </w:rPr>
            <w:fldChar w:fldCharType="separate"/>
          </w:r>
          <w:r w:rsidRPr="00C434DD">
            <w:rPr>
              <w:rFonts w:ascii="Tahoma" w:eastAsiaTheme="minorHAnsi" w:hAnsi="Tahoma" w:cs="Tahoma"/>
              <w:bCs/>
              <w:sz w:val="24"/>
              <w:szCs w:val="24"/>
              <w:lang w:val="en-US" w:eastAsia="en-US"/>
            </w:rPr>
            <w:t xml:space="preserve"> (Fafinski, 2014)</w:t>
          </w:r>
          <w:r w:rsidRPr="00C434DD">
            <w:rPr>
              <w:rFonts w:ascii="Tahoma" w:eastAsiaTheme="minorHAnsi" w:hAnsi="Tahoma" w:cs="Tahoma"/>
              <w:bCs/>
              <w:sz w:val="24"/>
              <w:szCs w:val="24"/>
              <w:lang w:val="en-US" w:eastAsia="en-US"/>
            </w:rPr>
            <w:fldChar w:fldCharType="end"/>
          </w:r>
        </w:sdtContent>
      </w:sdt>
      <w:r w:rsidRPr="00C434DD">
        <w:rPr>
          <w:rFonts w:ascii="Tahoma" w:eastAsiaTheme="minorHAnsi" w:hAnsi="Tahoma" w:cs="Tahoma"/>
          <w:bCs/>
          <w:sz w:val="24"/>
          <w:szCs w:val="24"/>
          <w:lang w:val="en-US" w:eastAsia="en-US"/>
        </w:rPr>
        <w:t xml:space="preserve">. As such, mere reckless may not be sufficient to demonstrate an employee’s surpassing of his or her authority in accessing organizational computers with the intention of using certain programs or data safeguarded on them. </w:t>
      </w:r>
    </w:p>
    <w:p w14:paraId="3B10AFAC" w14:textId="77777777" w:rsidR="00D52A67" w:rsidRPr="00C434DD" w:rsidRDefault="00D52A67" w:rsidP="00D52A67">
      <w:pPr>
        <w:spacing w:line="480" w:lineRule="auto"/>
        <w:rPr>
          <w:rFonts w:ascii="Tahoma" w:eastAsiaTheme="minorHAnsi" w:hAnsi="Tahoma" w:cs="Tahoma"/>
          <w:bCs/>
          <w:sz w:val="24"/>
          <w:szCs w:val="24"/>
          <w:lang w:val="en-US" w:eastAsia="en-US"/>
        </w:rPr>
      </w:pPr>
      <w:r w:rsidRPr="00C434DD">
        <w:rPr>
          <w:rFonts w:ascii="Tahoma" w:eastAsiaTheme="minorHAnsi" w:hAnsi="Tahoma" w:cs="Tahoma"/>
          <w:bCs/>
          <w:sz w:val="24"/>
          <w:szCs w:val="24"/>
          <w:lang w:val="en-US" w:eastAsia="en-US"/>
        </w:rPr>
        <w:t xml:space="preserve">The case of DPP v </w:t>
      </w:r>
      <w:proofErr w:type="spellStart"/>
      <w:r w:rsidRPr="00C434DD">
        <w:rPr>
          <w:rFonts w:ascii="Tahoma" w:eastAsiaTheme="minorHAnsi" w:hAnsi="Tahoma" w:cs="Tahoma"/>
          <w:bCs/>
          <w:sz w:val="24"/>
          <w:szCs w:val="24"/>
          <w:lang w:val="en-US" w:eastAsia="en-US"/>
        </w:rPr>
        <w:t>Bignell</w:t>
      </w:r>
      <w:proofErr w:type="spellEnd"/>
      <w:r w:rsidRPr="00C434DD">
        <w:rPr>
          <w:rFonts w:ascii="Tahoma" w:eastAsiaTheme="minorHAnsi" w:hAnsi="Tahoma" w:cs="Tahoma"/>
          <w:bCs/>
          <w:sz w:val="24"/>
          <w:szCs w:val="24"/>
          <w:lang w:val="en-US" w:eastAsia="en-US"/>
        </w:rPr>
        <w:t xml:space="preserve"> [1998] is was highly criticized alongside the Computer Misuse Act 1990 due to the decision that was reached by the House of Lords. The case involved two police officers who made a request to the police national computer (PNC) for information that was to be used for their personal use, without the knowledge of the </w:t>
      </w:r>
      <w:r w:rsidRPr="00C434DD">
        <w:rPr>
          <w:rFonts w:ascii="Tahoma" w:eastAsiaTheme="minorHAnsi" w:hAnsi="Tahoma" w:cs="Tahoma"/>
          <w:bCs/>
          <w:sz w:val="24"/>
          <w:szCs w:val="24"/>
          <w:lang w:val="en-US" w:eastAsia="en-US"/>
        </w:rPr>
        <w:lastRenderedPageBreak/>
        <w:t>operator</w:t>
      </w:r>
      <w:sdt>
        <w:sdtPr>
          <w:rPr>
            <w:rFonts w:ascii="Tahoma" w:eastAsiaTheme="minorHAnsi" w:hAnsi="Tahoma" w:cs="Tahoma"/>
            <w:bCs/>
            <w:sz w:val="24"/>
            <w:szCs w:val="24"/>
            <w:lang w:val="en-US" w:eastAsia="en-US"/>
          </w:rPr>
          <w:id w:val="1994366246"/>
          <w:citation/>
        </w:sdtPr>
        <w:sdtEndPr/>
        <w:sdtContent>
          <w:r w:rsidRPr="00C434DD">
            <w:rPr>
              <w:rFonts w:ascii="Tahoma" w:eastAsiaTheme="minorHAnsi" w:hAnsi="Tahoma" w:cs="Tahoma"/>
              <w:bCs/>
              <w:sz w:val="24"/>
              <w:szCs w:val="24"/>
              <w:lang w:val="en-US" w:eastAsia="en-US"/>
            </w:rPr>
            <w:fldChar w:fldCharType="begin"/>
          </w:r>
          <w:r w:rsidRPr="00C434DD">
            <w:rPr>
              <w:rFonts w:ascii="Tahoma" w:eastAsiaTheme="minorHAnsi" w:hAnsi="Tahoma" w:cs="Tahoma"/>
              <w:bCs/>
              <w:sz w:val="24"/>
              <w:szCs w:val="24"/>
              <w:lang w:val="en-US" w:eastAsia="en-US"/>
            </w:rPr>
            <w:instrText xml:space="preserve"> CITATION DPP98 \l 1033 </w:instrText>
          </w:r>
          <w:r w:rsidRPr="00C434DD">
            <w:rPr>
              <w:rFonts w:ascii="Tahoma" w:eastAsiaTheme="minorHAnsi" w:hAnsi="Tahoma" w:cs="Tahoma"/>
              <w:bCs/>
              <w:sz w:val="24"/>
              <w:szCs w:val="24"/>
              <w:lang w:val="en-US" w:eastAsia="en-US"/>
            </w:rPr>
            <w:fldChar w:fldCharType="separate"/>
          </w:r>
          <w:r w:rsidRPr="00C434DD">
            <w:rPr>
              <w:rFonts w:ascii="Tahoma" w:eastAsiaTheme="minorHAnsi" w:hAnsi="Tahoma" w:cs="Tahoma"/>
              <w:bCs/>
              <w:sz w:val="24"/>
              <w:szCs w:val="24"/>
              <w:lang w:val="en-US" w:eastAsia="en-US"/>
            </w:rPr>
            <w:t xml:space="preserve"> (DPP v Bignell, 1998)</w:t>
          </w:r>
          <w:r w:rsidRPr="00C434DD">
            <w:rPr>
              <w:rFonts w:ascii="Tahoma" w:eastAsiaTheme="minorHAnsi" w:hAnsi="Tahoma" w:cs="Tahoma"/>
              <w:bCs/>
              <w:sz w:val="24"/>
              <w:szCs w:val="24"/>
              <w:lang w:val="en-US" w:eastAsia="en-US"/>
            </w:rPr>
            <w:fldChar w:fldCharType="end"/>
          </w:r>
        </w:sdtContent>
      </w:sdt>
      <w:r w:rsidRPr="00C434DD">
        <w:rPr>
          <w:rFonts w:ascii="Tahoma" w:eastAsiaTheme="minorHAnsi" w:hAnsi="Tahoma" w:cs="Tahoma"/>
          <w:bCs/>
          <w:sz w:val="24"/>
          <w:szCs w:val="24"/>
          <w:lang w:val="en-US" w:eastAsia="en-US"/>
        </w:rPr>
        <w:t xml:space="preserve">. The police officers only had authorization to request such information for the purposes of policing only and did not inform the PNC operator that the information that they were requesting for was to be used for personal engagements. According to the decision of the Divisional Court, the two officers were within their </w:t>
      </w:r>
      <w:proofErr w:type="gramStart"/>
      <w:r w:rsidRPr="00C434DD">
        <w:rPr>
          <w:rFonts w:ascii="Tahoma" w:eastAsiaTheme="minorHAnsi" w:hAnsi="Tahoma" w:cs="Tahoma"/>
          <w:bCs/>
          <w:sz w:val="24"/>
          <w:szCs w:val="24"/>
          <w:lang w:val="en-US" w:eastAsia="en-US"/>
        </w:rPr>
        <w:t>limits</w:t>
      </w:r>
      <w:proofErr w:type="gramEnd"/>
      <w:r w:rsidRPr="00C434DD">
        <w:rPr>
          <w:rFonts w:ascii="Tahoma" w:eastAsiaTheme="minorHAnsi" w:hAnsi="Tahoma" w:cs="Tahoma"/>
          <w:bCs/>
          <w:sz w:val="24"/>
          <w:szCs w:val="24"/>
          <w:lang w:val="en-US" w:eastAsia="en-US"/>
        </w:rPr>
        <w:t xml:space="preserve"> ad had not committed an offense under Section 1 of the Computer Misuse Act</w:t>
      </w:r>
      <w:sdt>
        <w:sdtPr>
          <w:rPr>
            <w:rFonts w:ascii="Tahoma" w:eastAsiaTheme="minorHAnsi" w:hAnsi="Tahoma" w:cs="Tahoma"/>
            <w:bCs/>
            <w:sz w:val="24"/>
            <w:szCs w:val="24"/>
            <w:lang w:val="en-US" w:eastAsia="en-US"/>
          </w:rPr>
          <w:id w:val="177865955"/>
          <w:citation/>
        </w:sdtPr>
        <w:sdtEndPr/>
        <w:sdtContent>
          <w:r w:rsidRPr="00C434DD">
            <w:rPr>
              <w:rFonts w:ascii="Tahoma" w:eastAsiaTheme="minorHAnsi" w:hAnsi="Tahoma" w:cs="Tahoma"/>
              <w:bCs/>
              <w:sz w:val="24"/>
              <w:szCs w:val="24"/>
              <w:lang w:val="en-US" w:eastAsia="en-US"/>
            </w:rPr>
            <w:fldChar w:fldCharType="begin"/>
          </w:r>
          <w:r w:rsidRPr="00C434DD">
            <w:rPr>
              <w:rFonts w:ascii="Tahoma" w:eastAsiaTheme="minorHAnsi" w:hAnsi="Tahoma" w:cs="Tahoma"/>
              <w:bCs/>
              <w:sz w:val="24"/>
              <w:szCs w:val="24"/>
              <w:lang w:val="en-US" w:eastAsia="en-US"/>
            </w:rPr>
            <w:instrText xml:space="preserve"> CITATION DPP98 \l 1033 </w:instrText>
          </w:r>
          <w:r w:rsidRPr="00C434DD">
            <w:rPr>
              <w:rFonts w:ascii="Tahoma" w:eastAsiaTheme="minorHAnsi" w:hAnsi="Tahoma" w:cs="Tahoma"/>
              <w:bCs/>
              <w:sz w:val="24"/>
              <w:szCs w:val="24"/>
              <w:lang w:val="en-US" w:eastAsia="en-US"/>
            </w:rPr>
            <w:fldChar w:fldCharType="separate"/>
          </w:r>
          <w:r w:rsidRPr="00C434DD">
            <w:rPr>
              <w:rFonts w:ascii="Tahoma" w:eastAsiaTheme="minorHAnsi" w:hAnsi="Tahoma" w:cs="Tahoma"/>
              <w:bCs/>
              <w:sz w:val="24"/>
              <w:szCs w:val="24"/>
              <w:lang w:val="en-US" w:eastAsia="en-US"/>
            </w:rPr>
            <w:t xml:space="preserve"> (DPP v Bignell, 1998)</w:t>
          </w:r>
          <w:r w:rsidRPr="00C434DD">
            <w:rPr>
              <w:rFonts w:ascii="Tahoma" w:eastAsiaTheme="minorHAnsi" w:hAnsi="Tahoma" w:cs="Tahoma"/>
              <w:bCs/>
              <w:sz w:val="24"/>
              <w:szCs w:val="24"/>
              <w:lang w:val="en-US" w:eastAsia="en-US"/>
            </w:rPr>
            <w:fldChar w:fldCharType="end"/>
          </w:r>
        </w:sdtContent>
      </w:sdt>
      <w:r w:rsidRPr="00C434DD">
        <w:rPr>
          <w:rFonts w:ascii="Tahoma" w:eastAsiaTheme="minorHAnsi" w:hAnsi="Tahoma" w:cs="Tahoma"/>
          <w:bCs/>
          <w:sz w:val="24"/>
          <w:szCs w:val="24"/>
          <w:lang w:val="en-US" w:eastAsia="en-US"/>
        </w:rPr>
        <w:t>. This decision was affirmed by the House of Lords, with the Court stating that the officers’ role was merely to make a request to the operator to obtain information using a computer. The one involved in retrieving the information, the PNC operator, was within his authority to obtain such information. The operator was authorized to access the computer and the data on it in response to requests made through the correct channels by police officers</w:t>
      </w:r>
      <w:sdt>
        <w:sdtPr>
          <w:rPr>
            <w:rFonts w:ascii="Tahoma" w:eastAsiaTheme="minorHAnsi" w:hAnsi="Tahoma" w:cs="Tahoma"/>
            <w:bCs/>
            <w:sz w:val="24"/>
            <w:szCs w:val="24"/>
            <w:lang w:val="en-US" w:eastAsia="en-US"/>
          </w:rPr>
          <w:id w:val="-484156789"/>
          <w:citation/>
        </w:sdtPr>
        <w:sdtEndPr/>
        <w:sdtContent>
          <w:r w:rsidRPr="00C434DD">
            <w:rPr>
              <w:rFonts w:ascii="Tahoma" w:eastAsiaTheme="minorHAnsi" w:hAnsi="Tahoma" w:cs="Tahoma"/>
              <w:bCs/>
              <w:sz w:val="24"/>
              <w:szCs w:val="24"/>
              <w:lang w:val="en-US" w:eastAsia="en-US"/>
            </w:rPr>
            <w:fldChar w:fldCharType="begin"/>
          </w:r>
          <w:r w:rsidRPr="00C434DD">
            <w:rPr>
              <w:rFonts w:ascii="Tahoma" w:eastAsiaTheme="minorHAnsi" w:hAnsi="Tahoma" w:cs="Tahoma"/>
              <w:bCs/>
              <w:sz w:val="24"/>
              <w:szCs w:val="24"/>
              <w:lang w:val="en-US" w:eastAsia="en-US"/>
            </w:rPr>
            <w:instrText xml:space="preserve"> CITATION DPP98 \l 1033 </w:instrText>
          </w:r>
          <w:r w:rsidRPr="00C434DD">
            <w:rPr>
              <w:rFonts w:ascii="Tahoma" w:eastAsiaTheme="minorHAnsi" w:hAnsi="Tahoma" w:cs="Tahoma"/>
              <w:bCs/>
              <w:sz w:val="24"/>
              <w:szCs w:val="24"/>
              <w:lang w:val="en-US" w:eastAsia="en-US"/>
            </w:rPr>
            <w:fldChar w:fldCharType="separate"/>
          </w:r>
          <w:r w:rsidRPr="00C434DD">
            <w:rPr>
              <w:rFonts w:ascii="Tahoma" w:eastAsiaTheme="minorHAnsi" w:hAnsi="Tahoma" w:cs="Tahoma"/>
              <w:bCs/>
              <w:sz w:val="24"/>
              <w:szCs w:val="24"/>
              <w:lang w:val="en-US" w:eastAsia="en-US"/>
            </w:rPr>
            <w:t xml:space="preserve"> (DPP v Bignell, 1998)</w:t>
          </w:r>
          <w:r w:rsidRPr="00C434DD">
            <w:rPr>
              <w:rFonts w:ascii="Tahoma" w:eastAsiaTheme="minorHAnsi" w:hAnsi="Tahoma" w:cs="Tahoma"/>
              <w:bCs/>
              <w:sz w:val="24"/>
              <w:szCs w:val="24"/>
              <w:lang w:val="en-US" w:eastAsia="en-US"/>
            </w:rPr>
            <w:fldChar w:fldCharType="end"/>
          </w:r>
        </w:sdtContent>
      </w:sdt>
      <w:r w:rsidRPr="00C434DD">
        <w:rPr>
          <w:rFonts w:ascii="Tahoma" w:eastAsiaTheme="minorHAnsi" w:hAnsi="Tahoma" w:cs="Tahoma"/>
          <w:bCs/>
          <w:sz w:val="24"/>
          <w:szCs w:val="24"/>
          <w:lang w:val="en-US" w:eastAsia="en-US"/>
        </w:rPr>
        <w:t xml:space="preserve">. </w:t>
      </w:r>
    </w:p>
    <w:p w14:paraId="07F4D393" w14:textId="5CBE0400" w:rsidR="00376631" w:rsidRPr="00C434DD" w:rsidRDefault="00D52A67" w:rsidP="00D52A67">
      <w:pPr>
        <w:spacing w:line="480" w:lineRule="auto"/>
        <w:rPr>
          <w:rFonts w:ascii="Tahoma" w:eastAsiaTheme="minorHAnsi" w:hAnsi="Tahoma" w:cs="Tahoma"/>
          <w:bCs/>
          <w:sz w:val="24"/>
          <w:szCs w:val="24"/>
          <w:lang w:val="en-US" w:eastAsia="en-US"/>
        </w:rPr>
      </w:pPr>
      <w:r w:rsidRPr="00C434DD">
        <w:rPr>
          <w:rFonts w:ascii="Tahoma" w:eastAsiaTheme="minorHAnsi" w:hAnsi="Tahoma" w:cs="Tahoma"/>
          <w:bCs/>
          <w:sz w:val="24"/>
          <w:szCs w:val="24"/>
          <w:lang w:val="en-US" w:eastAsia="en-US"/>
        </w:rPr>
        <w:t>The decision by the House of Lords attracted significant criticism concerning the Act’s effectiveness in catching specific inside hackers. Generally, it is argued that the issue of authorization refers to both the ‘area of conduct’ as well as the conduct itself</w:t>
      </w:r>
      <w:sdt>
        <w:sdtPr>
          <w:rPr>
            <w:rFonts w:ascii="Tahoma" w:eastAsiaTheme="minorHAnsi" w:hAnsi="Tahoma" w:cs="Tahoma"/>
            <w:bCs/>
            <w:sz w:val="24"/>
            <w:szCs w:val="24"/>
            <w:lang w:val="en-US" w:eastAsia="en-US"/>
          </w:rPr>
          <w:id w:val="-2031329273"/>
          <w:citation/>
        </w:sdtPr>
        <w:sdtEndPr/>
        <w:sdtContent>
          <w:r w:rsidRPr="00C434DD">
            <w:rPr>
              <w:rFonts w:ascii="Tahoma" w:eastAsiaTheme="minorHAnsi" w:hAnsi="Tahoma" w:cs="Tahoma"/>
              <w:bCs/>
              <w:sz w:val="24"/>
              <w:szCs w:val="24"/>
              <w:lang w:val="en-US" w:eastAsia="en-US"/>
            </w:rPr>
            <w:fldChar w:fldCharType="begin"/>
          </w:r>
          <w:r w:rsidRPr="00C434DD">
            <w:rPr>
              <w:rFonts w:ascii="Tahoma" w:eastAsiaTheme="minorHAnsi" w:hAnsi="Tahoma" w:cs="Tahoma"/>
              <w:bCs/>
              <w:sz w:val="24"/>
              <w:szCs w:val="24"/>
              <w:lang w:val="en-US" w:eastAsia="en-US"/>
            </w:rPr>
            <w:instrText xml:space="preserve"> CITATION Ste14 \l 1033 </w:instrText>
          </w:r>
          <w:r w:rsidRPr="00C434DD">
            <w:rPr>
              <w:rFonts w:ascii="Tahoma" w:eastAsiaTheme="minorHAnsi" w:hAnsi="Tahoma" w:cs="Tahoma"/>
              <w:bCs/>
              <w:sz w:val="24"/>
              <w:szCs w:val="24"/>
              <w:lang w:val="en-US" w:eastAsia="en-US"/>
            </w:rPr>
            <w:fldChar w:fldCharType="separate"/>
          </w:r>
          <w:r w:rsidRPr="00C434DD">
            <w:rPr>
              <w:rFonts w:ascii="Tahoma" w:eastAsiaTheme="minorHAnsi" w:hAnsi="Tahoma" w:cs="Tahoma"/>
              <w:bCs/>
              <w:sz w:val="24"/>
              <w:szCs w:val="24"/>
              <w:lang w:val="en-US" w:eastAsia="en-US"/>
            </w:rPr>
            <w:t xml:space="preserve"> (Fafinski, 2014)</w:t>
          </w:r>
          <w:r w:rsidRPr="00C434DD">
            <w:rPr>
              <w:rFonts w:ascii="Tahoma" w:eastAsiaTheme="minorHAnsi" w:hAnsi="Tahoma" w:cs="Tahoma"/>
              <w:bCs/>
              <w:sz w:val="24"/>
              <w:szCs w:val="24"/>
              <w:lang w:val="en-US" w:eastAsia="en-US"/>
            </w:rPr>
            <w:fldChar w:fldCharType="end"/>
          </w:r>
        </w:sdtContent>
      </w:sdt>
      <w:r w:rsidRPr="00C434DD">
        <w:rPr>
          <w:rFonts w:ascii="Tahoma" w:eastAsiaTheme="minorHAnsi" w:hAnsi="Tahoma" w:cs="Tahoma"/>
          <w:bCs/>
          <w:sz w:val="24"/>
          <w:szCs w:val="24"/>
          <w:lang w:val="en-US" w:eastAsia="en-US"/>
        </w:rPr>
        <w:t xml:space="preserve">. However, in </w:t>
      </w:r>
      <w:proofErr w:type="spellStart"/>
      <w:r w:rsidRPr="00C434DD">
        <w:rPr>
          <w:rFonts w:ascii="Tahoma" w:eastAsiaTheme="minorHAnsi" w:hAnsi="Tahoma" w:cs="Tahoma"/>
          <w:bCs/>
          <w:sz w:val="24"/>
          <w:szCs w:val="24"/>
          <w:lang w:val="en-US" w:eastAsia="en-US"/>
        </w:rPr>
        <w:t>Bignell</w:t>
      </w:r>
      <w:proofErr w:type="spellEnd"/>
      <w:r w:rsidRPr="00C434DD">
        <w:rPr>
          <w:rFonts w:ascii="Tahoma" w:eastAsiaTheme="minorHAnsi" w:hAnsi="Tahoma" w:cs="Tahoma"/>
          <w:bCs/>
          <w:sz w:val="24"/>
          <w:szCs w:val="24"/>
          <w:lang w:val="en-US" w:eastAsia="en-US"/>
        </w:rPr>
        <w:t>, the Court’s decision brought up questions concerning the extent and true nature of authority that the conduct of a defendant has. The case left unanswered what it means by making an ‘unauthorized’ access by insider hackers, who are required or permitted to access organizational computers for certain purposes. According to Section 17(5) of the Computer Misuse Act, if an accused person did not have an entitlement to gain access for the purposes in question and was not provided with consent with regard to the same then the access is unauthorized</w:t>
      </w:r>
      <w:sdt>
        <w:sdtPr>
          <w:rPr>
            <w:rFonts w:ascii="Tahoma" w:eastAsiaTheme="minorHAnsi" w:hAnsi="Tahoma" w:cs="Tahoma"/>
            <w:bCs/>
            <w:sz w:val="24"/>
            <w:szCs w:val="24"/>
            <w:lang w:val="en-US" w:eastAsia="en-US"/>
          </w:rPr>
          <w:id w:val="-965579262"/>
          <w:citation/>
        </w:sdtPr>
        <w:sdtEndPr/>
        <w:sdtContent>
          <w:r w:rsidRPr="00C434DD">
            <w:rPr>
              <w:rFonts w:ascii="Tahoma" w:eastAsiaTheme="minorHAnsi" w:hAnsi="Tahoma" w:cs="Tahoma"/>
              <w:bCs/>
              <w:sz w:val="24"/>
              <w:szCs w:val="24"/>
              <w:lang w:val="en-US" w:eastAsia="en-US"/>
            </w:rPr>
            <w:fldChar w:fldCharType="begin"/>
          </w:r>
          <w:r w:rsidRPr="00C434DD">
            <w:rPr>
              <w:rFonts w:ascii="Tahoma" w:eastAsiaTheme="minorHAnsi" w:hAnsi="Tahoma" w:cs="Tahoma"/>
              <w:bCs/>
              <w:sz w:val="24"/>
              <w:szCs w:val="24"/>
              <w:lang w:val="en-US" w:eastAsia="en-US"/>
            </w:rPr>
            <w:instrText xml:space="preserve"> CITATION Ste14 \l 1033 </w:instrText>
          </w:r>
          <w:r w:rsidRPr="00C434DD">
            <w:rPr>
              <w:rFonts w:ascii="Tahoma" w:eastAsiaTheme="minorHAnsi" w:hAnsi="Tahoma" w:cs="Tahoma"/>
              <w:bCs/>
              <w:sz w:val="24"/>
              <w:szCs w:val="24"/>
              <w:lang w:val="en-US" w:eastAsia="en-US"/>
            </w:rPr>
            <w:fldChar w:fldCharType="separate"/>
          </w:r>
          <w:r w:rsidRPr="00C434DD">
            <w:rPr>
              <w:rFonts w:ascii="Tahoma" w:eastAsiaTheme="minorHAnsi" w:hAnsi="Tahoma" w:cs="Tahoma"/>
              <w:bCs/>
              <w:sz w:val="24"/>
              <w:szCs w:val="24"/>
              <w:lang w:val="en-US" w:eastAsia="en-US"/>
            </w:rPr>
            <w:t xml:space="preserve"> (Fafinski, 2014)</w:t>
          </w:r>
          <w:r w:rsidRPr="00C434DD">
            <w:rPr>
              <w:rFonts w:ascii="Tahoma" w:eastAsiaTheme="minorHAnsi" w:hAnsi="Tahoma" w:cs="Tahoma"/>
              <w:bCs/>
              <w:sz w:val="24"/>
              <w:szCs w:val="24"/>
              <w:lang w:val="en-US" w:eastAsia="en-US"/>
            </w:rPr>
            <w:fldChar w:fldCharType="end"/>
          </w:r>
        </w:sdtContent>
      </w:sdt>
      <w:r w:rsidRPr="00C434DD">
        <w:rPr>
          <w:rFonts w:ascii="Tahoma" w:eastAsiaTheme="minorHAnsi" w:hAnsi="Tahoma" w:cs="Tahoma"/>
          <w:bCs/>
          <w:sz w:val="24"/>
          <w:szCs w:val="24"/>
          <w:lang w:val="en-US" w:eastAsia="en-US"/>
        </w:rPr>
        <w:t xml:space="preserve">. Nevertheless, the deficiencies in the scope of this provision when the users hold some </w:t>
      </w:r>
      <w:r w:rsidRPr="00C434DD">
        <w:rPr>
          <w:rFonts w:ascii="Tahoma" w:eastAsiaTheme="minorHAnsi" w:hAnsi="Tahoma" w:cs="Tahoma"/>
          <w:bCs/>
          <w:sz w:val="24"/>
          <w:szCs w:val="24"/>
          <w:lang w:val="en-US" w:eastAsia="en-US"/>
        </w:rPr>
        <w:lastRenderedPageBreak/>
        <w:t xml:space="preserve">access rights were revealed in DPP v </w:t>
      </w:r>
      <w:proofErr w:type="spellStart"/>
      <w:r w:rsidRPr="00C434DD">
        <w:rPr>
          <w:rFonts w:ascii="Tahoma" w:eastAsiaTheme="minorHAnsi" w:hAnsi="Tahoma" w:cs="Tahoma"/>
          <w:bCs/>
          <w:sz w:val="24"/>
          <w:szCs w:val="24"/>
          <w:lang w:val="en-US" w:eastAsia="en-US"/>
        </w:rPr>
        <w:t>Bignell</w:t>
      </w:r>
      <w:proofErr w:type="spellEnd"/>
      <w:r w:rsidRPr="00C434DD">
        <w:rPr>
          <w:rFonts w:ascii="Tahoma" w:eastAsiaTheme="minorHAnsi" w:hAnsi="Tahoma" w:cs="Tahoma"/>
          <w:bCs/>
          <w:sz w:val="24"/>
          <w:szCs w:val="24"/>
          <w:lang w:val="en-US" w:eastAsia="en-US"/>
        </w:rPr>
        <w:t xml:space="preserve">. As much as the police officers were authorized to request information that was to be used for policing purposes, they were not authorized to request information that was to be used for personal purposes. Thus, they violated the CMA as they surpassed their authority in causing another to access and pass on information to them for the wrong purposes.  </w:t>
      </w:r>
    </w:p>
    <w:p w14:paraId="73032D4B" w14:textId="19948066" w:rsidR="00376631" w:rsidRDefault="00376631" w:rsidP="00D52A67">
      <w:pPr>
        <w:spacing w:line="480" w:lineRule="auto"/>
        <w:rPr>
          <w:rFonts w:ascii="Tahoma" w:eastAsiaTheme="minorHAnsi" w:hAnsi="Tahoma" w:cs="Tahoma"/>
          <w:bCs/>
          <w:sz w:val="24"/>
          <w:szCs w:val="24"/>
          <w:lang w:val="en-US" w:eastAsia="en-US"/>
        </w:rPr>
      </w:pPr>
    </w:p>
    <w:p w14:paraId="5BED7AE0" w14:textId="0A748D2B" w:rsidR="00D52A67" w:rsidRPr="008B717D" w:rsidRDefault="00376631" w:rsidP="008B717D">
      <w:pPr>
        <w:jc w:val="center"/>
        <w:rPr>
          <w:rFonts w:ascii="Tahoma" w:eastAsiaTheme="minorHAnsi" w:hAnsi="Tahoma" w:cs="Tahoma"/>
          <w:bCs/>
          <w:sz w:val="24"/>
          <w:szCs w:val="24"/>
          <w:lang w:val="en-US" w:eastAsia="en-US"/>
        </w:rPr>
      </w:pPr>
      <w:r>
        <w:rPr>
          <w:rFonts w:ascii="Tahoma" w:eastAsiaTheme="minorHAnsi" w:hAnsi="Tahoma" w:cs="Tahoma"/>
          <w:bCs/>
          <w:sz w:val="24"/>
          <w:szCs w:val="24"/>
          <w:lang w:val="en-US" w:eastAsia="en-US"/>
        </w:rPr>
        <w:br w:type="page"/>
      </w:r>
      <w:r w:rsidR="00D52A67" w:rsidRPr="00376631">
        <w:rPr>
          <w:rFonts w:ascii="Tahoma" w:eastAsiaTheme="minorHAnsi" w:hAnsi="Tahoma" w:cs="Tahoma"/>
          <w:b/>
          <w:sz w:val="30"/>
          <w:szCs w:val="30"/>
          <w:u w:val="single"/>
          <w:lang w:val="en-US" w:eastAsia="en-US"/>
        </w:rPr>
        <w:lastRenderedPageBreak/>
        <w:t>Question 2</w:t>
      </w:r>
    </w:p>
    <w:p w14:paraId="788B5417" w14:textId="77777777" w:rsidR="00E6298E" w:rsidRPr="00376631" w:rsidRDefault="00E6298E" w:rsidP="00376631">
      <w:pPr>
        <w:rPr>
          <w:rFonts w:ascii="Tahoma" w:eastAsiaTheme="minorHAnsi" w:hAnsi="Tahoma" w:cs="Tahoma"/>
          <w:bCs/>
          <w:sz w:val="24"/>
          <w:szCs w:val="24"/>
          <w:lang w:val="en-US" w:eastAsia="en-US"/>
        </w:rPr>
      </w:pPr>
    </w:p>
    <w:p w14:paraId="408FBB1E" w14:textId="77777777" w:rsidR="00D52A67" w:rsidRPr="00C434DD" w:rsidRDefault="00D52A67" w:rsidP="00D52A67">
      <w:pPr>
        <w:spacing w:line="480" w:lineRule="auto"/>
        <w:rPr>
          <w:rFonts w:ascii="Tahoma" w:eastAsiaTheme="minorHAnsi" w:hAnsi="Tahoma" w:cs="Tahoma"/>
          <w:bCs/>
          <w:sz w:val="24"/>
          <w:szCs w:val="24"/>
          <w:lang w:val="en-US" w:eastAsia="en-US"/>
        </w:rPr>
      </w:pPr>
      <w:r w:rsidRPr="00C434DD">
        <w:rPr>
          <w:rFonts w:ascii="Tahoma" w:eastAsiaTheme="minorHAnsi" w:hAnsi="Tahoma" w:cs="Tahoma"/>
          <w:bCs/>
          <w:sz w:val="24"/>
          <w:szCs w:val="24"/>
          <w:lang w:val="en-US" w:eastAsia="en-US"/>
        </w:rPr>
        <w:t>Ordinary shares, as the ones held by Orion plc., form the most common type of share that is issued to shareholders. Generally, these shares are considered as equity investments</w:t>
      </w:r>
      <w:sdt>
        <w:sdtPr>
          <w:rPr>
            <w:rFonts w:ascii="Tahoma" w:eastAsiaTheme="minorHAnsi" w:hAnsi="Tahoma" w:cs="Tahoma"/>
            <w:bCs/>
            <w:sz w:val="24"/>
            <w:szCs w:val="24"/>
            <w:lang w:val="en-US" w:eastAsia="en-US"/>
          </w:rPr>
          <w:id w:val="-1490631136"/>
          <w:citation/>
        </w:sdtPr>
        <w:sdtEndPr/>
        <w:sdtContent>
          <w:r w:rsidRPr="00C434DD">
            <w:rPr>
              <w:rFonts w:ascii="Tahoma" w:eastAsiaTheme="minorHAnsi" w:hAnsi="Tahoma" w:cs="Tahoma"/>
              <w:bCs/>
              <w:sz w:val="24"/>
              <w:szCs w:val="24"/>
              <w:lang w:val="en-US" w:eastAsia="en-US"/>
            </w:rPr>
            <w:fldChar w:fldCharType="begin"/>
          </w:r>
          <w:r w:rsidRPr="00C434DD">
            <w:rPr>
              <w:rFonts w:ascii="Tahoma" w:eastAsiaTheme="minorHAnsi" w:hAnsi="Tahoma" w:cs="Tahoma"/>
              <w:bCs/>
              <w:sz w:val="24"/>
              <w:szCs w:val="24"/>
              <w:lang w:val="en-US" w:eastAsia="en-US"/>
            </w:rPr>
            <w:instrText xml:space="preserve"> CITATION And16 \l 1033 </w:instrText>
          </w:r>
          <w:r w:rsidRPr="00C434DD">
            <w:rPr>
              <w:rFonts w:ascii="Tahoma" w:eastAsiaTheme="minorHAnsi" w:hAnsi="Tahoma" w:cs="Tahoma"/>
              <w:bCs/>
              <w:sz w:val="24"/>
              <w:szCs w:val="24"/>
              <w:lang w:val="en-US" w:eastAsia="en-US"/>
            </w:rPr>
            <w:fldChar w:fldCharType="separate"/>
          </w:r>
          <w:r w:rsidRPr="00C434DD">
            <w:rPr>
              <w:rFonts w:ascii="Tahoma" w:eastAsiaTheme="minorHAnsi" w:hAnsi="Tahoma" w:cs="Tahoma"/>
              <w:bCs/>
              <w:sz w:val="24"/>
              <w:szCs w:val="24"/>
              <w:lang w:val="en-US" w:eastAsia="en-US"/>
            </w:rPr>
            <w:t xml:space="preserve"> (Murray, 2016)</w:t>
          </w:r>
          <w:r w:rsidRPr="00C434DD">
            <w:rPr>
              <w:rFonts w:ascii="Tahoma" w:eastAsiaTheme="minorHAnsi" w:hAnsi="Tahoma" w:cs="Tahoma"/>
              <w:bCs/>
              <w:sz w:val="24"/>
              <w:szCs w:val="24"/>
              <w:lang w:val="en-US" w:eastAsia="en-US"/>
            </w:rPr>
            <w:fldChar w:fldCharType="end"/>
          </w:r>
        </w:sdtContent>
      </w:sdt>
      <w:r w:rsidRPr="00C434DD">
        <w:rPr>
          <w:rFonts w:ascii="Tahoma" w:eastAsiaTheme="minorHAnsi" w:hAnsi="Tahoma" w:cs="Tahoma"/>
          <w:bCs/>
          <w:sz w:val="24"/>
          <w:szCs w:val="24"/>
          <w:lang w:val="en-US" w:eastAsia="en-US"/>
        </w:rPr>
        <w:t>. They are suitable in cases where the shareholder seeks to exert a level of control over the organization through voting, to partake of earnings through dividends, and to contribute through the growth of the company through capital investments. On the other hand, preference shares include shares with which the shareholder does not have a right to exercise control over the company through voting and cannot take part in any earnings beyond a predetermined amount of dividend distribution, winding up, or redemption</w:t>
      </w:r>
      <w:sdt>
        <w:sdtPr>
          <w:rPr>
            <w:rFonts w:ascii="Tahoma" w:eastAsiaTheme="minorHAnsi" w:hAnsi="Tahoma" w:cs="Tahoma"/>
            <w:bCs/>
            <w:sz w:val="24"/>
            <w:szCs w:val="24"/>
            <w:lang w:val="en-US" w:eastAsia="en-US"/>
          </w:rPr>
          <w:id w:val="703828979"/>
          <w:citation/>
        </w:sdtPr>
        <w:sdtEndPr/>
        <w:sdtContent>
          <w:r w:rsidRPr="00C434DD">
            <w:rPr>
              <w:rFonts w:ascii="Tahoma" w:eastAsiaTheme="minorHAnsi" w:hAnsi="Tahoma" w:cs="Tahoma"/>
              <w:bCs/>
              <w:sz w:val="24"/>
              <w:szCs w:val="24"/>
              <w:lang w:val="en-US" w:eastAsia="en-US"/>
            </w:rPr>
            <w:fldChar w:fldCharType="begin"/>
          </w:r>
          <w:r w:rsidRPr="00C434DD">
            <w:rPr>
              <w:rFonts w:ascii="Tahoma" w:eastAsiaTheme="minorHAnsi" w:hAnsi="Tahoma" w:cs="Tahoma"/>
              <w:bCs/>
              <w:sz w:val="24"/>
              <w:szCs w:val="24"/>
              <w:lang w:val="en-US" w:eastAsia="en-US"/>
            </w:rPr>
            <w:instrText xml:space="preserve"> CITATION And16 \l 1033 </w:instrText>
          </w:r>
          <w:r w:rsidRPr="00C434DD">
            <w:rPr>
              <w:rFonts w:ascii="Tahoma" w:eastAsiaTheme="minorHAnsi" w:hAnsi="Tahoma" w:cs="Tahoma"/>
              <w:bCs/>
              <w:sz w:val="24"/>
              <w:szCs w:val="24"/>
              <w:lang w:val="en-US" w:eastAsia="en-US"/>
            </w:rPr>
            <w:fldChar w:fldCharType="separate"/>
          </w:r>
          <w:r w:rsidRPr="00C434DD">
            <w:rPr>
              <w:rFonts w:ascii="Tahoma" w:eastAsiaTheme="minorHAnsi" w:hAnsi="Tahoma" w:cs="Tahoma"/>
              <w:bCs/>
              <w:sz w:val="24"/>
              <w:szCs w:val="24"/>
              <w:lang w:val="en-US" w:eastAsia="en-US"/>
            </w:rPr>
            <w:t xml:space="preserve"> (Murray, 2016)</w:t>
          </w:r>
          <w:r w:rsidRPr="00C434DD">
            <w:rPr>
              <w:rFonts w:ascii="Tahoma" w:eastAsiaTheme="minorHAnsi" w:hAnsi="Tahoma" w:cs="Tahoma"/>
              <w:bCs/>
              <w:sz w:val="24"/>
              <w:szCs w:val="24"/>
              <w:lang w:val="en-US" w:eastAsia="en-US"/>
            </w:rPr>
            <w:fldChar w:fldCharType="end"/>
          </w:r>
        </w:sdtContent>
      </w:sdt>
      <w:r w:rsidRPr="00C434DD">
        <w:rPr>
          <w:rFonts w:ascii="Tahoma" w:eastAsiaTheme="minorHAnsi" w:hAnsi="Tahoma" w:cs="Tahoma"/>
          <w:bCs/>
          <w:sz w:val="24"/>
          <w:szCs w:val="24"/>
          <w:lang w:val="en-US" w:eastAsia="en-US"/>
        </w:rPr>
        <w:t>. These preference shares can present both debt and equity characteristics, informed by investments from different individuals having distinct interests and priorities to safeguard</w:t>
      </w:r>
      <w:sdt>
        <w:sdtPr>
          <w:rPr>
            <w:rFonts w:ascii="Tahoma" w:eastAsiaTheme="minorHAnsi" w:hAnsi="Tahoma" w:cs="Tahoma"/>
            <w:bCs/>
            <w:sz w:val="24"/>
            <w:szCs w:val="24"/>
            <w:lang w:val="en-US" w:eastAsia="en-US"/>
          </w:rPr>
          <w:id w:val="-580900681"/>
          <w:citation/>
        </w:sdtPr>
        <w:sdtEndPr/>
        <w:sdtContent>
          <w:r w:rsidRPr="00C434DD">
            <w:rPr>
              <w:rFonts w:ascii="Tahoma" w:eastAsiaTheme="minorHAnsi" w:hAnsi="Tahoma" w:cs="Tahoma"/>
              <w:bCs/>
              <w:sz w:val="24"/>
              <w:szCs w:val="24"/>
              <w:lang w:val="en-US" w:eastAsia="en-US"/>
            </w:rPr>
            <w:fldChar w:fldCharType="begin"/>
          </w:r>
          <w:r w:rsidRPr="00C434DD">
            <w:rPr>
              <w:rFonts w:ascii="Tahoma" w:eastAsiaTheme="minorHAnsi" w:hAnsi="Tahoma" w:cs="Tahoma"/>
              <w:bCs/>
              <w:sz w:val="24"/>
              <w:szCs w:val="24"/>
              <w:lang w:val="en-US" w:eastAsia="en-US"/>
            </w:rPr>
            <w:instrText xml:space="preserve"> CITATION And16 \l 1033 </w:instrText>
          </w:r>
          <w:r w:rsidRPr="00C434DD">
            <w:rPr>
              <w:rFonts w:ascii="Tahoma" w:eastAsiaTheme="minorHAnsi" w:hAnsi="Tahoma" w:cs="Tahoma"/>
              <w:bCs/>
              <w:sz w:val="24"/>
              <w:szCs w:val="24"/>
              <w:lang w:val="en-US" w:eastAsia="en-US"/>
            </w:rPr>
            <w:fldChar w:fldCharType="separate"/>
          </w:r>
          <w:r w:rsidRPr="00C434DD">
            <w:rPr>
              <w:rFonts w:ascii="Tahoma" w:eastAsiaTheme="minorHAnsi" w:hAnsi="Tahoma" w:cs="Tahoma"/>
              <w:bCs/>
              <w:sz w:val="24"/>
              <w:szCs w:val="24"/>
              <w:lang w:val="en-US" w:eastAsia="en-US"/>
            </w:rPr>
            <w:t xml:space="preserve"> (Murray, 2016)</w:t>
          </w:r>
          <w:r w:rsidRPr="00C434DD">
            <w:rPr>
              <w:rFonts w:ascii="Tahoma" w:eastAsiaTheme="minorHAnsi" w:hAnsi="Tahoma" w:cs="Tahoma"/>
              <w:bCs/>
              <w:sz w:val="24"/>
              <w:szCs w:val="24"/>
              <w:lang w:val="en-US" w:eastAsia="en-US"/>
            </w:rPr>
            <w:fldChar w:fldCharType="end"/>
          </w:r>
        </w:sdtContent>
      </w:sdt>
      <w:r w:rsidRPr="00C434DD">
        <w:rPr>
          <w:rFonts w:ascii="Tahoma" w:eastAsiaTheme="minorHAnsi" w:hAnsi="Tahoma" w:cs="Tahoma"/>
          <w:bCs/>
          <w:sz w:val="24"/>
          <w:szCs w:val="24"/>
          <w:lang w:val="en-US" w:eastAsia="en-US"/>
        </w:rPr>
        <w:t xml:space="preserve">. </w:t>
      </w:r>
    </w:p>
    <w:p w14:paraId="650A3C46" w14:textId="372E580F" w:rsidR="00D52A67" w:rsidRPr="00C434DD" w:rsidRDefault="00D52A67" w:rsidP="00D52A67">
      <w:pPr>
        <w:spacing w:line="480" w:lineRule="auto"/>
        <w:rPr>
          <w:rFonts w:ascii="Tahoma" w:eastAsiaTheme="minorHAnsi" w:hAnsi="Tahoma" w:cs="Tahoma"/>
          <w:bCs/>
          <w:sz w:val="24"/>
          <w:szCs w:val="24"/>
          <w:lang w:val="en-US" w:eastAsia="en-US"/>
        </w:rPr>
      </w:pPr>
      <w:r w:rsidRPr="00C434DD">
        <w:rPr>
          <w:rFonts w:ascii="Tahoma" w:eastAsiaTheme="minorHAnsi" w:hAnsi="Tahoma" w:cs="Tahoma"/>
          <w:bCs/>
          <w:sz w:val="24"/>
          <w:szCs w:val="24"/>
          <w:lang w:val="en-US" w:eastAsia="en-US"/>
        </w:rPr>
        <w:t>As Orion seeks to issue preference shares on top of the currently issues, it is important to understand the class rights that come with the new shares, as well as those that will be altered by the change. Prior to understanding the rights, it critical to acknowledge the requirements and objectives that may push investors towards acquiring or shifting to preference shares. Preference shares are commonly issued to parties that do not require or need voting rights and general participation in the management of a company</w:t>
      </w:r>
      <w:sdt>
        <w:sdtPr>
          <w:rPr>
            <w:rFonts w:ascii="Tahoma" w:eastAsiaTheme="minorHAnsi" w:hAnsi="Tahoma" w:cs="Tahoma"/>
            <w:bCs/>
            <w:sz w:val="24"/>
            <w:szCs w:val="24"/>
            <w:lang w:val="en-US" w:eastAsia="en-US"/>
          </w:rPr>
          <w:id w:val="1936783338"/>
          <w:citation/>
        </w:sdtPr>
        <w:sdtEndPr/>
        <w:sdtContent>
          <w:r w:rsidRPr="00C434DD">
            <w:rPr>
              <w:rFonts w:ascii="Tahoma" w:eastAsiaTheme="minorHAnsi" w:hAnsi="Tahoma" w:cs="Tahoma"/>
              <w:bCs/>
              <w:sz w:val="24"/>
              <w:szCs w:val="24"/>
              <w:lang w:val="en-US" w:eastAsia="en-US"/>
            </w:rPr>
            <w:fldChar w:fldCharType="begin"/>
          </w:r>
          <w:r w:rsidRPr="00C434DD">
            <w:rPr>
              <w:rFonts w:ascii="Tahoma" w:eastAsiaTheme="minorHAnsi" w:hAnsi="Tahoma" w:cs="Tahoma"/>
              <w:bCs/>
              <w:sz w:val="24"/>
              <w:szCs w:val="24"/>
              <w:lang w:val="en-US" w:eastAsia="en-US"/>
            </w:rPr>
            <w:instrText xml:space="preserve"> CITATION And16 \l 1033 </w:instrText>
          </w:r>
          <w:r w:rsidRPr="00C434DD">
            <w:rPr>
              <w:rFonts w:ascii="Tahoma" w:eastAsiaTheme="minorHAnsi" w:hAnsi="Tahoma" w:cs="Tahoma"/>
              <w:bCs/>
              <w:sz w:val="24"/>
              <w:szCs w:val="24"/>
              <w:lang w:val="en-US" w:eastAsia="en-US"/>
            </w:rPr>
            <w:fldChar w:fldCharType="separate"/>
          </w:r>
          <w:r w:rsidRPr="00C434DD">
            <w:rPr>
              <w:rFonts w:ascii="Tahoma" w:eastAsiaTheme="minorHAnsi" w:hAnsi="Tahoma" w:cs="Tahoma"/>
              <w:bCs/>
              <w:sz w:val="24"/>
              <w:szCs w:val="24"/>
              <w:lang w:val="en-US" w:eastAsia="en-US"/>
            </w:rPr>
            <w:t xml:space="preserve"> (Murray, 2016)</w:t>
          </w:r>
          <w:r w:rsidRPr="00C434DD">
            <w:rPr>
              <w:rFonts w:ascii="Tahoma" w:eastAsiaTheme="minorHAnsi" w:hAnsi="Tahoma" w:cs="Tahoma"/>
              <w:bCs/>
              <w:sz w:val="24"/>
              <w:szCs w:val="24"/>
              <w:lang w:val="en-US" w:eastAsia="en-US"/>
            </w:rPr>
            <w:fldChar w:fldCharType="end"/>
          </w:r>
        </w:sdtContent>
      </w:sdt>
      <w:r w:rsidRPr="00C434DD">
        <w:rPr>
          <w:rFonts w:ascii="Tahoma" w:eastAsiaTheme="minorHAnsi" w:hAnsi="Tahoma" w:cs="Tahoma"/>
          <w:bCs/>
          <w:sz w:val="24"/>
          <w:szCs w:val="24"/>
          <w:lang w:val="en-US" w:eastAsia="en-US"/>
        </w:rPr>
        <w:t xml:space="preserve">. As such, unlike ordinary shares that provide the shareholder with the right to vote on issues concerning the organization, preference rights alienate the shareholder from the running of the organization, leaving them out as spectator beneficiaries. Moreover, this type of shares </w:t>
      </w:r>
      <w:r w:rsidR="008B717D" w:rsidRPr="00C434DD">
        <w:rPr>
          <w:rFonts w:ascii="Tahoma" w:eastAsiaTheme="minorHAnsi" w:hAnsi="Tahoma" w:cs="Tahoma"/>
          <w:bCs/>
          <w:sz w:val="24"/>
          <w:szCs w:val="24"/>
          <w:lang w:val="en-US" w:eastAsia="en-US"/>
        </w:rPr>
        <w:t>is</w:t>
      </w:r>
      <w:r w:rsidRPr="00C434DD">
        <w:rPr>
          <w:rFonts w:ascii="Tahoma" w:eastAsiaTheme="minorHAnsi" w:hAnsi="Tahoma" w:cs="Tahoma"/>
          <w:bCs/>
          <w:sz w:val="24"/>
          <w:szCs w:val="24"/>
          <w:lang w:val="en-US" w:eastAsia="en-US"/>
        </w:rPr>
        <w:t xml:space="preserve"> issued to parties that seek medium risk </w:t>
      </w:r>
      <w:r w:rsidRPr="00C434DD">
        <w:rPr>
          <w:rFonts w:ascii="Tahoma" w:eastAsiaTheme="minorHAnsi" w:hAnsi="Tahoma" w:cs="Tahoma"/>
          <w:bCs/>
          <w:sz w:val="24"/>
          <w:szCs w:val="24"/>
          <w:lang w:val="en-US" w:eastAsia="en-US"/>
        </w:rPr>
        <w:lastRenderedPageBreak/>
        <w:t>and returns</w:t>
      </w:r>
      <w:sdt>
        <w:sdtPr>
          <w:rPr>
            <w:rFonts w:ascii="Tahoma" w:eastAsiaTheme="minorHAnsi" w:hAnsi="Tahoma" w:cs="Tahoma"/>
            <w:bCs/>
            <w:sz w:val="24"/>
            <w:szCs w:val="24"/>
            <w:lang w:val="en-US" w:eastAsia="en-US"/>
          </w:rPr>
          <w:id w:val="92135897"/>
          <w:citation/>
        </w:sdtPr>
        <w:sdtEndPr/>
        <w:sdtContent>
          <w:r w:rsidRPr="00C434DD">
            <w:rPr>
              <w:rFonts w:ascii="Tahoma" w:eastAsiaTheme="minorHAnsi" w:hAnsi="Tahoma" w:cs="Tahoma"/>
              <w:bCs/>
              <w:sz w:val="24"/>
              <w:szCs w:val="24"/>
              <w:lang w:val="en-US" w:eastAsia="en-US"/>
            </w:rPr>
            <w:fldChar w:fldCharType="begin"/>
          </w:r>
          <w:r w:rsidRPr="00C434DD">
            <w:rPr>
              <w:rFonts w:ascii="Tahoma" w:eastAsiaTheme="minorHAnsi" w:hAnsi="Tahoma" w:cs="Tahoma"/>
              <w:bCs/>
              <w:sz w:val="24"/>
              <w:szCs w:val="24"/>
              <w:lang w:val="en-US" w:eastAsia="en-US"/>
            </w:rPr>
            <w:instrText xml:space="preserve"> CITATION And16 \l 1033 </w:instrText>
          </w:r>
          <w:r w:rsidRPr="00C434DD">
            <w:rPr>
              <w:rFonts w:ascii="Tahoma" w:eastAsiaTheme="minorHAnsi" w:hAnsi="Tahoma" w:cs="Tahoma"/>
              <w:bCs/>
              <w:sz w:val="24"/>
              <w:szCs w:val="24"/>
              <w:lang w:val="en-US" w:eastAsia="en-US"/>
            </w:rPr>
            <w:fldChar w:fldCharType="separate"/>
          </w:r>
          <w:r w:rsidRPr="00C434DD">
            <w:rPr>
              <w:rFonts w:ascii="Tahoma" w:eastAsiaTheme="minorHAnsi" w:hAnsi="Tahoma" w:cs="Tahoma"/>
              <w:bCs/>
              <w:sz w:val="24"/>
              <w:szCs w:val="24"/>
              <w:lang w:val="en-US" w:eastAsia="en-US"/>
            </w:rPr>
            <w:t xml:space="preserve"> (Murray, 2016)</w:t>
          </w:r>
          <w:r w:rsidRPr="00C434DD">
            <w:rPr>
              <w:rFonts w:ascii="Tahoma" w:eastAsiaTheme="minorHAnsi" w:hAnsi="Tahoma" w:cs="Tahoma"/>
              <w:bCs/>
              <w:sz w:val="24"/>
              <w:szCs w:val="24"/>
              <w:lang w:val="en-US" w:eastAsia="en-US"/>
            </w:rPr>
            <w:fldChar w:fldCharType="end"/>
          </w:r>
        </w:sdtContent>
      </w:sdt>
      <w:r w:rsidRPr="00C434DD">
        <w:rPr>
          <w:rFonts w:ascii="Tahoma" w:eastAsiaTheme="minorHAnsi" w:hAnsi="Tahoma" w:cs="Tahoma"/>
          <w:bCs/>
          <w:sz w:val="24"/>
          <w:szCs w:val="24"/>
          <w:lang w:val="en-US" w:eastAsia="en-US"/>
        </w:rPr>
        <w:t>. In comparison to ordinary shareholders, those with preference shares are prioritized when it comes to receiving dividends. As such, in cases where the company experiences losses, the preference shareholders are the first to receive their fixed dividends, while ordinary shareholders are exposed to the full impact of the loss. Last but not least, preference shares are issues to parties that prefer equity investment exposure and a hybrid debt</w:t>
      </w:r>
      <w:sdt>
        <w:sdtPr>
          <w:rPr>
            <w:rFonts w:ascii="Tahoma" w:eastAsiaTheme="minorHAnsi" w:hAnsi="Tahoma" w:cs="Tahoma"/>
            <w:bCs/>
            <w:sz w:val="24"/>
            <w:szCs w:val="24"/>
            <w:lang w:val="en-US" w:eastAsia="en-US"/>
          </w:rPr>
          <w:id w:val="1302035232"/>
          <w:citation/>
        </w:sdtPr>
        <w:sdtEndPr/>
        <w:sdtContent>
          <w:r w:rsidRPr="00C434DD">
            <w:rPr>
              <w:rFonts w:ascii="Tahoma" w:eastAsiaTheme="minorHAnsi" w:hAnsi="Tahoma" w:cs="Tahoma"/>
              <w:bCs/>
              <w:sz w:val="24"/>
              <w:szCs w:val="24"/>
              <w:lang w:val="en-US" w:eastAsia="en-US"/>
            </w:rPr>
            <w:fldChar w:fldCharType="begin"/>
          </w:r>
          <w:r w:rsidRPr="00C434DD">
            <w:rPr>
              <w:rFonts w:ascii="Tahoma" w:eastAsiaTheme="minorHAnsi" w:hAnsi="Tahoma" w:cs="Tahoma"/>
              <w:bCs/>
              <w:sz w:val="24"/>
              <w:szCs w:val="24"/>
              <w:lang w:val="en-US" w:eastAsia="en-US"/>
            </w:rPr>
            <w:instrText xml:space="preserve"> CITATION And16 \l 1033 </w:instrText>
          </w:r>
          <w:r w:rsidRPr="00C434DD">
            <w:rPr>
              <w:rFonts w:ascii="Tahoma" w:eastAsiaTheme="minorHAnsi" w:hAnsi="Tahoma" w:cs="Tahoma"/>
              <w:bCs/>
              <w:sz w:val="24"/>
              <w:szCs w:val="24"/>
              <w:lang w:val="en-US" w:eastAsia="en-US"/>
            </w:rPr>
            <w:fldChar w:fldCharType="separate"/>
          </w:r>
          <w:r w:rsidRPr="00C434DD">
            <w:rPr>
              <w:rFonts w:ascii="Tahoma" w:eastAsiaTheme="minorHAnsi" w:hAnsi="Tahoma" w:cs="Tahoma"/>
              <w:bCs/>
              <w:sz w:val="24"/>
              <w:szCs w:val="24"/>
              <w:lang w:val="en-US" w:eastAsia="en-US"/>
            </w:rPr>
            <w:t xml:space="preserve"> (Murray, 2016)</w:t>
          </w:r>
          <w:r w:rsidRPr="00C434DD">
            <w:rPr>
              <w:rFonts w:ascii="Tahoma" w:eastAsiaTheme="minorHAnsi" w:hAnsi="Tahoma" w:cs="Tahoma"/>
              <w:bCs/>
              <w:sz w:val="24"/>
              <w:szCs w:val="24"/>
              <w:lang w:val="en-US" w:eastAsia="en-US"/>
            </w:rPr>
            <w:fldChar w:fldCharType="end"/>
          </w:r>
        </w:sdtContent>
      </w:sdt>
      <w:r w:rsidRPr="00C434DD">
        <w:rPr>
          <w:rFonts w:ascii="Tahoma" w:eastAsiaTheme="minorHAnsi" w:hAnsi="Tahoma" w:cs="Tahoma"/>
          <w:bCs/>
          <w:sz w:val="24"/>
          <w:szCs w:val="24"/>
          <w:lang w:val="en-US" w:eastAsia="en-US"/>
        </w:rPr>
        <w:t xml:space="preserve">. </w:t>
      </w:r>
    </w:p>
    <w:p w14:paraId="54B7231E" w14:textId="3EC24590" w:rsidR="00D52A67" w:rsidRDefault="00D52A67" w:rsidP="00D52A67">
      <w:pPr>
        <w:spacing w:line="480" w:lineRule="auto"/>
        <w:rPr>
          <w:rFonts w:ascii="Tahoma" w:eastAsiaTheme="minorHAnsi" w:hAnsi="Tahoma" w:cs="Tahoma"/>
          <w:bCs/>
          <w:sz w:val="24"/>
          <w:szCs w:val="24"/>
          <w:lang w:val="en-US" w:eastAsia="en-US"/>
        </w:rPr>
      </w:pPr>
      <w:r w:rsidRPr="00C434DD">
        <w:rPr>
          <w:rFonts w:ascii="Tahoma" w:eastAsiaTheme="minorHAnsi" w:hAnsi="Tahoma" w:cs="Tahoma"/>
          <w:bCs/>
          <w:sz w:val="24"/>
          <w:szCs w:val="24"/>
          <w:lang w:val="en-US" w:eastAsia="en-US"/>
        </w:rPr>
        <w:t>The law provides that preference shares rights ought to be expressly included in the articles or memorandum</w:t>
      </w:r>
      <w:sdt>
        <w:sdtPr>
          <w:rPr>
            <w:rFonts w:ascii="Tahoma" w:eastAsiaTheme="minorHAnsi" w:hAnsi="Tahoma" w:cs="Tahoma"/>
            <w:bCs/>
            <w:sz w:val="24"/>
            <w:szCs w:val="24"/>
            <w:lang w:val="en-US" w:eastAsia="en-US"/>
          </w:rPr>
          <w:id w:val="-1624220914"/>
          <w:citation/>
        </w:sdtPr>
        <w:sdtEndPr/>
        <w:sdtContent>
          <w:r w:rsidRPr="00C434DD">
            <w:rPr>
              <w:rFonts w:ascii="Tahoma" w:eastAsiaTheme="minorHAnsi" w:hAnsi="Tahoma" w:cs="Tahoma"/>
              <w:bCs/>
              <w:sz w:val="24"/>
              <w:szCs w:val="24"/>
              <w:lang w:val="en-US" w:eastAsia="en-US"/>
            </w:rPr>
            <w:fldChar w:fldCharType="begin"/>
          </w:r>
          <w:r w:rsidRPr="00C434DD">
            <w:rPr>
              <w:rFonts w:ascii="Tahoma" w:eastAsiaTheme="minorHAnsi" w:hAnsi="Tahoma" w:cs="Tahoma"/>
              <w:bCs/>
              <w:sz w:val="24"/>
              <w:szCs w:val="24"/>
              <w:lang w:val="en-US" w:eastAsia="en-US"/>
            </w:rPr>
            <w:instrText xml:space="preserve"> CITATION And16 \l 1033 </w:instrText>
          </w:r>
          <w:r w:rsidRPr="00C434DD">
            <w:rPr>
              <w:rFonts w:ascii="Tahoma" w:eastAsiaTheme="minorHAnsi" w:hAnsi="Tahoma" w:cs="Tahoma"/>
              <w:bCs/>
              <w:sz w:val="24"/>
              <w:szCs w:val="24"/>
              <w:lang w:val="en-US" w:eastAsia="en-US"/>
            </w:rPr>
            <w:fldChar w:fldCharType="separate"/>
          </w:r>
          <w:r w:rsidRPr="00C434DD">
            <w:rPr>
              <w:rFonts w:ascii="Tahoma" w:eastAsiaTheme="minorHAnsi" w:hAnsi="Tahoma" w:cs="Tahoma"/>
              <w:bCs/>
              <w:sz w:val="24"/>
              <w:szCs w:val="24"/>
              <w:lang w:val="en-US" w:eastAsia="en-US"/>
            </w:rPr>
            <w:t xml:space="preserve"> (Murray, 2016)</w:t>
          </w:r>
          <w:r w:rsidRPr="00C434DD">
            <w:rPr>
              <w:rFonts w:ascii="Tahoma" w:eastAsiaTheme="minorHAnsi" w:hAnsi="Tahoma" w:cs="Tahoma"/>
              <w:bCs/>
              <w:sz w:val="24"/>
              <w:szCs w:val="24"/>
              <w:lang w:val="en-US" w:eastAsia="en-US"/>
            </w:rPr>
            <w:fldChar w:fldCharType="end"/>
          </w:r>
        </w:sdtContent>
      </w:sdt>
      <w:r w:rsidRPr="00C434DD">
        <w:rPr>
          <w:rFonts w:ascii="Tahoma" w:eastAsiaTheme="minorHAnsi" w:hAnsi="Tahoma" w:cs="Tahoma"/>
          <w:bCs/>
          <w:sz w:val="24"/>
          <w:szCs w:val="24"/>
          <w:lang w:val="en-US" w:eastAsia="en-US"/>
        </w:rPr>
        <w:t>. Thus, preference shareholders are only entitled to the rights that are included in the articles or memorandum and no other rights. Any preference shares cannot be issued without indicating the rights of the shareholders in the articles or memorandum with respect to voting, non-cumulative and cumulative dividends, participation in profits and surplus assets, repayment of capital, and priority of payment of dividend and capital in relation to other shares</w:t>
      </w:r>
      <w:sdt>
        <w:sdtPr>
          <w:rPr>
            <w:rFonts w:ascii="Tahoma" w:eastAsiaTheme="minorHAnsi" w:hAnsi="Tahoma" w:cs="Tahoma"/>
            <w:bCs/>
            <w:sz w:val="24"/>
            <w:szCs w:val="24"/>
            <w:lang w:val="en-US" w:eastAsia="en-US"/>
          </w:rPr>
          <w:id w:val="1975100815"/>
          <w:citation/>
        </w:sdtPr>
        <w:sdtEndPr/>
        <w:sdtContent>
          <w:r w:rsidRPr="00C434DD">
            <w:rPr>
              <w:rFonts w:ascii="Tahoma" w:eastAsiaTheme="minorHAnsi" w:hAnsi="Tahoma" w:cs="Tahoma"/>
              <w:bCs/>
              <w:sz w:val="24"/>
              <w:szCs w:val="24"/>
              <w:lang w:val="en-US" w:eastAsia="en-US"/>
            </w:rPr>
            <w:fldChar w:fldCharType="begin"/>
          </w:r>
          <w:r w:rsidRPr="00C434DD">
            <w:rPr>
              <w:rFonts w:ascii="Tahoma" w:eastAsiaTheme="minorHAnsi" w:hAnsi="Tahoma" w:cs="Tahoma"/>
              <w:bCs/>
              <w:sz w:val="24"/>
              <w:szCs w:val="24"/>
              <w:lang w:val="en-US" w:eastAsia="en-US"/>
            </w:rPr>
            <w:instrText xml:space="preserve"> CITATION And16 \l 1033 </w:instrText>
          </w:r>
          <w:r w:rsidRPr="00C434DD">
            <w:rPr>
              <w:rFonts w:ascii="Tahoma" w:eastAsiaTheme="minorHAnsi" w:hAnsi="Tahoma" w:cs="Tahoma"/>
              <w:bCs/>
              <w:sz w:val="24"/>
              <w:szCs w:val="24"/>
              <w:lang w:val="en-US" w:eastAsia="en-US"/>
            </w:rPr>
            <w:fldChar w:fldCharType="separate"/>
          </w:r>
          <w:r w:rsidRPr="00C434DD">
            <w:rPr>
              <w:rFonts w:ascii="Tahoma" w:eastAsiaTheme="minorHAnsi" w:hAnsi="Tahoma" w:cs="Tahoma"/>
              <w:bCs/>
              <w:sz w:val="24"/>
              <w:szCs w:val="24"/>
              <w:lang w:val="en-US" w:eastAsia="en-US"/>
            </w:rPr>
            <w:t xml:space="preserve"> (Murray, 2016)</w:t>
          </w:r>
          <w:r w:rsidRPr="00C434DD">
            <w:rPr>
              <w:rFonts w:ascii="Tahoma" w:eastAsiaTheme="minorHAnsi" w:hAnsi="Tahoma" w:cs="Tahoma"/>
              <w:bCs/>
              <w:sz w:val="24"/>
              <w:szCs w:val="24"/>
              <w:lang w:val="en-US" w:eastAsia="en-US"/>
            </w:rPr>
            <w:fldChar w:fldCharType="end"/>
          </w:r>
        </w:sdtContent>
      </w:sdt>
      <w:r w:rsidRPr="00C434DD">
        <w:rPr>
          <w:rFonts w:ascii="Tahoma" w:eastAsiaTheme="minorHAnsi" w:hAnsi="Tahoma" w:cs="Tahoma"/>
          <w:bCs/>
          <w:sz w:val="24"/>
          <w:szCs w:val="24"/>
          <w:lang w:val="en-US" w:eastAsia="en-US"/>
        </w:rPr>
        <w:t>. An important element of preference shares involves voting rights. The company’s articles are required to provide voting rights or indicate that preference shareholders do not hold voting rights. Preference shareholders are generally not issued with voting rights</w:t>
      </w:r>
      <w:sdt>
        <w:sdtPr>
          <w:rPr>
            <w:rFonts w:ascii="Tahoma" w:eastAsiaTheme="minorHAnsi" w:hAnsi="Tahoma" w:cs="Tahoma"/>
            <w:bCs/>
            <w:sz w:val="24"/>
            <w:szCs w:val="24"/>
            <w:lang w:val="en-US" w:eastAsia="en-US"/>
          </w:rPr>
          <w:id w:val="-1669855497"/>
          <w:citation/>
        </w:sdtPr>
        <w:sdtEndPr/>
        <w:sdtContent>
          <w:r w:rsidRPr="00C434DD">
            <w:rPr>
              <w:rFonts w:ascii="Tahoma" w:eastAsiaTheme="minorHAnsi" w:hAnsi="Tahoma" w:cs="Tahoma"/>
              <w:bCs/>
              <w:sz w:val="24"/>
              <w:szCs w:val="24"/>
              <w:lang w:val="en-US" w:eastAsia="en-US"/>
            </w:rPr>
            <w:fldChar w:fldCharType="begin"/>
          </w:r>
          <w:r w:rsidRPr="00C434DD">
            <w:rPr>
              <w:rFonts w:ascii="Tahoma" w:eastAsiaTheme="minorHAnsi" w:hAnsi="Tahoma" w:cs="Tahoma"/>
              <w:bCs/>
              <w:sz w:val="24"/>
              <w:szCs w:val="24"/>
              <w:lang w:val="en-US" w:eastAsia="en-US"/>
            </w:rPr>
            <w:instrText xml:space="preserve"> CITATION And16 \l 1033 </w:instrText>
          </w:r>
          <w:r w:rsidRPr="00C434DD">
            <w:rPr>
              <w:rFonts w:ascii="Tahoma" w:eastAsiaTheme="minorHAnsi" w:hAnsi="Tahoma" w:cs="Tahoma"/>
              <w:bCs/>
              <w:sz w:val="24"/>
              <w:szCs w:val="24"/>
              <w:lang w:val="en-US" w:eastAsia="en-US"/>
            </w:rPr>
            <w:fldChar w:fldCharType="separate"/>
          </w:r>
          <w:r w:rsidRPr="00C434DD">
            <w:rPr>
              <w:rFonts w:ascii="Tahoma" w:eastAsiaTheme="minorHAnsi" w:hAnsi="Tahoma" w:cs="Tahoma"/>
              <w:bCs/>
              <w:sz w:val="24"/>
              <w:szCs w:val="24"/>
              <w:lang w:val="en-US" w:eastAsia="en-US"/>
            </w:rPr>
            <w:t xml:space="preserve"> (Murray, 2016)</w:t>
          </w:r>
          <w:r w:rsidRPr="00C434DD">
            <w:rPr>
              <w:rFonts w:ascii="Tahoma" w:eastAsiaTheme="minorHAnsi" w:hAnsi="Tahoma" w:cs="Tahoma"/>
              <w:bCs/>
              <w:sz w:val="24"/>
              <w:szCs w:val="24"/>
              <w:lang w:val="en-US" w:eastAsia="en-US"/>
            </w:rPr>
            <w:fldChar w:fldCharType="end"/>
          </w:r>
        </w:sdtContent>
      </w:sdt>
      <w:r w:rsidRPr="00C434DD">
        <w:rPr>
          <w:rFonts w:ascii="Tahoma" w:eastAsiaTheme="minorHAnsi" w:hAnsi="Tahoma" w:cs="Tahoma"/>
          <w:bCs/>
          <w:sz w:val="24"/>
          <w:szCs w:val="24"/>
          <w:lang w:val="en-US" w:eastAsia="en-US"/>
        </w:rPr>
        <w:t xml:space="preserve">. However, they hold preferential rights with regards to their entitlement to dividends and hold the priority of being the first to receive payments in comparison to ordinary shareholders. Despite the fact that preference shareholders may not be provided with voting rights, they have the statutory right to vote under three circumstances, including on any resolution concerning the winding up of the company, on any decisions concerning the rights that are associated with such </w:t>
      </w:r>
      <w:r w:rsidRPr="00C434DD">
        <w:rPr>
          <w:rFonts w:ascii="Tahoma" w:eastAsiaTheme="minorHAnsi" w:hAnsi="Tahoma" w:cs="Tahoma"/>
          <w:bCs/>
          <w:sz w:val="24"/>
          <w:szCs w:val="24"/>
          <w:lang w:val="en-US" w:eastAsia="en-US"/>
        </w:rPr>
        <w:lastRenderedPageBreak/>
        <w:t>shares, and in cases where the preferential dividend goes unpaid for a period not exceeding twelve months from the due date or as it may be indicated within the articles</w:t>
      </w:r>
      <w:sdt>
        <w:sdtPr>
          <w:rPr>
            <w:rFonts w:ascii="Tahoma" w:eastAsiaTheme="minorHAnsi" w:hAnsi="Tahoma" w:cs="Tahoma"/>
            <w:bCs/>
            <w:sz w:val="24"/>
            <w:szCs w:val="24"/>
            <w:lang w:val="en-US" w:eastAsia="en-US"/>
          </w:rPr>
          <w:id w:val="1588647111"/>
          <w:citation/>
        </w:sdtPr>
        <w:sdtEndPr/>
        <w:sdtContent>
          <w:r w:rsidRPr="00C434DD">
            <w:rPr>
              <w:rFonts w:ascii="Tahoma" w:eastAsiaTheme="minorHAnsi" w:hAnsi="Tahoma" w:cs="Tahoma"/>
              <w:bCs/>
              <w:sz w:val="24"/>
              <w:szCs w:val="24"/>
              <w:lang w:val="en-US" w:eastAsia="en-US"/>
            </w:rPr>
            <w:fldChar w:fldCharType="begin"/>
          </w:r>
          <w:r w:rsidRPr="00C434DD">
            <w:rPr>
              <w:rFonts w:ascii="Tahoma" w:eastAsiaTheme="minorHAnsi" w:hAnsi="Tahoma" w:cs="Tahoma"/>
              <w:bCs/>
              <w:sz w:val="24"/>
              <w:szCs w:val="24"/>
              <w:lang w:val="en-US" w:eastAsia="en-US"/>
            </w:rPr>
            <w:instrText xml:space="preserve"> CITATION And16 \l 1033 </w:instrText>
          </w:r>
          <w:r w:rsidRPr="00C434DD">
            <w:rPr>
              <w:rFonts w:ascii="Tahoma" w:eastAsiaTheme="minorHAnsi" w:hAnsi="Tahoma" w:cs="Tahoma"/>
              <w:bCs/>
              <w:sz w:val="24"/>
              <w:szCs w:val="24"/>
              <w:lang w:val="en-US" w:eastAsia="en-US"/>
            </w:rPr>
            <w:fldChar w:fldCharType="separate"/>
          </w:r>
          <w:r w:rsidRPr="00C434DD">
            <w:rPr>
              <w:rFonts w:ascii="Tahoma" w:eastAsiaTheme="minorHAnsi" w:hAnsi="Tahoma" w:cs="Tahoma"/>
              <w:bCs/>
              <w:sz w:val="24"/>
              <w:szCs w:val="24"/>
              <w:lang w:val="en-US" w:eastAsia="en-US"/>
            </w:rPr>
            <w:t xml:space="preserve"> (Murray, 2016)</w:t>
          </w:r>
          <w:r w:rsidRPr="00C434DD">
            <w:rPr>
              <w:rFonts w:ascii="Tahoma" w:eastAsiaTheme="minorHAnsi" w:hAnsi="Tahoma" w:cs="Tahoma"/>
              <w:bCs/>
              <w:sz w:val="24"/>
              <w:szCs w:val="24"/>
              <w:lang w:val="en-US" w:eastAsia="en-US"/>
            </w:rPr>
            <w:fldChar w:fldCharType="end"/>
          </w:r>
        </w:sdtContent>
      </w:sdt>
      <w:r w:rsidRPr="00C434DD">
        <w:rPr>
          <w:rFonts w:ascii="Tahoma" w:eastAsiaTheme="minorHAnsi" w:hAnsi="Tahoma" w:cs="Tahoma"/>
          <w:bCs/>
          <w:sz w:val="24"/>
          <w:szCs w:val="24"/>
          <w:lang w:val="en-US" w:eastAsia="en-US"/>
        </w:rPr>
        <w:t xml:space="preserve">. </w:t>
      </w:r>
    </w:p>
    <w:p w14:paraId="3DF38C31" w14:textId="77777777" w:rsidR="008B717D" w:rsidRPr="00C434DD" w:rsidRDefault="008B717D" w:rsidP="00D52A67">
      <w:pPr>
        <w:spacing w:line="480" w:lineRule="auto"/>
        <w:rPr>
          <w:rFonts w:ascii="Tahoma" w:eastAsiaTheme="minorHAnsi" w:hAnsi="Tahoma" w:cs="Tahoma"/>
          <w:bCs/>
          <w:sz w:val="24"/>
          <w:szCs w:val="24"/>
          <w:lang w:val="en-US" w:eastAsia="en-US"/>
        </w:rPr>
      </w:pPr>
    </w:p>
    <w:p w14:paraId="5895338B" w14:textId="5B47BDEE" w:rsidR="00D52A67" w:rsidRPr="00C434DD" w:rsidRDefault="00D52A67" w:rsidP="00D52A67">
      <w:pPr>
        <w:spacing w:line="480" w:lineRule="auto"/>
        <w:rPr>
          <w:rFonts w:ascii="Tahoma" w:eastAsiaTheme="minorHAnsi" w:hAnsi="Tahoma" w:cs="Tahoma"/>
          <w:bCs/>
          <w:sz w:val="24"/>
          <w:szCs w:val="24"/>
          <w:lang w:val="en-US" w:eastAsia="en-US"/>
        </w:rPr>
      </w:pPr>
      <w:r w:rsidRPr="00C434DD">
        <w:rPr>
          <w:rFonts w:ascii="Tahoma" w:eastAsiaTheme="minorHAnsi" w:hAnsi="Tahoma" w:cs="Tahoma"/>
          <w:bCs/>
          <w:sz w:val="24"/>
          <w:szCs w:val="24"/>
          <w:lang w:val="en-US" w:eastAsia="en-US"/>
        </w:rPr>
        <w:t>Given the secure position in which preference shareholders are, they have no right to engage in voting in view of influencing the activities of the organization. Such a right is reserved for the ordinary shareholders</w:t>
      </w:r>
      <w:sdt>
        <w:sdtPr>
          <w:rPr>
            <w:rFonts w:ascii="Tahoma" w:eastAsiaTheme="minorHAnsi" w:hAnsi="Tahoma" w:cs="Tahoma"/>
            <w:bCs/>
            <w:sz w:val="24"/>
            <w:szCs w:val="24"/>
            <w:lang w:val="en-US" w:eastAsia="en-US"/>
          </w:rPr>
          <w:id w:val="1682081567"/>
          <w:citation/>
        </w:sdtPr>
        <w:sdtEndPr/>
        <w:sdtContent>
          <w:r w:rsidRPr="00C434DD">
            <w:rPr>
              <w:rFonts w:ascii="Tahoma" w:eastAsiaTheme="minorHAnsi" w:hAnsi="Tahoma" w:cs="Tahoma"/>
              <w:bCs/>
              <w:sz w:val="24"/>
              <w:szCs w:val="24"/>
              <w:lang w:val="en-US" w:eastAsia="en-US"/>
            </w:rPr>
            <w:fldChar w:fldCharType="begin"/>
          </w:r>
          <w:r w:rsidRPr="00C434DD">
            <w:rPr>
              <w:rFonts w:ascii="Tahoma" w:eastAsiaTheme="minorHAnsi" w:hAnsi="Tahoma" w:cs="Tahoma"/>
              <w:bCs/>
              <w:sz w:val="24"/>
              <w:szCs w:val="24"/>
              <w:lang w:val="en-US" w:eastAsia="en-US"/>
            </w:rPr>
            <w:instrText xml:space="preserve"> CITATION And16 \l 1033 </w:instrText>
          </w:r>
          <w:r w:rsidRPr="00C434DD">
            <w:rPr>
              <w:rFonts w:ascii="Tahoma" w:eastAsiaTheme="minorHAnsi" w:hAnsi="Tahoma" w:cs="Tahoma"/>
              <w:bCs/>
              <w:sz w:val="24"/>
              <w:szCs w:val="24"/>
              <w:lang w:val="en-US" w:eastAsia="en-US"/>
            </w:rPr>
            <w:fldChar w:fldCharType="separate"/>
          </w:r>
          <w:r w:rsidRPr="00C434DD">
            <w:rPr>
              <w:rFonts w:ascii="Tahoma" w:eastAsiaTheme="minorHAnsi" w:hAnsi="Tahoma" w:cs="Tahoma"/>
              <w:bCs/>
              <w:sz w:val="24"/>
              <w:szCs w:val="24"/>
              <w:lang w:val="en-US" w:eastAsia="en-US"/>
            </w:rPr>
            <w:t xml:space="preserve"> (Murray, 2016)</w:t>
          </w:r>
          <w:r w:rsidRPr="00C434DD">
            <w:rPr>
              <w:rFonts w:ascii="Tahoma" w:eastAsiaTheme="minorHAnsi" w:hAnsi="Tahoma" w:cs="Tahoma"/>
              <w:bCs/>
              <w:sz w:val="24"/>
              <w:szCs w:val="24"/>
              <w:lang w:val="en-US" w:eastAsia="en-US"/>
            </w:rPr>
            <w:fldChar w:fldCharType="end"/>
          </w:r>
        </w:sdtContent>
      </w:sdt>
      <w:r w:rsidRPr="00C434DD">
        <w:rPr>
          <w:rFonts w:ascii="Tahoma" w:eastAsiaTheme="minorHAnsi" w:hAnsi="Tahoma" w:cs="Tahoma"/>
          <w:bCs/>
          <w:sz w:val="24"/>
          <w:szCs w:val="24"/>
          <w:lang w:val="en-US" w:eastAsia="en-US"/>
        </w:rPr>
        <w:t>. With an exception of the prementioned situations in which such holders are required to vote, preference shareholders can also gain voting rights by converting their shares into ordinary shares. The lack of voting rights prevents preference shareholders from directly influencing the distribution of authority among agents of the organization</w:t>
      </w:r>
      <w:sdt>
        <w:sdtPr>
          <w:rPr>
            <w:rFonts w:ascii="Tahoma" w:eastAsiaTheme="minorHAnsi" w:hAnsi="Tahoma" w:cs="Tahoma"/>
            <w:bCs/>
            <w:sz w:val="24"/>
            <w:szCs w:val="24"/>
            <w:lang w:val="en-US" w:eastAsia="en-US"/>
          </w:rPr>
          <w:id w:val="570619266"/>
          <w:citation/>
        </w:sdtPr>
        <w:sdtEndPr/>
        <w:sdtContent>
          <w:r w:rsidRPr="00C434DD">
            <w:rPr>
              <w:rFonts w:ascii="Tahoma" w:eastAsiaTheme="minorHAnsi" w:hAnsi="Tahoma" w:cs="Tahoma"/>
              <w:bCs/>
              <w:sz w:val="24"/>
              <w:szCs w:val="24"/>
              <w:lang w:val="en-US" w:eastAsia="en-US"/>
            </w:rPr>
            <w:fldChar w:fldCharType="begin"/>
          </w:r>
          <w:r w:rsidRPr="00C434DD">
            <w:rPr>
              <w:rFonts w:ascii="Tahoma" w:eastAsiaTheme="minorHAnsi" w:hAnsi="Tahoma" w:cs="Tahoma"/>
              <w:bCs/>
              <w:sz w:val="24"/>
              <w:szCs w:val="24"/>
              <w:lang w:val="en-US" w:eastAsia="en-US"/>
            </w:rPr>
            <w:instrText xml:space="preserve"> CITATION And16 \l 1033 </w:instrText>
          </w:r>
          <w:r w:rsidRPr="00C434DD">
            <w:rPr>
              <w:rFonts w:ascii="Tahoma" w:eastAsiaTheme="minorHAnsi" w:hAnsi="Tahoma" w:cs="Tahoma"/>
              <w:bCs/>
              <w:sz w:val="24"/>
              <w:szCs w:val="24"/>
              <w:lang w:val="en-US" w:eastAsia="en-US"/>
            </w:rPr>
            <w:fldChar w:fldCharType="separate"/>
          </w:r>
          <w:r w:rsidRPr="00C434DD">
            <w:rPr>
              <w:rFonts w:ascii="Tahoma" w:eastAsiaTheme="minorHAnsi" w:hAnsi="Tahoma" w:cs="Tahoma"/>
              <w:bCs/>
              <w:sz w:val="24"/>
              <w:szCs w:val="24"/>
              <w:lang w:val="en-US" w:eastAsia="en-US"/>
            </w:rPr>
            <w:t xml:space="preserve"> (Murray, 2016)</w:t>
          </w:r>
          <w:r w:rsidRPr="00C434DD">
            <w:rPr>
              <w:rFonts w:ascii="Tahoma" w:eastAsiaTheme="minorHAnsi" w:hAnsi="Tahoma" w:cs="Tahoma"/>
              <w:bCs/>
              <w:sz w:val="24"/>
              <w:szCs w:val="24"/>
              <w:lang w:val="en-US" w:eastAsia="en-US"/>
            </w:rPr>
            <w:fldChar w:fldCharType="end"/>
          </w:r>
        </w:sdtContent>
      </w:sdt>
      <w:r w:rsidRPr="00C434DD">
        <w:rPr>
          <w:rFonts w:ascii="Tahoma" w:eastAsiaTheme="minorHAnsi" w:hAnsi="Tahoma" w:cs="Tahoma"/>
          <w:bCs/>
          <w:sz w:val="24"/>
          <w:szCs w:val="24"/>
          <w:lang w:val="en-US" w:eastAsia="en-US"/>
        </w:rPr>
        <w:t>. While preference shareholders can be appointed as directors of their companies, most of them stay away from the organization and only take part in decisions that involve their dividends. The ordinary shareholders hold the exclusive rights of voting on important matters, including the appointment of organizational agents to represent the interests of shareholders</w:t>
      </w:r>
      <w:sdt>
        <w:sdtPr>
          <w:rPr>
            <w:rFonts w:ascii="Tahoma" w:eastAsiaTheme="minorHAnsi" w:hAnsi="Tahoma" w:cs="Tahoma"/>
            <w:bCs/>
            <w:sz w:val="24"/>
            <w:szCs w:val="24"/>
            <w:lang w:val="en-US" w:eastAsia="en-US"/>
          </w:rPr>
          <w:id w:val="-392886858"/>
          <w:citation/>
        </w:sdtPr>
        <w:sdtEndPr/>
        <w:sdtContent>
          <w:r w:rsidRPr="00C434DD">
            <w:rPr>
              <w:rFonts w:ascii="Tahoma" w:eastAsiaTheme="minorHAnsi" w:hAnsi="Tahoma" w:cs="Tahoma"/>
              <w:bCs/>
              <w:sz w:val="24"/>
              <w:szCs w:val="24"/>
              <w:lang w:val="en-US" w:eastAsia="en-US"/>
            </w:rPr>
            <w:fldChar w:fldCharType="begin"/>
          </w:r>
          <w:r w:rsidRPr="00C434DD">
            <w:rPr>
              <w:rFonts w:ascii="Tahoma" w:eastAsiaTheme="minorHAnsi" w:hAnsi="Tahoma" w:cs="Tahoma"/>
              <w:bCs/>
              <w:sz w:val="24"/>
              <w:szCs w:val="24"/>
              <w:lang w:val="en-US" w:eastAsia="en-US"/>
            </w:rPr>
            <w:instrText xml:space="preserve"> CITATION And16 \l 1033 </w:instrText>
          </w:r>
          <w:r w:rsidRPr="00C434DD">
            <w:rPr>
              <w:rFonts w:ascii="Tahoma" w:eastAsiaTheme="minorHAnsi" w:hAnsi="Tahoma" w:cs="Tahoma"/>
              <w:bCs/>
              <w:sz w:val="24"/>
              <w:szCs w:val="24"/>
              <w:lang w:val="en-US" w:eastAsia="en-US"/>
            </w:rPr>
            <w:fldChar w:fldCharType="separate"/>
          </w:r>
          <w:r w:rsidRPr="00C434DD">
            <w:rPr>
              <w:rFonts w:ascii="Tahoma" w:eastAsiaTheme="minorHAnsi" w:hAnsi="Tahoma" w:cs="Tahoma"/>
              <w:bCs/>
              <w:sz w:val="24"/>
              <w:szCs w:val="24"/>
              <w:lang w:val="en-US" w:eastAsia="en-US"/>
            </w:rPr>
            <w:t xml:space="preserve"> (Murray, 2016)</w:t>
          </w:r>
          <w:r w:rsidRPr="00C434DD">
            <w:rPr>
              <w:rFonts w:ascii="Tahoma" w:eastAsiaTheme="minorHAnsi" w:hAnsi="Tahoma" w:cs="Tahoma"/>
              <w:bCs/>
              <w:sz w:val="24"/>
              <w:szCs w:val="24"/>
              <w:lang w:val="en-US" w:eastAsia="en-US"/>
            </w:rPr>
            <w:fldChar w:fldCharType="end"/>
          </w:r>
        </w:sdtContent>
      </w:sdt>
      <w:r w:rsidRPr="00C434DD">
        <w:rPr>
          <w:rFonts w:ascii="Tahoma" w:eastAsiaTheme="minorHAnsi" w:hAnsi="Tahoma" w:cs="Tahoma"/>
          <w:bCs/>
          <w:sz w:val="24"/>
          <w:szCs w:val="24"/>
          <w:lang w:val="en-US" w:eastAsia="en-US"/>
        </w:rPr>
        <w:t>. The directors of the organization receive express authority from the shareholders to represent them in strategizing and implementing the goals of the organization at managerial levels. Having a control over decisions such as the selection of directors and voting on other issues concerning the running of the organization places ordinary shareholders at an advantageous position of authority</w:t>
      </w:r>
      <w:sdt>
        <w:sdtPr>
          <w:rPr>
            <w:rFonts w:ascii="Tahoma" w:eastAsiaTheme="minorHAnsi" w:hAnsi="Tahoma" w:cs="Tahoma"/>
            <w:bCs/>
            <w:sz w:val="24"/>
            <w:szCs w:val="24"/>
            <w:lang w:val="en-US" w:eastAsia="en-US"/>
          </w:rPr>
          <w:id w:val="956302314"/>
          <w:citation/>
        </w:sdtPr>
        <w:sdtEndPr/>
        <w:sdtContent>
          <w:r w:rsidRPr="00C434DD">
            <w:rPr>
              <w:rFonts w:ascii="Tahoma" w:eastAsiaTheme="minorHAnsi" w:hAnsi="Tahoma" w:cs="Tahoma"/>
              <w:bCs/>
              <w:sz w:val="24"/>
              <w:szCs w:val="24"/>
              <w:lang w:val="en-US" w:eastAsia="en-US"/>
            </w:rPr>
            <w:fldChar w:fldCharType="begin"/>
          </w:r>
          <w:r w:rsidRPr="00C434DD">
            <w:rPr>
              <w:rFonts w:ascii="Tahoma" w:eastAsiaTheme="minorHAnsi" w:hAnsi="Tahoma" w:cs="Tahoma"/>
              <w:bCs/>
              <w:sz w:val="24"/>
              <w:szCs w:val="24"/>
              <w:lang w:val="en-US" w:eastAsia="en-US"/>
            </w:rPr>
            <w:instrText xml:space="preserve"> CITATION And16 \l 1033 </w:instrText>
          </w:r>
          <w:r w:rsidRPr="00C434DD">
            <w:rPr>
              <w:rFonts w:ascii="Tahoma" w:eastAsiaTheme="minorHAnsi" w:hAnsi="Tahoma" w:cs="Tahoma"/>
              <w:bCs/>
              <w:sz w:val="24"/>
              <w:szCs w:val="24"/>
              <w:lang w:val="en-US" w:eastAsia="en-US"/>
            </w:rPr>
            <w:fldChar w:fldCharType="separate"/>
          </w:r>
          <w:r w:rsidRPr="00C434DD">
            <w:rPr>
              <w:rFonts w:ascii="Tahoma" w:eastAsiaTheme="minorHAnsi" w:hAnsi="Tahoma" w:cs="Tahoma"/>
              <w:bCs/>
              <w:sz w:val="24"/>
              <w:szCs w:val="24"/>
              <w:lang w:val="en-US" w:eastAsia="en-US"/>
            </w:rPr>
            <w:t xml:space="preserve"> (Murray, 2016)</w:t>
          </w:r>
          <w:r w:rsidRPr="00C434DD">
            <w:rPr>
              <w:rFonts w:ascii="Tahoma" w:eastAsiaTheme="minorHAnsi" w:hAnsi="Tahoma" w:cs="Tahoma"/>
              <w:bCs/>
              <w:sz w:val="24"/>
              <w:szCs w:val="24"/>
              <w:lang w:val="en-US" w:eastAsia="en-US"/>
            </w:rPr>
            <w:fldChar w:fldCharType="end"/>
          </w:r>
        </w:sdtContent>
      </w:sdt>
      <w:r w:rsidRPr="00C434DD">
        <w:rPr>
          <w:rFonts w:ascii="Tahoma" w:eastAsiaTheme="minorHAnsi" w:hAnsi="Tahoma" w:cs="Tahoma"/>
          <w:bCs/>
          <w:sz w:val="24"/>
          <w:szCs w:val="24"/>
          <w:lang w:val="en-US" w:eastAsia="en-US"/>
        </w:rPr>
        <w:t>. Preference shareholders, on the other hand, have limited authority within the organization, especially when it comes to influencing decision making.</w:t>
      </w:r>
      <w:bookmarkStart w:id="0" w:name="_GoBack"/>
      <w:bookmarkEnd w:id="0"/>
    </w:p>
    <w:p w14:paraId="6EE72E4A" w14:textId="77777777" w:rsidR="00D52A67" w:rsidRPr="004B03DE" w:rsidRDefault="00D52A67" w:rsidP="004B03DE">
      <w:pPr>
        <w:spacing w:line="480" w:lineRule="auto"/>
        <w:jc w:val="center"/>
        <w:rPr>
          <w:rFonts w:ascii="Tahoma" w:eastAsiaTheme="minorHAnsi" w:hAnsi="Tahoma" w:cs="Tahoma"/>
          <w:b/>
          <w:bCs/>
          <w:sz w:val="30"/>
          <w:szCs w:val="30"/>
          <w:u w:val="single"/>
          <w:lang w:val="en-US" w:eastAsia="en-US"/>
        </w:rPr>
      </w:pPr>
      <w:r w:rsidRPr="004B03DE">
        <w:rPr>
          <w:rFonts w:ascii="Tahoma" w:eastAsiaTheme="minorHAnsi" w:hAnsi="Tahoma" w:cs="Tahoma"/>
          <w:b/>
          <w:bCs/>
          <w:sz w:val="30"/>
          <w:szCs w:val="30"/>
          <w:u w:val="single"/>
          <w:lang w:val="en-US" w:eastAsia="en-US"/>
        </w:rPr>
        <w:lastRenderedPageBreak/>
        <w:t>References</w:t>
      </w:r>
    </w:p>
    <w:p w14:paraId="35E7C212" w14:textId="77777777" w:rsidR="00D52A67" w:rsidRPr="00C434DD" w:rsidRDefault="00D52A67" w:rsidP="00D52A67">
      <w:pPr>
        <w:spacing w:line="480" w:lineRule="auto"/>
        <w:rPr>
          <w:rFonts w:ascii="Tahoma" w:eastAsiaTheme="minorHAnsi" w:hAnsi="Tahoma" w:cs="Tahoma"/>
          <w:bCs/>
          <w:sz w:val="24"/>
          <w:szCs w:val="24"/>
          <w:lang w:val="en-US" w:eastAsia="en-US"/>
        </w:rPr>
      </w:pPr>
      <w:r w:rsidRPr="00C434DD">
        <w:rPr>
          <w:rFonts w:ascii="Tahoma" w:eastAsiaTheme="minorHAnsi" w:hAnsi="Tahoma" w:cs="Tahoma"/>
          <w:bCs/>
          <w:sz w:val="24"/>
          <w:szCs w:val="24"/>
          <w:lang w:val="en-US" w:eastAsia="en-US"/>
        </w:rPr>
        <w:fldChar w:fldCharType="begin"/>
      </w:r>
      <w:r w:rsidRPr="00C434DD">
        <w:rPr>
          <w:rFonts w:ascii="Tahoma" w:eastAsiaTheme="minorHAnsi" w:hAnsi="Tahoma" w:cs="Tahoma"/>
          <w:bCs/>
          <w:sz w:val="24"/>
          <w:szCs w:val="24"/>
          <w:lang w:val="en-US" w:eastAsia="en-US"/>
        </w:rPr>
        <w:instrText xml:space="preserve"> BIBLIOGRAPHY  \l 1033 </w:instrText>
      </w:r>
      <w:r w:rsidRPr="00C434DD">
        <w:rPr>
          <w:rFonts w:ascii="Tahoma" w:eastAsiaTheme="minorHAnsi" w:hAnsi="Tahoma" w:cs="Tahoma"/>
          <w:bCs/>
          <w:sz w:val="24"/>
          <w:szCs w:val="24"/>
          <w:lang w:val="en-US" w:eastAsia="en-US"/>
        </w:rPr>
        <w:fldChar w:fldCharType="separate"/>
      </w:r>
      <w:r w:rsidRPr="00C434DD">
        <w:rPr>
          <w:rFonts w:ascii="Tahoma" w:eastAsiaTheme="minorHAnsi" w:hAnsi="Tahoma" w:cs="Tahoma"/>
          <w:bCs/>
          <w:sz w:val="24"/>
          <w:szCs w:val="24"/>
          <w:lang w:val="en-US" w:eastAsia="en-US"/>
        </w:rPr>
        <w:t>DPP v Bignell, 1 Cr App R8 (The House of Lords 1998).</w:t>
      </w:r>
    </w:p>
    <w:p w14:paraId="170D09AE" w14:textId="77777777" w:rsidR="00D52A67" w:rsidRPr="00C434DD" w:rsidRDefault="00D52A67" w:rsidP="00D52A67">
      <w:pPr>
        <w:spacing w:line="480" w:lineRule="auto"/>
        <w:rPr>
          <w:rFonts w:ascii="Tahoma" w:eastAsiaTheme="minorHAnsi" w:hAnsi="Tahoma" w:cs="Tahoma"/>
          <w:bCs/>
          <w:sz w:val="24"/>
          <w:szCs w:val="24"/>
          <w:lang w:val="en-US" w:eastAsia="en-US"/>
        </w:rPr>
      </w:pPr>
      <w:r w:rsidRPr="00C434DD">
        <w:rPr>
          <w:rFonts w:ascii="Tahoma" w:eastAsiaTheme="minorHAnsi" w:hAnsi="Tahoma" w:cs="Tahoma"/>
          <w:bCs/>
          <w:sz w:val="24"/>
          <w:szCs w:val="24"/>
          <w:lang w:val="en-US" w:eastAsia="en-US"/>
        </w:rPr>
        <w:t>Fafinski, S. (2014). Computer Misuse: Response, Regulation and the Law. New York: Routledge.</w:t>
      </w:r>
    </w:p>
    <w:p w14:paraId="6A390338" w14:textId="77777777" w:rsidR="00D52A67" w:rsidRPr="00C434DD" w:rsidRDefault="00D52A67" w:rsidP="00D52A67">
      <w:pPr>
        <w:spacing w:line="480" w:lineRule="auto"/>
        <w:rPr>
          <w:rFonts w:ascii="Tahoma" w:eastAsiaTheme="minorHAnsi" w:hAnsi="Tahoma" w:cs="Tahoma"/>
          <w:bCs/>
          <w:sz w:val="24"/>
          <w:szCs w:val="24"/>
          <w:lang w:val="en-US" w:eastAsia="en-US"/>
        </w:rPr>
      </w:pPr>
      <w:r w:rsidRPr="00C434DD">
        <w:rPr>
          <w:rFonts w:ascii="Tahoma" w:eastAsiaTheme="minorHAnsi" w:hAnsi="Tahoma" w:cs="Tahoma"/>
          <w:bCs/>
          <w:sz w:val="24"/>
          <w:szCs w:val="24"/>
          <w:lang w:val="en-US" w:eastAsia="en-US"/>
        </w:rPr>
        <w:t>Murray, A. (2016). Information Technology Law: The Law and Society. Oxford: Oxford University Press.</w:t>
      </w:r>
    </w:p>
    <w:p w14:paraId="2D9B98B1" w14:textId="700CE095" w:rsidR="00D52A67" w:rsidRPr="00C434DD" w:rsidRDefault="00D52A67" w:rsidP="00D52A67">
      <w:pPr>
        <w:spacing w:line="480" w:lineRule="auto"/>
        <w:rPr>
          <w:rFonts w:ascii="Tahoma" w:eastAsiaTheme="minorHAnsi" w:hAnsi="Tahoma" w:cs="Tahoma"/>
          <w:bCs/>
          <w:sz w:val="24"/>
          <w:szCs w:val="24"/>
          <w:lang w:val="en-US" w:eastAsia="en-US"/>
        </w:rPr>
      </w:pPr>
      <w:r w:rsidRPr="00C434DD">
        <w:rPr>
          <w:rFonts w:ascii="Tahoma" w:eastAsiaTheme="minorHAnsi" w:hAnsi="Tahoma" w:cs="Tahoma"/>
          <w:bCs/>
          <w:sz w:val="24"/>
          <w:szCs w:val="24"/>
          <w:lang w:val="en-US" w:eastAsia="en-US"/>
        </w:rPr>
        <w:t>Weiss, M., &amp; Solomon, M. G. (2016). Auditing IT Infrastructures for Compliance. Burlington, MA: Jones &amp; Bartlett Learning.</w:t>
      </w:r>
      <w:r w:rsidRPr="00C434DD">
        <w:rPr>
          <w:rFonts w:ascii="Tahoma" w:eastAsiaTheme="minorHAnsi" w:hAnsi="Tahoma" w:cs="Tahoma"/>
          <w:bCs/>
          <w:sz w:val="24"/>
          <w:szCs w:val="24"/>
          <w:lang w:val="en-US" w:eastAsia="en-US"/>
        </w:rPr>
        <w:fldChar w:fldCharType="end"/>
      </w:r>
    </w:p>
    <w:sectPr w:rsidR="00D52A67" w:rsidRPr="00C434D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275E8" w14:textId="77777777" w:rsidR="00B06F55" w:rsidRDefault="00B06F55" w:rsidP="00B06F55">
      <w:r>
        <w:separator/>
      </w:r>
    </w:p>
  </w:endnote>
  <w:endnote w:type="continuationSeparator" w:id="0">
    <w:p w14:paraId="6B4C9696" w14:textId="77777777" w:rsidR="00B06F55" w:rsidRDefault="00B06F55" w:rsidP="00B06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C6F1C" w14:textId="77777777" w:rsidR="00B06F55" w:rsidRDefault="00B06F55" w:rsidP="00B06F55">
      <w:r>
        <w:separator/>
      </w:r>
    </w:p>
  </w:footnote>
  <w:footnote w:type="continuationSeparator" w:id="0">
    <w:p w14:paraId="26AB01C2" w14:textId="77777777" w:rsidR="00B06F55" w:rsidRDefault="00B06F55" w:rsidP="00B06F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6201B" w14:textId="77777777" w:rsidR="00041E5F" w:rsidRDefault="0024619B" w:rsidP="00B06F55">
    <w:pPr>
      <w:pStyle w:val="Header"/>
      <w:ind w:firstLine="0"/>
    </w:pPr>
  </w:p>
  <w:p w14:paraId="47EAA006" w14:textId="77777777" w:rsidR="00041E5F" w:rsidRDefault="002461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A67"/>
    <w:rsid w:val="000F700F"/>
    <w:rsid w:val="000F7B58"/>
    <w:rsid w:val="00376631"/>
    <w:rsid w:val="004B03DE"/>
    <w:rsid w:val="008B717D"/>
    <w:rsid w:val="00B06F55"/>
    <w:rsid w:val="00C434DD"/>
    <w:rsid w:val="00D52A67"/>
    <w:rsid w:val="00E629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C5A74F"/>
  <w15:chartTrackingRefBased/>
  <w15:docId w15:val="{AB01957B-CE4F-FD40-9B26-558CAE46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A67"/>
    <w:pPr>
      <w:tabs>
        <w:tab w:val="center" w:pos="4680"/>
        <w:tab w:val="right" w:pos="9360"/>
      </w:tabs>
      <w:ind w:firstLine="720"/>
    </w:pPr>
    <w:rPr>
      <w:rFonts w:ascii="Times New Roman" w:eastAsiaTheme="minorHAnsi" w:hAnsi="Times New Roman" w:cs="Times New Roman"/>
      <w:sz w:val="24"/>
      <w:szCs w:val="24"/>
      <w:lang w:val="en-US" w:eastAsia="en-US"/>
    </w:rPr>
  </w:style>
  <w:style w:type="character" w:customStyle="1" w:styleId="HeaderChar">
    <w:name w:val="Header Char"/>
    <w:basedOn w:val="DefaultParagraphFont"/>
    <w:link w:val="Header"/>
    <w:uiPriority w:val="99"/>
    <w:rsid w:val="00D52A67"/>
    <w:rPr>
      <w:rFonts w:ascii="Times New Roman" w:eastAsiaTheme="minorHAnsi" w:hAnsi="Times New Roman" w:cs="Times New Roman"/>
      <w:sz w:val="24"/>
      <w:szCs w:val="24"/>
      <w:lang w:val="en-US" w:eastAsia="en-US"/>
    </w:rPr>
  </w:style>
  <w:style w:type="paragraph" w:styleId="Bibliography">
    <w:name w:val="Bibliography"/>
    <w:basedOn w:val="Normal"/>
    <w:next w:val="Normal"/>
    <w:uiPriority w:val="37"/>
    <w:unhideWhenUsed/>
    <w:rsid w:val="00D52A67"/>
    <w:pPr>
      <w:spacing w:line="480" w:lineRule="auto"/>
      <w:ind w:firstLine="720"/>
    </w:pPr>
    <w:rPr>
      <w:rFonts w:ascii="Times New Roman" w:eastAsiaTheme="minorHAnsi" w:hAnsi="Times New Roman" w:cs="Times New Roman"/>
      <w:sz w:val="24"/>
      <w:szCs w:val="24"/>
      <w:lang w:val="en-US" w:eastAsia="en-US"/>
    </w:rPr>
  </w:style>
  <w:style w:type="paragraph" w:styleId="Footer">
    <w:name w:val="footer"/>
    <w:basedOn w:val="Normal"/>
    <w:link w:val="FooterChar"/>
    <w:uiPriority w:val="99"/>
    <w:unhideWhenUsed/>
    <w:rsid w:val="00B06F55"/>
    <w:pPr>
      <w:tabs>
        <w:tab w:val="center" w:pos="4513"/>
        <w:tab w:val="right" w:pos="9026"/>
      </w:tabs>
    </w:pPr>
  </w:style>
  <w:style w:type="character" w:customStyle="1" w:styleId="FooterChar">
    <w:name w:val="Footer Char"/>
    <w:basedOn w:val="DefaultParagraphFont"/>
    <w:link w:val="Footer"/>
    <w:uiPriority w:val="99"/>
    <w:rsid w:val="00B06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1810</Words>
  <Characters>10317</Characters>
  <Application>Microsoft Office Word</Application>
  <DocSecurity>0</DocSecurity>
  <Lines>85</Lines>
  <Paragraphs>24</Paragraphs>
  <ScaleCrop>false</ScaleCrop>
  <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Mustafa</dc:creator>
  <cp:keywords/>
  <dc:description/>
  <cp:lastModifiedBy>Adam Mustafa</cp:lastModifiedBy>
  <cp:revision>2</cp:revision>
  <dcterms:created xsi:type="dcterms:W3CDTF">2020-05-12T12:40:00Z</dcterms:created>
  <dcterms:modified xsi:type="dcterms:W3CDTF">2020-05-12T12:40:00Z</dcterms:modified>
</cp:coreProperties>
</file>