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Northstar Dynamics</w:t>
      </w:r>
    </w:p>
    <w:p>
      <w:pPr>
        <w:jc w:val="center"/>
      </w:pPr>
      <w:r>
        <w:rPr>
          <w:b/>
        </w:rPr>
        <w:t>Annual Leave Policy - NSD-HR-001</w:t>
      </w:r>
    </w:p>
    <w:p>
      <w:pPr>
        <w:pStyle w:val="Heading1"/>
      </w:pPr>
      <w:r>
        <w:t>1. Annual Leave Entitlement</w:t>
      </w:r>
    </w:p>
    <w:p>
      <w:r>
        <w:t>Full-time employees receive 20 paid annual leave days per calendar year.</w:t>
      </w:r>
    </w:p>
    <w:p>
      <w:r>
        <w:t>Employees may carry over a maximum of 5 unused annual leave days into the next calendar year.</w:t>
      </w:r>
    </w:p>
    <w:p>
      <w:pPr>
        <w:pStyle w:val="Heading1"/>
      </w:pPr>
      <w:r>
        <w:t>2. Approval Rules</w:t>
      </w:r>
    </w:p>
    <w:p>
      <w:r>
        <w:t>Annual leave requests longer than 10 consecutive working days require manager approval at least 30 days in advance.</w:t>
      </w:r>
    </w:p>
    <w:p>
      <w:pPr>
        <w:pStyle w:val="Heading1"/>
      </w:pPr>
      <w:r>
        <w:t>3. Leave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Leave Type</w:t>
            </w:r>
          </w:p>
        </w:tc>
        <w:tc>
          <w:tcPr>
            <w:tcW w:type="dxa" w:w="3312"/>
          </w:tcPr>
          <w:p>
            <w:r>
              <w:t>Annual Entitlement</w:t>
            </w:r>
          </w:p>
        </w:tc>
        <w:tc>
          <w:tcPr>
            <w:tcW w:type="dxa" w:w="3312"/>
          </w:tcPr>
          <w:p>
            <w:r>
              <w:t>Carry Over</w:t>
            </w:r>
          </w:p>
        </w:tc>
      </w:tr>
      <w:tr>
        <w:tc>
          <w:tcPr>
            <w:tcW w:type="dxa" w:w="3312"/>
          </w:tcPr>
          <w:p>
            <w:r>
              <w:t>Annual Leave</w:t>
            </w:r>
          </w:p>
        </w:tc>
        <w:tc>
          <w:tcPr>
            <w:tcW w:type="dxa" w:w="3312"/>
          </w:tcPr>
          <w:p>
            <w:r>
              <w:t>20 days</w:t>
            </w:r>
          </w:p>
        </w:tc>
        <w:tc>
          <w:tcPr>
            <w:tcW w:type="dxa" w:w="3312"/>
          </w:tcPr>
          <w:p>
            <w:r>
              <w:t>Maximum 5 days</w:t>
            </w:r>
          </w:p>
        </w:tc>
      </w:tr>
      <w:tr>
        <w:tc>
          <w:tcPr>
            <w:tcW w:type="dxa" w:w="3312"/>
          </w:tcPr>
          <w:p>
            <w:r>
              <w:t>Sick Leave</w:t>
            </w:r>
          </w:p>
        </w:tc>
        <w:tc>
          <w:tcPr>
            <w:tcW w:type="dxa" w:w="3312"/>
          </w:tcPr>
          <w:p>
            <w:r>
              <w:t>12 days</w:t>
            </w:r>
          </w:p>
        </w:tc>
        <w:tc>
          <w:tcPr>
            <w:tcW w:type="dxa" w:w="3312"/>
          </w:tcPr>
          <w:p>
            <w:r>
              <w:t>No carry over</w:t>
            </w:r>
          </w:p>
        </w:tc>
      </w:tr>
    </w:tbl>
    <w:p>
      <w:pPr>
        <w:pStyle w:val="Heading1"/>
      </w:pPr>
      <w:r>
        <w:t>4. Notes</w:t>
      </w:r>
    </w:p>
    <w:p>
      <w:r>
        <w:t>Leave is recorded in the HR system and is subject to local statutory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