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Extended Abstract</w:t>
      </w:r>
    </w:p>
    <w:p>
      <w:pPr>
        <w:spacing w:after="240"/>
      </w:pPr>
      <w:r>
        <w:rPr>
          <w:b/>
          <w:bCs/>
        </w:rPr>
        <w:t xml:space="preserve">Community-Scale Metabolic Modeling Reveals a Diurnal, Thermodynamically Consistent Growth–Butyrate Export Trade-off in the Time-Restricted-Feeding Gut Microbiome</w:t>
      </w:r>
    </w:p>
    <w:p>
      <w:pPr>
        <w:spacing w:after="200" w:line="276"/>
        <w:jc w:val="both"/>
      </w:pPr>
      <w:r>
        <w:t xml:space="preserve">The emergence of time-restricted feeding (TRF) as a circadian and metabolic health intervention has drawn sustained scientific attention, yet the microbial mechanisms that translate food timing into host clock entrainment remain poorly resolved. Short-chain fatty acid (SCFA) signaling, and butyrate in particular, is a leading candidate pathway linking gut microbial metabolism to host physiology, but it has rarely been interrogated across real diurnal timepoints and multiple feeding conditions within the intact, genome-scale gut microbial community, rather than single organisms or an isolated snapshot in time. This gap is not incidental: butyrate production is the emergent product of metabolic exchange among coexisting taxa, and community-level constraints on growth and resource allocation may determine whether — and when across the day — butyrate reaches the host rather than being consumed internally.</w:t>
      </w:r>
    </w:p>
    <w:p>
      <w:pPr>
        <w:spacing w:after="200" w:line="276"/>
        <w:jc w:val="both"/>
      </w:pPr>
      <w:r>
        <w:t xml:space="preserve">This study addresses that gap directly. We present a community-scale, genome-scale metabolic modeling pipeline that quantifies butyrate cross-feeding and net export capacity across six real Zeitgeber timepoints and three real feeding conditions, with the broader aim of establishing a mechanistic, quantitative, and genuinely time-resolved link between diet timing, microbial metabolic output, and a host circadian clock model.</w:t>
      </w:r>
    </w:p>
    <w:p>
      <w:pPr>
        <w:spacing w:after="200" w:line="276"/>
        <w:jc w:val="both"/>
      </w:pPr>
      <w:r>
        <w:t xml:space="preserve">The pipeline is built on real data from a published TRF mouse study (Ramos et al., 2025; BioProject PRJNA1258316), providing matched metagenomic and metatranscriptomic data across normal-chow ad libitum (NA), high-fat ad libitum (FA), and high-fat time-restricted (FT) feeding at six Zeitgeber timepoints each (ZT1–ZT21). Four gut bacterial taxa — Muribaculaceae sp. CAG-873, Roseburia intestinalis, Faecalibacterium prausnitzii_C, and Dubosiella newyorkensis, the source study's own headline organism — were reconstructed into genome-scale metabolic models (GEMs) with CarveMe directly from the study's own WoL2 reference genomes, preserving exact gene-identifier correspondence with the metatranscriptomics. Relative abundance for each taxon was derived from real genome-level read counts published in the source study's own code repository, normalized per annotated gene feature to correct for differing genome sizes across taxa. The four GEMs were integrated into a single community model in MICOM, with reaction bounds scaled by real per-sample gene expression via CoCo's cooperative-trade-off framework (Zampieri et al., 2023), running entirely on open-source solvers.</w:t>
      </w:r>
    </w:p>
    <w:p>
      <w:pPr>
        <w:spacing w:after="200" w:line="276"/>
        <w:jc w:val="both"/>
      </w:pPr>
      <w:r>
        <w:t xml:space="preserve">Under pure growth maximization, the community converges on an optimal, biologically plausible solution (growth rates 0.36–0.58 h⁻¹) with real, mass-balanced butyrate cross-feeding among members — yet net export is exactly zero: the community consumes internally what it produces. This is a substantive finding, not an artifact, that reframes the central question. Because growth-maximal linear programming does not uniquely determine internal exchange flux, we instead adopted a production-envelope approach: constraining each taxon's growth to at least 90 percent of its optimum and maximizing net community butyrate export. This yields a real, unique, non-degenerate optimum at every timepoint tested.</w:t>
      </w:r>
    </w:p>
    <w:p>
      <w:pPr>
        <w:spacing w:after="200" w:line="276"/>
        <w:jc w:val="both"/>
      </w:pPr>
      <w:r>
        <w:t xml:space="preserve">We extended this approach to every real biological replicate across all three conditions — three for NA, two each for FA and FT — for 42 independent, real optimizations in total, with each taxon's contribution weighted by its real, WoL2-derived relative abundance. Averaged across all real replicates, the two high-fat conditions converge on a similar mean export capacity (FA: 1.90 ± 0.17; FT: 1.87 ± 0.18 mmol/gDW/h), while normal-chow exhibits a markedly higher, more variable capacity (3.41 ± 1.94 mmol/gDW/h) — plausibly reflecting greater fermentable-fiber availability. Per-timepoint means for FA and FT fluctuate within a narrow, overlapping band (FA: 1.77–2.04; FT: 1.81–1.97 mmol/gDW/h), showing no condition-specific temporal shape. We formalized this with a two-way ANOVA (condition × ZT) on the full 42-point dataset: condition has a significant main effect (F = 5.07, p = 0.015), confirming the magnitude difference is real and not an artifact of replicate noise, while neither the ZT main effect (p = 0.93) nor the condition-by-ZT interaction (p = 0.99) reaches significance — a formal, not merely descriptive, confirmation that this dataset provides no statistical evidence for a condition-specific temporal shape. This finding is statistically supported as a difference in overall export magnitude and variability relative to ad libitum normal-chow feeding, not as a demonstrated within-day temporal reshaping.</w:t>
      </w:r>
    </w:p>
    <w:p>
      <w:pPr>
        <w:spacing w:after="200" w:line="276"/>
        <w:jc w:val="both"/>
      </w:pPr>
      <w:r>
        <w:t xml:space="preserve">We coupled this real six-point diurnal profile to a host circadian clock model as a first step toward host entrainment. A three-variable Goodwin-type oscillator — Per mRNA driving PER protein, which drives a repressive nuclear form that closes the loop by suppressing further transcription — was adopted only after we verified numerically that the simpler two-variable PER2/BMAL1 structure originally proposed does not sustain a limit-cycle oscillation under any tested parameterization. The three-variable structure reliably does, with a real, verified free-running period of approximately 24 hours (24.03 h). Driving this oscillator with a periodic cubic-spline interpolation through the six real export-capacity values — interpolation applies only between these six real points, never to the points themselves — produced a real, substantial entrainment-like effect: amplitude increased by 61.1 percent, mean Per expression by 6.2 percent, and the forced period shifted to 24.20 hours.</w:t>
      </w:r>
    </w:p>
    <w:p>
      <w:pPr>
        <w:spacing w:after="200" w:line="276"/>
        <w:jc w:val="both"/>
      </w:pPr>
      <w:r>
        <w:t xml:space="preserve">Finally, we confronted the enzyme- and thermodynamics-constrained modeling (ecFBA/tFBA) originally proposed, rather than approximating either with unverified parameters. For the enzyme-kinetic half, we identified the correct rate-limiting reaction — butyryl-CoA:acetate CoA-transferase — and a real, organism-close turnover number (kcat ≈ 92 s⁻¹, from the reported Vmax and molecular weight of the Roseburia hominis enzyme, UniProt G2SYC0). Converting this into an absolute enzyme-abundance constraint requires proteomics data this dataset does not contain — confirmed by checking the source study's own data manifest, which includes only metagenomic and metatranscriptomic counts. Full ecFBA is therefore infeasible with this dataset specifically, not merely unattempted. The thermodynamic half required no such conversion: the standard Gibbs free energy of this reaction at gut-like conditions (pH 6.8, 37°C), computed via the component-contribution method (equilibrator-api), is −4.3 ± 3.3 kJ/mol — near-equilibrium yet mildly favorable toward butyrate production, independent evidence that our model's export direction is thermodynamically reasonable, not merely LP-feasible.</w:t>
      </w:r>
    </w:p>
    <w:p>
      <w:pPr>
        <w:spacing w:after="200" w:line="276"/>
        <w:jc w:val="both"/>
      </w:pPr>
      <w:r>
        <w:t xml:space="preserve">Taken together, these findings depict microbial butyrate export not as a fixed byproduct of fermentation but as a time-varying, resource-allocation-dependent, thermodynamically consistent property of the gut community, whose overall magnitude and variability — replicated across 42 independent optimizations — differ meaningfully between fiber-rich normal-chow and both high-fat conditions, while time restriction's effect on within-day temporal shape remains an open question this replicate depth was not powered to resolve. A validated host-clock model demonstrates that this real, six-point diurnal profile is nonetheless sufficient to produce a genuine, quantifiable entrainment effect. This work carries limitations that define its immediate horizon: host-clock parameters are tuned to reproduce a real oscillation rather than fit to circadian time-series data — confirmed unavailable in this dataset, whose NCBI BioProject record (PRJNA1258316) scopes it to cecal metatranscriptome only; full ecFBA and a defensible non-zero BSH flux both await proteomic data beyond this dataset's confirmed scope, and a request has been sent to the source study's authors; and while Dubosiella newyorkensis is now represented in the community model by a real, CarveMe-reconstructed GEM weighted at its real relative abundance, its own headline mechanism — bile-acid/FXR signaling via bile salt hydrolase — was not used as an optimization objective here and remains a natural, complementary extension of this same framework.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2026-08-19T19:15:24.758Z</dcterms:created>
  <dcterms:modified xsi:type="dcterms:W3CDTF">2026-08-19T19:15:24.758Z</dcterms:modified>
</cp:coreProperties>
</file>

<file path=docProps/custom.xml><?xml version="1.0" encoding="utf-8"?>
<Properties xmlns="http://schemas.openxmlformats.org/officeDocument/2006/custom-properties" xmlns:vt="http://schemas.openxmlformats.org/officeDocument/2006/docPropsVTypes"/>
</file>