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>آلية الجدولة والزيارة  ·  من التحضير إلى الدرجة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p>
      <w:pPr>
        <w:keepNext/>
        <w:pBdr>
          <w:bottom w:val="single" w:sz="8" w:space="1" w:color="2F7F95"/>
        </w:pBdr>
        <w:bidi/>
        <w:spacing w:before="6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ما الحصة الموحَّدة؟</w:t>
      </w:r>
    </w:p>
    <w:p>
      <w:pPr>
        <w:bidi/>
        <w:spacing w:before="0" w:after="80"/>
      </w:pP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حصةٌ عادية من جدول المعلم، يُعلن فيها اتجاهه التدريسي وإستراتيجيته، ويحضرها المقيّمون والزملاء. وليست «حصة تطبيقية» تُعدّ للعرض: ما يراه فريق التقويم الخارجي يجب أن يكون حال المدرسة لا استثناءها.</w:t>
      </w:r>
    </w:p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من يحضر كل حصة؟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07"/>
        <w:gridCol w:w="8163"/>
      </w:tblGrid>
      <w:tr>
        <w:trPr>
          <w:cantSplit/>
          <w:trHeight w:val="260" w:hRule="atLeast"/>
        </w:trPr>
        <w:tc>
          <w:tcPr>
            <w:tcW w:w="1210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الدور</w:t>
            </w:r>
          </w:p>
        </w:tc>
        <w:tc>
          <w:tcPr>
            <w:tcW w:w="3789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ما يفعله في الحصة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المشرف التربوي المختص</w:t>
            </w:r>
          </w:p>
        </w:tc>
        <w:tc>
          <w:tcPr>
            <w:tcW w:w="3789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يرصد حصص تخصصه في سجل الإشراف ويعتمد نتيجتها — ولا تُعتمد قبل رصده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مدير المدرسة</w:t>
            </w:r>
          </w:p>
        </w:tc>
        <w:tc>
          <w:tcPr>
            <w:tcW w:w="3789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يرصد أيَّ حصةٍ في مدرسته باستمارته المستقلة، ويكتب تعليقَه النوعي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الوكيل التعليمي</w:t>
            </w:r>
          </w:p>
        </w:tc>
        <w:tc>
          <w:tcPr>
            <w:tcW w:w="3789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يُسنِد المعلمَين الزائرَين ويرصد حصص مدرسته — وعليه أولاً ما لا مشرف لتخصصه كالفنية والبدنية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مدير المجمع</w:t>
            </w:r>
          </w:p>
        </w:tc>
        <w:tc>
          <w:tcPr>
            <w:tcW w:w="3789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يرصد حصص مجمعه كلِّه، ويقارن بين مدارسه بالأرقام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فريق متابعة التقويم الداخلي</w:t>
            </w:r>
          </w:p>
        </w:tc>
        <w:tc>
          <w:tcPr>
            <w:tcW w:w="3789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نطاقه المنظومة كلُّها: يتابع ألّا تبقى حصةٌ بلا راصد، ويرصد هو أيضاً</w:t>
            </w:r>
          </w:p>
        </w:tc>
      </w:tr>
      <w:tr>
        <w:trPr>
          <w:cantSplit/>
          <w:trHeight w:val="294" w:hRule="atLeast"/>
        </w:trPr>
        <w:tc>
          <w:tcPr>
            <w:tcW w:w="1210" w:type="pct"/>
            <w:shd w:val="clear" w:color="auto" w:fill="E9EEF6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معلمان زائران</w:t>
            </w:r>
          </w:p>
        </w:tc>
        <w:tc>
          <w:tcPr>
            <w:tcW w:w="3789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يملأ كلٌّ بطاقة زيارة الأقران، وينقل إجراءً واحداً لنفسه</w:t>
            </w:r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خمس قواعد تضبط الجدول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المقيّمون خمسة كلٌّ في نطاقه: المشرف التربوي لتخصصه، ومدير المدرسة ووكيلها لمدرستهما، ومدير المجمع لمجمعه، وفريق متابعة التقويم الداخلي للمنظومة. ولكلٍّ استمارته المستقلة، والدرجة المعتمدة متوسط من رصد. ومعهم معلمان زائران يملآن بطاقة الأقران.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لا يتجاوز عبء المقيّم حصتين في اليوم، فالتقدير يضعف مع الإرهاق.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لا تُجدول حصتان لمعلم واحد في أسبوع واحد؛ والثلث الأضعف يُزار مرتين في الفصل.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٤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دوران المشرفين يضع كل مشرف في مجمع واحد كل يوم، فتُغطّى حصص تخصصه في المجمعات كلها.</w:t>
      </w:r>
    </w:p>
    <w:p>
      <w:pPr>
        <w:bidi/>
        <w:spacing w:before="0" w:after="60"/>
        <w:ind w:right="170"/>
      </w:pPr>
      <w:r>
        <w:rPr>
          <w:rFonts w:ascii="Sakkal Majalla" w:hAnsi="Sakkal Majalla" w:cs="Sakkal Majalla" w:eastAsia="Sakkal Majalla"/>
          <w:b/>
          <w:color w:val="2F7F95"/>
          <w:sz w:val="22"/>
          <w:szCs w:val="22"/>
          <w:bCs/>
          <w:rtl/>
        </w:rPr>
        <w:t>٥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 </w:t>
      </w:r>
      <w:r>
        <w:rPr>
          <w:rFonts w:ascii="Sakkal Majalla" w:hAnsi="Sakkal Majalla" w:cs="Sakkal Majalla" w:eastAsia="Sakkal Majalla"/>
          <w:b w:val="0"/>
          <w:color w:val="1A1A1A"/>
          <w:sz w:val="22"/>
          <w:szCs w:val="22"/>
          <w:rtl/>
        </w:rPr>
        <w:t>ترصد الحصة ثلاث نتائج: الاستمارة من ٢٠٠ · بطاقة الاستراتيجية من ١٠٠ · إجراء واحد في بطاقة الجسر.</w:t>
      </w:r>
    </w:p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دوران المشرفين على المجمعات</w:t>
      </w:r>
      <w:r>
        <w:rPr>
          <w:rFonts w:ascii="Sakkal Majalla" w:hAnsi="Sakkal Majalla" w:cs="Sakkal Majalla" w:eastAsia="Sakkal Majalla"/>
          <w:b w:val="0"/>
          <w:color w:val="7F7F7F"/>
          <w:sz w:val="19"/>
          <w:szCs w:val="19"/>
          <w:rtl/>
        </w:rPr>
        <w:t xml:space="preserve">    جدولُ الأسبوع الثامن — ويزحف يوماً واحداً في كل أسبوع بعده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834"/>
        <w:gridCol w:w="1984"/>
        <w:gridCol w:w="1984"/>
        <w:gridCol w:w="1984"/>
        <w:gridCol w:w="1984"/>
      </w:tblGrid>
      <w:tr>
        <w:trPr>
          <w:cantSplit/>
          <w:trHeight w:val="260" w:hRule="atLeast"/>
        </w:trPr>
        <w:tc>
          <w:tcPr>
            <w:tcW w:w="1315" w:type="pct"/>
            <w:shd w:val="clear" w:color="auto" w:fill="D9D9D9"/>
            <w:vAlign w:val="center"/>
          </w:tcPr>
          <w:p>
            <w:pPr>
              <w:bidi/>
              <w:spacing w:before="0" w:after="0" w:line="25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التخصص \ اليوم</w:t>
            </w:r>
          </w:p>
        </w:tc>
        <w:tc>
          <w:tcPr>
            <w:tcW w:w="921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الأحد</w:t>
            </w:r>
          </w:p>
        </w:tc>
        <w:tc>
          <w:tcPr>
            <w:tcW w:w="921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الاثنين</w:t>
            </w:r>
          </w:p>
        </w:tc>
        <w:tc>
          <w:tcPr>
            <w:tcW w:w="921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الثلاثاء</w:t>
            </w:r>
          </w:p>
        </w:tc>
        <w:tc>
          <w:tcPr>
            <w:tcW w:w="921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الخميس</w:t>
            </w:r>
          </w:p>
        </w:tc>
      </w:tr>
      <w:tr>
        <w:trPr>
          <w:cantSplit/>
          <w:trHeight w:val="283" w:hRule="atLeast"/>
        </w:trPr>
        <w:tc>
          <w:tcPr>
            <w:tcW w:w="13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لغتي + إسلامية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—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الياسمين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المنار</w:t>
            </w:r>
          </w:p>
        </w:tc>
      </w:tr>
      <w:tr>
        <w:trPr>
          <w:cantSplit/>
          <w:trHeight w:val="283" w:hRule="atLeast"/>
        </w:trPr>
        <w:tc>
          <w:tcPr>
            <w:tcW w:w="13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رياضيات واجتماعيات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الياسمين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المنار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—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</w:tr>
      <w:tr>
        <w:trPr>
          <w:cantSplit/>
          <w:trHeight w:val="283" w:hRule="atLeast"/>
        </w:trPr>
        <w:tc>
          <w:tcPr>
            <w:tcW w:w="13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علوم + حاسب آلي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المنار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—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الياسمين</w:t>
            </w:r>
          </w:p>
        </w:tc>
      </w:tr>
      <w:tr>
        <w:trPr>
          <w:cantSplit/>
          <w:trHeight w:val="283" w:hRule="atLeast"/>
        </w:trPr>
        <w:tc>
          <w:tcPr>
            <w:tcW w:w="13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E + الفنية والبدنية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الياسمين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المنار</w:t>
            </w:r>
          </w:p>
        </w:tc>
        <w:tc>
          <w:tcPr>
            <w:tcW w:w="921" w:type="pct"/>
            <w:shd w:val="clear" w:color="auto" w:fill="F6F8FB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—</w:t>
            </w:r>
          </w:p>
        </w:tc>
      </w:tr>
      <w:tr>
        <w:trPr>
          <w:cantSplit/>
          <w:trHeight w:val="283" w:hRule="atLeast"/>
        </w:trPr>
        <w:tc>
          <w:tcPr>
            <w:tcW w:w="13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الهوية الوطنية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عرقة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المنار</w:t>
            </w:r>
          </w:p>
        </w:tc>
        <w:tc>
          <w:tcPr>
            <w:tcW w:w="921" w:type="pct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1"/>
                <w:szCs w:val="21"/>
                <w:rtl/>
              </w:rPr>
              <w:t>الياسمين</w:t>
            </w:r>
          </w:p>
        </w:tc>
      </w:tr>
    </w:tbl>
    <w:p>
      <w:pPr>
        <w:keepNext/>
        <w:pBdr>
          <w:bottom w:val="single" w:sz="8" w:space="1" w:color="2F7F95"/>
        </w:pBdr>
        <w:bidi/>
        <w:spacing w:before="10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❖  مسار الحصة من التحضير إلى الدرجة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040"/>
        <w:gridCol w:w="8730"/>
      </w:tblGrid>
      <w:tr>
        <w:trPr>
          <w:cantSplit/>
          <w:trHeight w:val="260" w:hRule="atLeast"/>
        </w:trPr>
        <w:tc>
          <w:tcPr>
            <w:tcW w:w="947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المرحلة</w:t>
            </w:r>
          </w:p>
        </w:tc>
        <w:tc>
          <w:tcPr>
            <w:tcW w:w="4052" w:type="pct"/>
            <w:shd w:val="clear" w:color="auto" w:fill="D9D9D9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ما يحدث فيها</w:t>
            </w:r>
          </w:p>
        </w:tc>
      </w:tr>
      <w:tr>
        <w:trPr>
          <w:cantSplit/>
          <w:trHeight w:val="294" w:hRule="atLeast"/>
        </w:trPr>
        <w:tc>
          <w:tcPr>
            <w:tcW w:w="947" w:type="pct"/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>قبل الحصة</w:t>
            </w:r>
          </w:p>
        </w:tc>
        <w:tc>
          <w:tcPr>
            <w:tcW w:w="4052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يسلّم المعلم نموذج التحضير معلناً اتجاهه وإستراتيجيته</w:t>
            </w:r>
          </w:p>
        </w:tc>
      </w:tr>
      <w:tr>
        <w:trPr>
          <w:cantSplit/>
          <w:trHeight w:val="294" w:hRule="atLeast"/>
        </w:trPr>
        <w:tc>
          <w:tcPr>
            <w:tcW w:w="947" w:type="pct"/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>في الحصة</w:t>
            </w:r>
          </w:p>
        </w:tc>
        <w:tc>
          <w:tcPr>
            <w:tcW w:w="4052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يرصد المشرف المختص الاستمارة (٢٠٠) وبطاقة الاستراتيجية (١٠٠)، ويكتب الزملاء بطاقاتهم</w:t>
            </w:r>
          </w:p>
        </w:tc>
      </w:tr>
      <w:tr>
        <w:trPr>
          <w:cantSplit/>
          <w:trHeight w:val="294" w:hRule="atLeast"/>
        </w:trPr>
        <w:tc>
          <w:tcPr>
            <w:tcW w:w="947" w:type="pct"/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>بعد الحصة</w:t>
            </w:r>
          </w:p>
        </w:tc>
        <w:tc>
          <w:tcPr>
            <w:tcW w:w="4052" w:type="pct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جلسة تغذية راجعة في اليوم نفسه أو التالي، تنتهي بإجراء واحد في بطاقة الجسر</w:t>
            </w:r>
          </w:p>
        </w:tc>
      </w:tr>
      <w:tr>
        <w:trPr>
          <w:cantSplit/>
          <w:trHeight w:val="294" w:hRule="atLeast"/>
        </w:trPr>
        <w:tc>
          <w:tcPr>
            <w:tcW w:w="947" w:type="pct"/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>الزيارة القادمة</w:t>
            </w:r>
          </w:p>
        </w:tc>
        <w:tc>
          <w:tcPr>
            <w:tcW w:w="4052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2"/>
                <w:szCs w:val="22"/>
                <w:rtl/>
              </w:rPr>
              <w:t>يبدأ الزائر بالتحقق من تنفيذ الإجراء السابق قبل رصد أي شيء جديد</w:t>
            </w:r>
          </w:p>
        </w:tc>
      </w:tr>
    </w:tbl>
    <w:p>
      <w:pPr>
        <w:bidi/>
        <w:spacing w:before="60" w:after="0" w:line="228" w:lineRule="exact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>الجدول القابل للتعبئة في ملف: «جداول الحصص الموحَّدة» — ورقة «جدول المدرسة»</w:t>
      </w:r>
    </w:p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آلية الحصص الموحَّدة —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الحصص الموحَّدة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