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0" w:after="60"/>
        <w:jc w:val="center"/>
      </w:pP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◆  </w:t>
      </w:r>
      <w:r>
        <w:rPr>
          <w:rFonts w:ascii="Dubai" w:hAnsi="Dubai" w:cs="Dubai" w:eastAsia="Dubai"/>
          <w:b/>
          <w:color w:val="C00000"/>
          <w:sz w:val="26"/>
          <w:szCs w:val="26"/>
          <w:bCs/>
          <w:rtl/>
        </w:rPr>
        <w:t>دليل استخدام المنصة — المعلمة الزائرة</w:t>
      </w:r>
      <w:r>
        <w:rPr>
          <w:rFonts w:ascii="Dubai" w:hAnsi="Dubai" w:cs="Dubai" w:eastAsia="Dubai"/>
          <w:b w:val="0"/>
          <w:color w:val="C00000"/>
          <w:sz w:val="14"/>
          <w:szCs w:val="14"/>
          <w:rtl/>
        </w:rPr>
        <w:t xml:space="preserve">  ◆</w:t>
      </w:r>
    </w:p>
    <w:p>
      <w:pPr>
        <w:bidi/>
        <w:spacing w:before="0" w:after="120"/>
        <w:jc w:val="center"/>
      </w:pPr>
      <w:r>
        <w:rPr>
          <w:rFonts w:ascii="Dubai" w:hAnsi="Dubai" w:cs="Dubai" w:eastAsia="Dubai"/>
          <w:b/>
          <w:color w:val="355E91"/>
          <w:sz w:val="19"/>
          <w:szCs w:val="19"/>
          <w:bCs/>
          <w:rtl/>
        </w:rPr>
        <w:t>لمن: المعلمةُ التي أُسنِدت إليها زيارةُ زميلةٍ في الحصص الموحَّدة</w:t>
      </w:r>
    </w:p>
    <w:p>
      <w:pPr>
        <w:bidi/>
        <w:spacing w:before="40" w:after="120"/>
      </w:pP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 xml:space="preserve">زيارتُك ليست تفتيشاً ولا درجة: تقرأ تحضيرَ زميلتك، وتحضر حصته، وتخرج بإجراءٍ </w:t>
      </w:r>
      <w:r>
        <w:rPr>
          <w:rFonts w:ascii="Dubai" w:hAnsi="Dubai" w:cs="Dubai" w:eastAsia="Dubai"/>
          <w:b/>
          <w:color w:val="1A1A1A"/>
          <w:sz w:val="20"/>
          <w:szCs w:val="20"/>
          <w:bCs/>
          <w:rtl/>
        </w:rPr>
        <w:t>تنقله إلى نفسك</w:t>
      </w:r>
      <w:r>
        <w:rPr>
          <w:rFonts w:ascii="Dubai" w:hAnsi="Dubai" w:cs="Dubai" w:eastAsia="Dubai"/>
          <w:b w:val="0"/>
          <w:color w:val="1A1A1A"/>
          <w:sz w:val="20"/>
          <w:szCs w:val="20"/>
          <w:rtl/>
        </w:rPr>
        <w:t>. وشريطُ المنصة عندك أربعُ خطواتٍ بترتيب زيارتك.</w:t>
      </w:r>
    </w:p>
    <w:tbl>
      <w:tblPr>
        <w:bidiVisual/>
        <w:tblW w:w="5000" w:type="pct"/>
        <w:jc w:val="center"/>
        <w:tblBorders>
          <w:top w:val="single" w:sz="8" w:space="0" w:color="2F7F95"/>
          <w:left w:val="single" w:sz="8" w:space="0" w:color="2F7F95"/>
          <w:bottom w:val="single" w:sz="8" w:space="0" w:color="2F7F95"/>
          <w:right w:val="single" w:sz="8" w:space="0" w:color="2F7F95"/>
          <w:insideH w:val="single" w:sz="2" w:space="0" w:color="2F7F95"/>
          <w:insideV w:val="single" w:sz="2" w:space="0" w:color="2F7F95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2F7F95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قبل أن تبدئي — ثلاثٌ تخصّ الجميع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١.  افتحي الرابط — https://ahseyam.github.io/unified-lesson/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٢.  اختاري دورك — بطاقةٌ لكل دور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E2F0F3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٣.  اكتبي رقمك الوظيفي — به تُعرف لا باسمك</w:t>
            </w:r>
          </w:p>
        </w:tc>
      </w:tr>
    </w:tbl>
    <w:p>
      <w:pPr>
        <w:bidi/>
        <w:spacing w:before="0" w:after="100"/>
      </w:pP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افتحي الرابط: تعمل على الجوال والحاسب واللوح بلا تنزيلِ تطبيق. واحفظيه في المفضّلة — فهو مرجعُك الوحيد، ولا تعتمد نسخةً مرسَلةً على ون درايف فتقدَم بك.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اختاري دورك: ولكلِّ دورٍ ما يخصُّه فقط: أزرارُه وشاشاتُه وتقاريرُه. فلا ترى ما ليس لك، ولا تضغط زرّاً يضيع به عملُ غيرك.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7F7F7F"/>
          <w:sz w:val="18"/>
          <w:szCs w:val="18"/>
          <w:rtl/>
        </w:rPr>
        <w:t>اكتبي رقمك الوظيفي: الأسماءُ تتشابه وتُكتب بصيغٍ شتّى فيظهر الشخصُ مرّتين في التقارير. فإن وُجد رقمُك في الكشف استُدعي اسمُك وتخصصُك تلقائياً.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خطوةً خطوة — بالصور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كلُّ لقطةٍ مأخوذةٌ من المنصة نفسِها، لا رسماً ولا تخيّلاً</w:t>
      </w:r>
    </w:p>
    <w:p>
      <w:pPr>
        <w:keepNext/>
        <w:bidi/>
        <w:spacing w:before="4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١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ادخلي بدورك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اختاري بطاقة «المعلمة الزائرة» واكتبي رقمك الوظيفي.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تختر بطاقةَ «المعلمة القائم بالحصة» — فلكلٍّ شاشاتُه.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3026308" cy="39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26308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٢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ابدئي من «زياراتي المسنَدة»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أولُ ما تفتحه: ما أُسنِد إليك، ومعه موعدُه ومدرستُه واسمُ الزميلة وحالةُ تحضيره.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وعدّادٌ في الشريط تقول كم زيارةً تنتظر بطاقتَك.</w:t>
      </w:r>
    </w:p>
    <w:tbl>
      <w:tblPr>
        <w:bidiVisual/>
        <w:tblW w:w="5000" w:type="pct"/>
        <w:jc w:val="center"/>
        <w:tblBorders>
          <w:top w:val="single" w:sz="8" w:space="0" w:color="E6B8B8"/>
          <w:left w:val="single" w:sz="8" w:space="0" w:color="E6B8B8"/>
          <w:bottom w:val="single" w:sz="8" w:space="0" w:color="E6B8B8"/>
          <w:right w:val="single" w:sz="8" w:space="0" w:color="E6B8B8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rPr>
          <w:cantSplit/>
        </w:trPr>
        <w:tc>
          <w:tcPr>
            <w:tcW w:w="5000" w:type="pct"/>
            <w:shd w:val="clear" w:color="auto" w:fill="FDF3F3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C00000"/>
                <w:sz w:val="18"/>
                <w:szCs w:val="18"/>
                <w:bCs/>
                <w:rtl/>
              </w:rPr>
              <w:t>⛔  لا تظهر لك زيارةٌ إلا بعد أن يُسنِدها وكيلُ المدرسة التعليمي — راجعيه إن تأخّرت.</w:t>
            </w:r>
          </w:p>
        </w:tc>
      </w:tr>
    </w:tbl>
    <w:p>
      <w:pPr>
        <w:bidi/>
        <w:spacing w:before="0" w:after="80"/>
      </w:pP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6408000" cy="38456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visi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3845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٣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اقرئي تحضير زميلتك قبل الدخول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الثانية اسمُها «تحضيرُ زميلتك»: ورقةٌ فيها ما سيُنفَّذ في الحصة.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خريطةُ الزمن ومراحلُها وبطاقةُ الإستراتيجية — تُقرأ قبل دخول الفصل.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اطبعيها أو افتحيها على جوالك لتكون بين يديك في الحصة.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a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٤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املئي بطاقة الزيارة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الثالثة اسمُها «بطاقةُ الزيارة»، وهي قصيرة: وصفُ ما جرى، وما أفادك، وما ستطبّقه.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املئيها أثناء الحصة أو بعدها مباشرةً — فما يُكتب بعد أيامٍ يذهب أكثرُه.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ولا استمارةَ مقيّمات عليك ولا مؤشراتٍ تُقيَّم — ليست من شأنك.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c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bidi/>
        <w:spacing w:before="120" w:after="40"/>
      </w:pPr>
      <w:r>
        <w:rPr>
          <w:rFonts w:ascii="Dubai" w:hAnsi="Dubai" w:cs="Dubai" w:eastAsia="Dubai"/>
          <w:b/>
          <w:color w:val="2F7F95"/>
          <w:sz w:val="26"/>
          <w:szCs w:val="26"/>
          <w:bCs/>
          <w:rtl/>
        </w:rPr>
        <w:t>٥</w:t>
      </w:r>
      <w:r>
        <w:rPr>
          <w:rFonts w:ascii="Dubai" w:hAnsi="Dubai" w:cs="Dubai" w:eastAsia="Dubai"/>
          <w:b/>
          <w:color w:val="355E91"/>
          <w:sz w:val="22"/>
          <w:szCs w:val="22"/>
          <w:bCs/>
          <w:rtl/>
        </w:rPr>
        <w:t xml:space="preserve">  انقلي إجراءك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المرحلةُ الأخيرة اسمُها «إجراؤك أنت»: التزامٌ على نفسك لا حكمٌ على زميلتك.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إجراءٌ واحدٌ محدَّدٌ يمكن رؤيته في حصتك القادمة — وهو ما يُتابَع معك.</w:t>
      </w:r>
    </w:p>
    <w:p>
      <w:pPr>
        <w:bidi/>
        <w:spacing w:before="0" w:after="40"/>
        <w:ind w:right="220"/>
      </w:pPr>
      <w:r>
        <w:rPr>
          <w:rFonts w:ascii="Dubai" w:hAnsi="Dubai" w:cs="Dubai" w:eastAsia="Dubai"/>
          <w:b w:val="0"/>
          <w:color w:val="2F7F95"/>
          <w:sz w:val="16"/>
          <w:szCs w:val="16"/>
          <w:rtl/>
        </w:rPr>
        <w:t xml:space="preserve">•  </w:t>
      </w:r>
      <w:r>
        <w:rPr>
          <w:rFonts w:ascii="Dubai" w:hAnsi="Dubai" w:cs="Dubai" w:eastAsia="Dubai"/>
          <w:b w:val="0"/>
          <w:color w:val="1A1A1A"/>
          <w:sz w:val="19"/>
          <w:szCs w:val="19"/>
          <w:rtl/>
        </w:rPr>
        <w:t>وتظهر نتيجةُ الحصة إن رصدها المقيّمات — للاطّلاع لا للتعديل.</w:t>
      </w:r>
    </w:p>
    <w:p>
      <w:pPr>
        <w:bidi/>
        <w:spacing w:before="40" w:after="80"/>
        <w:jc w:val="center"/>
      </w:pPr>
      <w:r>
        <w:drawing>
          <wp:inline xmlns:a="http://schemas.openxmlformats.org/drawingml/2006/main" xmlns:pic="http://schemas.openxmlformats.org/drawingml/2006/picture">
            <wp:extent cx="5934077" cy="396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_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4077" cy="39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before="0" w:after="120"/>
        <w:jc w:val="center"/>
      </w:pPr>
      <w:r>
        <w:rPr>
          <w:rFonts w:ascii="Dubai Light" w:hAnsi="Dubai Light" w:cs="Dubai Light" w:eastAsia="Dubai Light"/>
          <w:b w:val="0"/>
          <w:color w:val="7F7F7F"/>
          <w:sz w:val="15"/>
          <w:szCs w:val="15"/>
          <w:rtl/>
        </w:rPr>
        <w:t>لقطةٌ من المنصة نفسِها</w:t>
      </w: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ما يقع فيه الخطأُ عادةً</w:t>
      </w: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 xml:space="preserve">    قبل أن تسأل — أكثرُ ما يتكرّر</w:t>
      </w:r>
    </w:p>
    <w:tbl>
      <w:tblPr>
        <w:bidiVisual/>
        <w:tblW w:w="5000" w:type="pct"/>
        <w:jc w:val="center"/>
        <w:tblBorders>
          <w:top w:val="single" w:sz="12" w:space="0" w:color="355E91"/>
          <w:left w:val="single" w:sz="12" w:space="0" w:color="355E91"/>
          <w:bottom w:val="single" w:sz="12" w:space="0" w:color="355E91"/>
          <w:right w:val="single" w:sz="12" w:space="0" w:color="355E91"/>
          <w:insideH w:val="single" w:sz="4" w:space="0" w:color="C9D2DE"/>
          <w:insideV w:val="single" w:sz="4" w:space="0" w:color="C9D2DE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3628"/>
        <w:gridCol w:w="7142"/>
      </w:tblGrid>
      <w:tr>
        <w:trPr>
          <w:tblHeader/>
        </w:trPr>
        <w:tc>
          <w:tcPr>
            <w:tcW w:w="1684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ما يحدث</w:t>
            </w:r>
          </w:p>
        </w:tc>
        <w:tc>
          <w:tcPr>
            <w:tcW w:w="3315" w:type="pct"/>
            <w:shd w:val="clear" w:color="auto" w:fill="355E91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18"/>
                <w:szCs w:val="18"/>
                <w:bCs/>
                <w:rtl/>
              </w:rPr>
              <w:t>السبب وما تفعلينه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زياراتٍ مسنَدةً إليّ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الإسنادُ من الوكيلة التعليمية بالرقم الوظيفي. تأكّدي أنك دخلتَ برقمك الصحيح.</w:t>
            </w:r>
          </w:p>
        </w:tc>
      </w:tr>
      <w:tr>
        <w:trPr>
          <w:cantSplit/>
        </w:trPr>
        <w:tc>
          <w:tcPr>
            <w:tcW w:w="1684" w:type="pct"/>
            <w:shd w:val="clear" w:color="auto" w:fill="F6F8FB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/>
                <w:color w:val="355E91"/>
                <w:sz w:val="18"/>
                <w:szCs w:val="18"/>
                <w:bCs/>
                <w:rtl/>
              </w:rPr>
              <w:t>لا أجد جدول التعبئة</w:t>
            </w:r>
          </w:p>
        </w:tc>
        <w:tc>
          <w:tcPr>
            <w:tcW w:w="3315" w:type="pct"/>
            <w:vAlign w:val="center"/>
          </w:tcPr>
          <w:p>
            <w:pPr>
              <w:bidi/>
              <w:spacing w:before="0" w:after="0" w:line="242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لأنك لا تجدول شيئاً. شريطُك أربعُ خطواتٍ فقط، وهذا مقصود.</w:t>
            </w:r>
          </w:p>
        </w:tc>
      </w:tr>
    </w:tbl>
    <w:p>
      <w:pPr>
        <w:bidi/>
        <w:spacing w:before="0" w:after="120"/>
      </w:pPr>
    </w:p>
    <w:p>
      <w:pPr>
        <w:keepNext/>
        <w:pBdr>
          <w:bottom w:val="single" w:sz="8" w:space="1" w:color="2F7F95"/>
        </w:pBdr>
        <w:bidi/>
        <w:spacing w:before="140" w:after="40"/>
      </w:pPr>
      <w:r>
        <w:rPr>
          <w:rFonts w:ascii="Dubai" w:hAnsi="Dubai" w:cs="Dubai" w:eastAsia="Dubai"/>
          <w:b/>
          <w:color w:val="C00000"/>
          <w:sz w:val="22"/>
          <w:szCs w:val="22"/>
          <w:bCs/>
          <w:rtl/>
        </w:rPr>
        <w:t>❖  أسئلةٌ متكرّرة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كم زيارةً عليّ؟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زيارتان في الفصل الدراسي — والعدّادُ في الشريط تقول ما بقي.</w:t>
      </w:r>
    </w:p>
    <w:p>
      <w:pPr>
        <w:bidi/>
        <w:spacing w:before="40" w:after="2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س: </w:t>
      </w:r>
      <w:r>
        <w:rPr>
          <w:rFonts w:ascii="Dubai" w:hAnsi="Dubai" w:cs="Dubai" w:eastAsia="Dubai"/>
          <w:b/>
          <w:color w:val="355E91"/>
          <w:sz w:val="18"/>
          <w:szCs w:val="18"/>
          <w:bCs/>
          <w:rtl/>
        </w:rPr>
        <w:t>هل أضع درجةً لزميلي؟</w:t>
      </w:r>
    </w:p>
    <w:p>
      <w:pPr>
        <w:bidi/>
        <w:spacing w:before="0" w:after="60"/>
        <w:ind w:right="260"/>
      </w:pPr>
      <w:r>
        <w:rPr>
          <w:rFonts w:ascii="Dubai" w:hAnsi="Dubai" w:cs="Dubai" w:eastAsia="Dubai"/>
          <w:b/>
          <w:color w:val="2F7F95"/>
          <w:sz w:val="18"/>
          <w:szCs w:val="18"/>
          <w:bCs/>
          <w:rtl/>
        </w:rPr>
        <w:t xml:space="preserve">ج: </w:t>
      </w:r>
      <w:r>
        <w:rPr>
          <w:rFonts w:ascii="Dubai" w:hAnsi="Dubai" w:cs="Dubai" w:eastAsia="Dubai"/>
          <w:b w:val="0"/>
          <w:color w:val="1A1A1A"/>
          <w:sz w:val="18"/>
          <w:szCs w:val="18"/>
          <w:rtl/>
        </w:rPr>
        <w:t>لا. الدرجةُ للمقيّمين، وبطاقتُك وصفٌ وإفادة.</w:t>
      </w:r>
    </w:p>
    <w:tbl>
      <w:tblPr>
        <w:bidiVisual/>
        <w:tblW w:w="5000" w:type="pct"/>
        <w:jc w:val="center"/>
        <w:tblBorders>
          <w:top w:val="single" w:sz="8" w:space="0" w:color="355E91"/>
          <w:left w:val="single" w:sz="8" w:space="0" w:color="355E91"/>
          <w:bottom w:val="single" w:sz="8" w:space="0" w:color="355E91"/>
          <w:right w:val="single" w:sz="8" w:space="0" w:color="355E91"/>
          <w:insideH w:val="single" w:sz="2" w:space="0" w:color="355E91"/>
          <w:insideV w:val="single" w:sz="2" w:space="0" w:color="355E91"/>
        </w:tblBorders>
        <w:tblLayout w:type="fixed"/>
        <w:tblCellMar>
          <w:top w:w="14" w:type="dxa"/>
          <w:left w:w="70" w:type="dxa"/>
          <w:bottom w:w="14" w:type="dxa"/>
          <w:right w:w="70" w:type="dxa"/>
        </w:tblCellMar>
        <w:tblLook w:firstColumn="1" w:firstRow="1" w:lastColumn="0" w:lastRow="0" w:noHBand="0" w:noVBand="1" w:val="04A0"/>
      </w:tblPr>
      <w:tblGrid>
        <w:gridCol w:w="10771"/>
      </w:tblGrid>
      <w:tr>
        <w:tc>
          <w:tcPr>
            <w:tcW w:w="5000" w:type="pct"/>
            <w:shd w:val="clear" w:color="auto" w:fill="355E91"/>
            <w:vAlign w:val="center"/>
          </w:tcPr>
          <w:p>
            <w:pPr>
              <w:bidi/>
              <w:spacing w:before="0" w:after="0" w:line="264" w:lineRule="exact"/>
            </w:pPr>
            <w:r/>
            <w:r>
              <w:rPr>
                <w:rFonts w:ascii="Dubai" w:hAnsi="Dubai" w:cs="Dubai" w:eastAsia="Dubai"/>
                <w:b/>
                <w:color w:val="FFFFFF"/>
                <w:sz w:val="20"/>
                <w:szCs w:val="20"/>
                <w:bCs/>
                <w:rtl/>
              </w:rPr>
              <w:t>بمن تتصل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إن لم يظهر لك ما يخصُّك، أو ظهر لك ما ليس لك — راجعي إدارة التخطيط والاعتماد المدرسي.</w:t>
            </w:r>
          </w:p>
        </w:tc>
      </w:tr>
      <w:tr>
        <w:trPr>
          <w:cantSplit/>
        </w:trPr>
        <w:tc>
          <w:tcPr>
            <w:tcW w:w="5000" w:type="pct"/>
            <w:shd w:val="clear" w:color="auto" w:fill="F6F8FB"/>
            <w:vAlign w:val="center"/>
          </w:tcPr>
          <w:p>
            <w:pPr>
              <w:bidi/>
              <w:spacing w:before="0" w:after="0" w:line="248" w:lineRule="exact"/>
            </w:pPr>
            <w:r/>
            <w:r>
              <w:rPr>
                <w:rFonts w:ascii="Dubai" w:hAnsi="Dubai" w:cs="Dubai" w:eastAsia="Dubai"/>
                <w:b w:val="0"/>
                <w:color w:val="1A1A1A"/>
                <w:sz w:val="18"/>
                <w:szCs w:val="18"/>
                <w:rtl/>
              </w:rPr>
              <w:t>وإن لم تُفتح الصفحة أصلاً — تأكّدي من الرابط أعلاه، ومن أنك متصلٌ بالشبكة.</w:t>
            </w:r>
          </w:p>
        </w:tc>
      </w:tr>
    </w:tbl>
    <w:p>
      <w:pPr>
        <w:bidi/>
        <w:spacing w:before="0" w:after="100"/>
      </w:pPr>
    </w:p>
    <w:p>
      <w:pPr>
        <w:bidi/>
        <w:spacing w:before="80" w:after="0"/>
        <w:jc w:val="center"/>
      </w:pPr>
      <w:r>
        <w:rPr>
          <w:rFonts w:ascii="Dubai" w:hAnsi="Dubai" w:cs="Dubai" w:eastAsia="Dubai"/>
          <w:b/>
          <w:color w:val="2F7F95"/>
          <w:sz w:val="19"/>
          <w:szCs w:val="19"/>
          <w:bCs/>
          <w:rtl w:val="0"/>
        </w:rPr>
        <w:t>https://ahseyam.github.io/unified-lesson/</w:t>
      </w:r>
    </w:p>
    <w:p>
      <w:pPr>
        <w:bidi/>
        <w:spacing w:before="0" w:after="0"/>
        <w:jc w:val="center"/>
      </w:pPr>
      <w:r>
        <w:rPr>
          <w:rFonts w:ascii="Dubai Light" w:hAnsi="Dubai Light" w:cs="Dubai Light" w:eastAsia="Dubai Light"/>
          <w:b w:val="0"/>
          <w:color w:val="7F7F7F"/>
          <w:sz w:val="16"/>
          <w:szCs w:val="16"/>
          <w:rtl/>
        </w:rPr>
        <w:t>إدارة التخطيط والاعتماد المدرسي  ·  أ. أحمد صيام</w:t>
      </w:r>
    </w:p>
    <w:sectPr w:rsidR="00FC693F" w:rsidRPr="0006063C" w:rsidSect="00034616">
      <w:headerReference w:type="default" r:id="rId9"/>
      <w:pgSz w:w="11906" w:h="16838"/>
      <w:pgMar w:top="1616" w:right="567" w:bottom="1531" w:left="567" w:header="113" w:footer="907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/>
    </w:pPr>
    <w:r/>
    <w:r>
      <w:drawing>
        <wp:anchor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901" name="klisha"/>
          <wp:cNvGraphicFramePr/>
          <a:graphic xmlns:a="http://schemas.openxmlformats.org/drawingml/2006/main" xmlns:pic="http://schemas.openxmlformats.org/drawingml/2006/picture">
            <a:graphicData uri="http://schemas.openxmlformats.org/drawingml/2006/picture">
              <pic:pic>
                <pic:nvPicPr>
                  <pic:cNvPr id="0" name="kl_portrait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  <w:p>
    <w:pPr>
      <w:framePr w:w="4450" w:h="556" w:hRule="exact" w:x="7228" w:y="578" w:hAnchor="page" w:vAnchor="page" w:wrap="notBeside"/>
      <w:bidi/>
      <w:spacing w:before="77" w:after="0" w:line="400" w:lineRule="exact"/>
      <w:jc w:val="center"/>
    </w:pPr>
    <w:r>
      <w:rPr>
        <w:rFonts w:ascii="Dubai" w:hAnsi="Dubai" w:cs="Dubai" w:eastAsia="Dubai"/>
        <w:b/>
        <w:color w:val="FFFFFF"/>
        <w:sz w:val="32"/>
        <w:szCs w:val="32"/>
        <w:bCs/>
        <w:rtl/>
      </w:rPr>
      <w:t>الحصة الموحَّدة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idi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ubai" w:hAnsi="Dubai" w:cs="Dubai" w:eastAsia="Dubai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