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Helvetica Neue" w:hAnsi="Helvetica Neue" w:cs="Helvetica Neue" w:eastAsia="Helvetica Neue"/>
          <w:b w:val="0"/>
          <w:color w:val="C00000"/>
          <w:sz w:val="14"/>
          <w:szCs w:val="14"/>
          <w:rtl w:val="0"/>
        </w:rPr>
        <w:t xml:space="preserve">◆  </w:t>
      </w:r>
      <w:r>
        <w:rPr>
          <w:rFonts w:ascii="Helvetica Neue" w:hAnsi="Helvetica Neue" w:cs="Helvetica Neue" w:eastAsia="Helvetica Neue"/>
          <w:b/>
          <w:color w:val="C00000"/>
          <w:sz w:val="26"/>
          <w:szCs w:val="26"/>
          <w:bCs/>
          <w:rtl w:val="0"/>
        </w:rPr>
        <w:t>Platform User Guide — Internal Evaluation Follow-up Team</w:t>
      </w:r>
      <w:r>
        <w:rPr>
          <w:rFonts w:ascii="Helvetica Neue" w:hAnsi="Helvetica Neue" w:cs="Helvetica Neue" w:eastAsia="Helvetica Neue"/>
          <w:b w:val="0"/>
          <w:color w:val="C00000"/>
          <w:sz w:val="14"/>
          <w:szCs w:val="14"/>
          <w:rtl w:val="0"/>
        </w:rPr>
        <w:t xml:space="preserve">  ◆</w:t>
      </w:r>
    </w:p>
    <w:p>
      <w:pPr>
        <w:spacing w:before="0" w:after="120"/>
        <w:jc w:val="center"/>
      </w:pPr>
      <w:r>
        <w:rPr>
          <w:rFonts w:ascii="Helvetica Neue" w:hAnsi="Helvetica Neue" w:cs="Helvetica Neue" w:eastAsia="Helvetica Neue"/>
          <w:b/>
          <w:color w:val="355E91"/>
          <w:sz w:val="19"/>
          <w:szCs w:val="19"/>
          <w:bCs/>
          <w:rtl w:val="0"/>
        </w:rPr>
        <w:t>For: two members of the central administration — their scope is the whole system</w:t>
      </w:r>
    </w:p>
    <w:p>
      <w:pPr>
        <w:spacing w:before="40" w:after="120"/>
      </w:pPr>
      <w:r>
        <w:rPr>
          <w:rFonts w:ascii="Helvetica Neue" w:hAnsi="Helvetica Neue" w:cs="Helvetica Neue" w:eastAsia="Helvetica Neue"/>
          <w:b w:val="0"/>
          <w:color w:val="1A1A1A"/>
          <w:sz w:val="20"/>
          <w:szCs w:val="20"/>
          <w:rtl w:val="0"/>
        </w:rPr>
        <w:t xml:space="preserve">Your scope is the </w:t>
      </w:r>
      <w:r>
        <w:rPr>
          <w:rFonts w:ascii="Helvetica Neue" w:hAnsi="Helvetica Neue" w:cs="Helvetica Neue" w:eastAsia="Helvetica Neue"/>
          <w:b/>
          <w:color w:val="1A1A1A"/>
          <w:sz w:val="20"/>
          <w:szCs w:val="20"/>
          <w:bCs/>
          <w:rtl w:val="0"/>
        </w:rPr>
        <w:t>whole system</w:t>
      </w:r>
      <w:r>
        <w:rPr>
          <w:rFonts w:ascii="Helvetica Neue" w:hAnsi="Helvetica Neue" w:cs="Helvetica Neue" w:eastAsia="Helvetica Neue"/>
          <w:b w:val="0"/>
          <w:color w:val="1A1A1A"/>
          <w:sz w:val="20"/>
          <w:szCs w:val="20"/>
          <w:rtl w:val="0"/>
        </w:rPr>
        <w:t xml:space="preserve">: both sectors, the complexes and the schools. You make sure no lesson is left without an observer, </w:t>
      </w:r>
      <w:r>
        <w:rPr>
          <w:rFonts w:ascii="Helvetica Neue" w:hAnsi="Helvetica Neue" w:cs="Helvetica Neue" w:eastAsia="Helvetica Neue"/>
          <w:b/>
          <w:color w:val="1A1A1A"/>
          <w:sz w:val="20"/>
          <w:szCs w:val="20"/>
          <w:bCs/>
          <w:rtl w:val="0"/>
        </w:rPr>
        <w:t>and you observe too</w:t>
      </w:r>
      <w:r>
        <w:rPr>
          <w:rFonts w:ascii="Helvetica Neue" w:hAnsi="Helvetica Neue" w:cs="Helvetica Neue" w:eastAsia="Helvetica Neue"/>
          <w:b w:val="0"/>
          <w:color w:val="1A1A1A"/>
          <w:sz w:val="20"/>
          <w:szCs w:val="20"/>
          <w:rtl w:val="0"/>
        </w:rPr>
        <w:t>: each of you has an independent form with its own score and name. The adopted score for a lesson is the average of those who scored it.</w:t>
      </w:r>
    </w:p>
    <w:tbl>
      <w:tblPr>
        <w:bidiVisual/>
        <w:tblW w:w="5000" w:type="pct"/>
        <w:jc w:val="center"/>
        <w:tblBorders>
          <w:top w:val="single" w:sz="8" w:space="0" w:color="2F7F95"/>
          <w:left w:val="single" w:sz="8" w:space="0" w:color="2F7F95"/>
          <w:bottom w:val="single" w:sz="8" w:space="0" w:color="2F7F95"/>
          <w:right w:val="single" w:sz="8" w:space="0" w:color="2F7F95"/>
          <w:insideH w:val="single" w:sz="2" w:space="0" w:color="2F7F95"/>
          <w:insideV w:val="single" w:sz="2" w:space="0" w:color="2F7F95"/>
        </w:tblBorders>
        <w:tblLayout w:type="fixed"/>
        <w:tblCellMar>
          <w:top w:w="14" w:type="dxa"/>
          <w:left w:w="70" w:type="dxa"/>
          <w:bottom w:w="14" w:type="dxa"/>
          <w:right w:w="70" w:type="dxa"/>
        </w:tblCellMar>
        <w:tblLook w:firstColumn="1" w:firstRow="1" w:lastColumn="0" w:lastRow="0" w:noHBand="0" w:noVBand="1" w:val="04A0"/>
      </w:tblPr>
      <w:tblGrid>
        <w:gridCol w:w="10771"/>
      </w:tblGrid>
      <w:tr>
        <w:tc>
          <w:tcPr>
            <w:tcW w:w="5000" w:type="pct"/>
            <w:shd w:val="clear" w:color="auto" w:fill="2F7F95"/>
            <w:vAlign w:val="center"/>
          </w:tcPr>
          <w:p>
            <w:pPr>
              <w:spacing w:before="0" w:after="0" w:line="264" w:lineRule="exact"/>
            </w:pPr>
            <w:r/>
            <w:r>
              <w:rPr>
                <w:rFonts w:ascii="Helvetica Neue" w:hAnsi="Helvetica Neue" w:cs="Helvetica Neue" w:eastAsia="Helvetica Neue"/>
                <w:b/>
                <w:color w:val="FFFFFF"/>
                <w:sz w:val="20"/>
                <w:szCs w:val="20"/>
                <w:bCs/>
                <w:rtl w:val="0"/>
              </w:rPr>
              <w:t>Before you start — four things that concern everyone</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1.  Open the link — https://ahseyam.github.io/unified-lesson/</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2.  Switch to English — the EN button, top right</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3.  Choose your role — one card per role</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4.  Enter your staff number — you are identified by it, not by your name</w:t>
            </w:r>
          </w:p>
        </w:tc>
      </w:tr>
    </w:tbl>
    <w:p>
      <w:pPr>
        <w:spacing w:before="0" w:after="100"/>
      </w:pP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Open the link: It runs on phone, laptop and tablet with nothing to install. Bookmark it — it is your single reference; do not rely on a copy someone sends you, or you will be working from yesterday's data.</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Switch to English: Press it once and the choice is remembered on your device. Arabic is the default for everyone, so nothing changes for your Arabic-speaking colleagues. You may enter your own text in English or Arabic — both are kept as typed.</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Choose your role: Each role sees only what concerns it: its own buttons, screens and reports. You will not see what is not yours, and you cannot press a button that destroys someone else's work.</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Enter your staff number: Names repeat and are spelled in different ways, so the same person appears twice in the reports. If your number is on the roster, your name and subject are filled in for you.</w:t>
      </w: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Step by step — with pictures</w:t>
      </w:r>
      <w:r>
        <w:rPr>
          <w:rFonts w:ascii="Helvetica Neue" w:hAnsi="Helvetica Neue" w:cs="Helvetica Neue" w:eastAsia="Helvetica Neue"/>
          <w:b w:val="0"/>
          <w:color w:val="7F7F7F"/>
          <w:sz w:val="16"/>
          <w:szCs w:val="16"/>
          <w:rtl w:val="0"/>
        </w:rPr>
        <w:t xml:space="preserve">    every screenshot is taken from the platform itself, not drawn or imagined</w:t>
      </w:r>
    </w:p>
    <w:p>
      <w:pPr>
        <w:keepNext/>
        <w:spacing w:before="40" w:after="40"/>
      </w:pPr>
      <w:r>
        <w:rPr>
          <w:rFonts w:ascii="Helvetica Neue" w:hAnsi="Helvetica Neue" w:cs="Helvetica Neue" w:eastAsia="Helvetica Neue"/>
          <w:b/>
          <w:color w:val="2F7F95"/>
          <w:sz w:val="26"/>
          <w:szCs w:val="26"/>
          <w:bCs/>
          <w:rtl w:val="0"/>
        </w:rPr>
        <w:t>1</w:t>
      </w:r>
      <w:r>
        <w:rPr>
          <w:rFonts w:ascii="Helvetica Neue" w:hAnsi="Helvetica Neue" w:cs="Helvetica Neue" w:eastAsia="Helvetica Neue"/>
          <w:b/>
          <w:color w:val="355E91"/>
          <w:sz w:val="22"/>
          <w:szCs w:val="22"/>
          <w:bCs/>
          <w:rtl w:val="0"/>
        </w:rPr>
        <w:t xml:space="preserve">  Sign in with your role</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Choose the “Internal evaluation follow-up team” card — it is the last of them.</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You are asked for neither a subject nor a complex: your scope is the whole system.</w:t>
      </w:r>
    </w:p>
    <w:p>
      <w:pPr>
        <w:spacing w:before="40" w:after="80"/>
        <w:jc w:val="center"/>
      </w:pPr>
      <w:r>
        <w:drawing>
          <wp:inline xmlns:a="http://schemas.openxmlformats.org/drawingml/2006/main" xmlns:pic="http://schemas.openxmlformats.org/drawingml/2006/picture">
            <wp:extent cx="3026308" cy="3960000"/>
            <wp:docPr id="1" name="Picture 1"/>
            <wp:cNvGraphicFramePr>
              <a:graphicFrameLocks noChangeAspect="1"/>
            </wp:cNvGraphicFramePr>
            <a:graphic>
              <a:graphicData uri="http://schemas.openxmlformats.org/drawingml/2006/picture">
                <pic:pic>
                  <pic:nvPicPr>
                    <pic:cNvPr id="0" name="login_iq.png"/>
                    <pic:cNvPicPr/>
                  </pic:nvPicPr>
                  <pic:blipFill>
                    <a:blip r:embed="rId10"/>
                    <a:stretch>
                      <a:fillRect/>
                    </a:stretch>
                  </pic:blipFill>
                  <pic:spPr>
                    <a:xfrm>
                      <a:off x="0" y="0"/>
                      <a:ext cx="3026308"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2</w:t>
      </w:r>
      <w:r>
        <w:rPr>
          <w:rFonts w:ascii="Helvetica Neue" w:hAnsi="Helvetica Neue" w:cs="Helvetica Neue" w:eastAsia="Helvetica Neue"/>
          <w:b/>
          <w:color w:val="355E91"/>
          <w:sz w:val="22"/>
          <w:szCs w:val="22"/>
          <w:bCs/>
          <w:rtl w:val="0"/>
        </w:rPr>
        <w:t xml:space="preserve">  Read the schedule</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You see every lesson in the system: both sectors, the complexes and the schools.</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No cell is edited — following up is reading, not writing.</w:t>
      </w:r>
    </w:p>
    <w:p>
      <w:pPr>
        <w:spacing w:before="40" w:after="80"/>
        <w:jc w:val="center"/>
      </w:pPr>
      <w:r>
        <w:drawing>
          <wp:inline xmlns:a="http://schemas.openxmlformats.org/drawingml/2006/main" xmlns:pic="http://schemas.openxmlformats.org/drawingml/2006/picture">
            <wp:extent cx="5934077" cy="3960000"/>
            <wp:docPr id="2" name="Picture 2"/>
            <wp:cNvGraphicFramePr>
              <a:graphicFrameLocks noChangeAspect="1"/>
            </wp:cNvGraphicFramePr>
            <a:graphic>
              <a:graphicData uri="http://schemas.openxmlformats.org/drawingml/2006/picture">
                <pic:pic>
                  <pic:nvPicPr>
                    <pic:cNvPr id="0" name="q_grid.png"/>
                    <pic:cNvPicPr/>
                  </pic:nvPicPr>
                  <pic:blipFill>
                    <a:blip r:embed="rId11"/>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3</w:t>
      </w:r>
      <w:r>
        <w:rPr>
          <w:rFonts w:ascii="Helvetica Neue" w:hAnsi="Helvetica Neue" w:cs="Helvetica Neue" w:eastAsia="Helvetica Neue"/>
          <w:b/>
          <w:color w:val="355E91"/>
          <w:sz w:val="22"/>
          <w:szCs w:val="22"/>
          <w:bCs/>
          <w:rtl w:val="0"/>
        </w:rPr>
        <w:t xml:space="preserve">  Follow what has no supervisor</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The “Lessons with no subject supervisor” report is your first task: who observes them, and whether they have been observed.</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If one remains with no observer, you alert the deputy or the complex manager.</w:t>
      </w:r>
    </w:p>
    <w:p>
      <w:pPr>
        <w:spacing w:before="40" w:after="80"/>
        <w:jc w:val="center"/>
      </w:pPr>
      <w:r>
        <w:drawing>
          <wp:inline xmlns:a="http://schemas.openxmlformats.org/drawingml/2006/main" xmlns:pic="http://schemas.openxmlformats.org/drawingml/2006/picture">
            <wp:extent cx="5934077" cy="3960000"/>
            <wp:docPr id="3" name="Picture 3"/>
            <wp:cNvGraphicFramePr>
              <a:graphicFrameLocks noChangeAspect="1"/>
            </wp:cNvGraphicFramePr>
            <a:graphic>
              <a:graphicData uri="http://schemas.openxmlformats.org/drawingml/2006/picture">
                <pic:pic>
                  <pic:nvPicPr>
                    <pic:cNvPr id="0" name="q_gap.png"/>
                    <pic:cNvPicPr/>
                  </pic:nvPicPr>
                  <pic:blipFill>
                    <a:blip r:embed="rId12"/>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4</w:t>
      </w:r>
      <w:r>
        <w:rPr>
          <w:rFonts w:ascii="Helvetica Neue" w:hAnsi="Helvetica Neue" w:cs="Helvetica Neue" w:eastAsia="Helvetica Neue"/>
          <w:b/>
          <w:color w:val="355E91"/>
          <w:sz w:val="22"/>
          <w:szCs w:val="22"/>
          <w:bCs/>
          <w:rtl w:val="0"/>
        </w:rPr>
        <w:t xml:space="preserve">  Observe the lesson</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Open the lesson under “Lesson observation”; your capacity is filled in from your role.</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Fill the form and the strategy card — each of you has their own form.</w:t>
      </w:r>
    </w:p>
    <w:tbl>
      <w:tblPr>
        <w:bidiVisual/>
        <w:tblW w:w="5000" w:type="pct"/>
        <w:jc w:val="center"/>
        <w:tblBorders>
          <w:top w:val="single" w:sz="8" w:space="0" w:color="E6B8B8"/>
          <w:left w:val="single" w:sz="8" w:space="0" w:color="E6B8B8"/>
          <w:bottom w:val="single" w:sz="8" w:space="0" w:color="E6B8B8"/>
          <w:right w:val="single" w:sz="8" w:space="0" w:color="E6B8B8"/>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10771"/>
      </w:tblGrid>
      <w:tr>
        <w:trPr>
          <w:cantSplit/>
        </w:trPr>
        <w:tc>
          <w:tcPr>
            <w:tcW w:w="5000" w:type="pct"/>
            <w:shd w:val="clear" w:color="auto" w:fill="FDF3F3"/>
            <w:vAlign w:val="center"/>
          </w:tcPr>
          <w:p>
            <w:pPr>
              <w:spacing w:before="0" w:after="0" w:line="242" w:lineRule="exact"/>
            </w:pPr>
            <w:r/>
            <w:r>
              <w:rPr>
                <w:rFonts w:ascii="Helvetica Neue" w:hAnsi="Helvetica Neue" w:cs="Helvetica Neue" w:eastAsia="Helvetica Neue"/>
                <w:b/>
                <w:color w:val="C00000"/>
                <w:sz w:val="18"/>
                <w:szCs w:val="18"/>
                <w:bCs/>
                <w:rtl w:val="0"/>
              </w:rPr>
              <w:t>⛔  Your form carries your name, and no other observer overwrites it — their score appears beside yours.</w:t>
            </w:r>
          </w:p>
        </w:tc>
      </w:tr>
    </w:tbl>
    <w:p>
      <w:pPr>
        <w:spacing w:before="0" w:after="80"/>
      </w:pPr>
    </w:p>
    <w:p>
      <w:pPr>
        <w:spacing w:before="40" w:after="80"/>
        <w:jc w:val="center"/>
      </w:pPr>
      <w:r>
        <w:drawing>
          <wp:inline xmlns:a="http://schemas.openxmlformats.org/drawingml/2006/main" xmlns:pic="http://schemas.openxmlformats.org/drawingml/2006/picture">
            <wp:extent cx="5934077" cy="3960000"/>
            <wp:docPr id="4" name="Picture 4"/>
            <wp:cNvGraphicFramePr>
              <a:graphicFrameLocks noChangeAspect="1"/>
            </wp:cNvGraphicFramePr>
            <a:graphic>
              <a:graphicData uri="http://schemas.openxmlformats.org/drawingml/2006/picture">
                <pic:pic>
                  <pic:nvPicPr>
                    <pic:cNvPr id="0" name="q_note.png"/>
                    <pic:cNvPicPr/>
                  </pic:nvPicPr>
                  <pic:blipFill>
                    <a:blip r:embed="rId13"/>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Where things usually go wrong</w:t>
      </w:r>
      <w:r>
        <w:rPr>
          <w:rFonts w:ascii="Helvetica Neue" w:hAnsi="Helvetica Neue" w:cs="Helvetica Neue" w:eastAsia="Helvetica Neue"/>
          <w:b w:val="0"/>
          <w:color w:val="7F7F7F"/>
          <w:sz w:val="16"/>
          <w:szCs w:val="16"/>
          <w:rtl w:val="0"/>
        </w:rPr>
        <w:t xml:space="preserve">    before you ask — the most common cases</w:t>
      </w:r>
    </w:p>
    <w:tbl>
      <w:tblPr>
        <w:bidiVisual/>
        <w:tblW w:w="5000" w:type="pct"/>
        <w:jc w:val="center"/>
        <w:tblBorders>
          <w:top w:val="single" w:sz="12" w:space="0" w:color="355E91"/>
          <w:left w:val="single" w:sz="12" w:space="0" w:color="355E91"/>
          <w:bottom w:val="single" w:sz="12" w:space="0" w:color="355E91"/>
          <w:right w:val="single" w:sz="12" w:space="0" w:color="355E91"/>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3628"/>
        <w:gridCol w:w="7142"/>
      </w:tblGrid>
      <w:tr>
        <w:trPr>
          <w:tblHeader/>
        </w:trPr>
        <w:tc>
          <w:tcPr>
            <w:tcW w:w="1684" w:type="pct"/>
            <w:shd w:val="clear" w:color="auto" w:fill="355E91"/>
            <w:vAlign w:val="center"/>
          </w:tcPr>
          <w:p>
            <w:pPr>
              <w:spacing w:before="0" w:after="0" w:line="248" w:lineRule="exact"/>
            </w:pPr>
            <w:r/>
            <w:r>
              <w:rPr>
                <w:rFonts w:ascii="Helvetica Neue" w:hAnsi="Helvetica Neue" w:cs="Helvetica Neue" w:eastAsia="Helvetica Neue"/>
                <w:b/>
                <w:color w:val="FFFFFF"/>
                <w:sz w:val="18"/>
                <w:szCs w:val="18"/>
                <w:bCs/>
                <w:rtl w:val="0"/>
              </w:rPr>
              <w:t>What happens</w:t>
            </w:r>
          </w:p>
        </w:tc>
        <w:tc>
          <w:tcPr>
            <w:tcW w:w="3315" w:type="pct"/>
            <w:shd w:val="clear" w:color="auto" w:fill="355E91"/>
            <w:vAlign w:val="center"/>
          </w:tcPr>
          <w:p>
            <w:pPr>
              <w:spacing w:before="0" w:after="0" w:line="248" w:lineRule="exact"/>
            </w:pPr>
            <w:r/>
            <w:r>
              <w:rPr>
                <w:rFonts w:ascii="Helvetica Neue" w:hAnsi="Helvetica Neue" w:cs="Helvetica Neue" w:eastAsia="Helvetica Neue"/>
                <w:b/>
                <w:color w:val="FFFFFF"/>
                <w:sz w:val="18"/>
                <w:szCs w:val="18"/>
                <w:bCs/>
                <w:rtl w:val="0"/>
              </w:rPr>
              <w:t>Why, and what to do</w:t>
            </w:r>
          </w:p>
        </w:tc>
      </w:tr>
      <w:tr>
        <w:trPr>
          <w:cantSplit/>
        </w:trPr>
        <w:tc>
          <w:tcPr>
            <w:tcW w:w="1684" w:type="pct"/>
            <w:shd w:val="clear" w:color="auto" w:fill="F6F8FB"/>
            <w:vAlign w:val="center"/>
          </w:tcPr>
          <w:p>
            <w:pPr>
              <w:spacing w:before="0" w:after="0" w:line="242" w:lineRule="exact"/>
            </w:pPr>
            <w:r/>
            <w:r>
              <w:rPr>
                <w:rFonts w:ascii="Helvetica Neue" w:hAnsi="Helvetica Neue" w:cs="Helvetica Neue" w:eastAsia="Helvetica Neue"/>
                <w:b/>
                <w:color w:val="355E91"/>
                <w:sz w:val="18"/>
                <w:szCs w:val="18"/>
                <w:bCs/>
                <w:rtl w:val="0"/>
              </w:rPr>
              <w:t>Where is the form?</w:t>
            </w:r>
          </w:p>
        </w:tc>
        <w:tc>
          <w:tcPr>
            <w:tcW w:w="3315" w:type="pct"/>
            <w:vAlign w:val="center"/>
          </w:tcPr>
          <w:p>
            <w:pPr>
              <w:spacing w:before="0" w:after="0" w:line="242" w:lineRule="exact"/>
            </w:pPr>
            <w:r/>
            <w:r>
              <w:rPr>
                <w:rFonts w:ascii="Helvetica Neue" w:hAnsi="Helvetica Neue" w:cs="Helvetica Neue" w:eastAsia="Helvetica Neue"/>
                <w:b w:val="0"/>
                <w:color w:val="1A1A1A"/>
                <w:sz w:val="18"/>
                <w:szCs w:val="18"/>
                <w:rtl w:val="0"/>
              </w:rPr>
              <w:t>Under “Lesson observation” once the lesson is open — and a bar at its head moves you between the teacher's prep, the form and the strategy card.</w:t>
            </w:r>
          </w:p>
        </w:tc>
      </w:tr>
      <w:tr>
        <w:trPr>
          <w:cantSplit/>
        </w:trPr>
        <w:tc>
          <w:tcPr>
            <w:tcW w:w="1684" w:type="pct"/>
            <w:shd w:val="clear" w:color="auto" w:fill="F6F8FB"/>
            <w:vAlign w:val="center"/>
          </w:tcPr>
          <w:p>
            <w:pPr>
              <w:spacing w:before="0" w:after="0" w:line="242" w:lineRule="exact"/>
            </w:pPr>
            <w:r/>
            <w:r>
              <w:rPr>
                <w:rFonts w:ascii="Helvetica Neue" w:hAnsi="Helvetica Neue" w:cs="Helvetica Neue" w:eastAsia="Helvetica Neue"/>
                <w:b/>
                <w:color w:val="355E91"/>
                <w:sz w:val="18"/>
                <w:szCs w:val="18"/>
                <w:bCs/>
                <w:rtl w:val="0"/>
              </w:rPr>
              <w:t>I see every lesson in the system — is that right?</w:t>
            </w:r>
          </w:p>
        </w:tc>
        <w:tc>
          <w:tcPr>
            <w:tcW w:w="3315" w:type="pct"/>
            <w:vAlign w:val="center"/>
          </w:tcPr>
          <w:p>
            <w:pPr>
              <w:spacing w:before="0" w:after="0" w:line="242" w:lineRule="exact"/>
            </w:pPr>
            <w:r/>
            <w:r>
              <w:rPr>
                <w:rFonts w:ascii="Helvetica Neue" w:hAnsi="Helvetica Neue" w:cs="Helvetica Neue" w:eastAsia="Helvetica Neue"/>
                <w:b w:val="0"/>
                <w:color w:val="1A1A1A"/>
                <w:sz w:val="18"/>
                <w:szCs w:val="18"/>
                <w:rtl w:val="0"/>
              </w:rPr>
              <w:t>Yes: your scope is the whole system, unlike the complex manager who is confined to theirs.</w:t>
            </w:r>
          </w:p>
        </w:tc>
      </w:tr>
    </w:tbl>
    <w:p>
      <w:pPr>
        <w:spacing w:before="0" w:after="120"/>
      </w:pP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Frequently asked</w:t>
      </w:r>
    </w:p>
    <w:p>
      <w:pPr>
        <w:spacing w:before="40" w:after="20"/>
      </w:pPr>
      <w:r>
        <w:rPr>
          <w:rFonts w:ascii="Helvetica Neue" w:hAnsi="Helvetica Neue" w:cs="Helvetica Neue" w:eastAsia="Helvetica Neue"/>
          <w:b/>
          <w:color w:val="2F7F95"/>
          <w:sz w:val="18"/>
          <w:szCs w:val="18"/>
          <w:bCs/>
          <w:rtl w:val="0"/>
        </w:rPr>
        <w:t xml:space="preserve">Q: </w:t>
      </w:r>
      <w:r>
        <w:rPr>
          <w:rFonts w:ascii="Helvetica Neue" w:hAnsi="Helvetica Neue" w:cs="Helvetica Neue" w:eastAsia="Helvetica Neue"/>
          <w:b/>
          <w:color w:val="355E91"/>
          <w:sz w:val="18"/>
          <w:szCs w:val="18"/>
          <w:bCs/>
          <w:rtl w:val="0"/>
        </w:rPr>
        <w:t>Does our score count towards the lesson average?</w:t>
      </w:r>
    </w:p>
    <w:p>
      <w:pPr>
        <w:spacing w:before="0" w:after="60"/>
        <w:ind w:right="260"/>
      </w:pPr>
      <w:r>
        <w:rPr>
          <w:rFonts w:ascii="Helvetica Neue" w:hAnsi="Helvetica Neue" w:cs="Helvetica Neue" w:eastAsia="Helvetica Neue"/>
          <w:b/>
          <w:color w:val="2F7F95"/>
          <w:sz w:val="18"/>
          <w:szCs w:val="18"/>
          <w:bCs/>
          <w:rtl w:val="0"/>
        </w:rPr>
        <w:t xml:space="preserve">A: </w:t>
      </w:r>
      <w:r>
        <w:rPr>
          <w:rFonts w:ascii="Helvetica Neue" w:hAnsi="Helvetica Neue" w:cs="Helvetica Neue" w:eastAsia="Helvetica Neue"/>
          <w:b w:val="0"/>
          <w:color w:val="1A1A1A"/>
          <w:sz w:val="18"/>
          <w:szCs w:val="18"/>
          <w:rtl w:val="0"/>
        </w:rPr>
        <w:t>Yes — the adopted score is the average of everyone who scored, so yours is part of it.</w:t>
      </w:r>
    </w:p>
    <w:p>
      <w:pPr>
        <w:spacing w:before="40" w:after="20"/>
      </w:pPr>
      <w:r>
        <w:rPr>
          <w:rFonts w:ascii="Helvetica Neue" w:hAnsi="Helvetica Neue" w:cs="Helvetica Neue" w:eastAsia="Helvetica Neue"/>
          <w:b/>
          <w:color w:val="2F7F95"/>
          <w:sz w:val="18"/>
          <w:szCs w:val="18"/>
          <w:bCs/>
          <w:rtl w:val="0"/>
        </w:rPr>
        <w:t xml:space="preserve">Q: </w:t>
      </w:r>
      <w:r>
        <w:rPr>
          <w:rFonts w:ascii="Helvetica Neue" w:hAnsi="Helvetica Neue" w:cs="Helvetica Neue" w:eastAsia="Helvetica Neue"/>
          <w:b/>
          <w:color w:val="355E91"/>
          <w:sz w:val="18"/>
          <w:szCs w:val="18"/>
          <w:bCs/>
          <w:rtl w:val="0"/>
        </w:rPr>
        <w:t>How do we know what is late?</w:t>
      </w:r>
    </w:p>
    <w:p>
      <w:pPr>
        <w:spacing w:before="0" w:after="60"/>
        <w:ind w:right="260"/>
      </w:pPr>
      <w:r>
        <w:rPr>
          <w:rFonts w:ascii="Helvetica Neue" w:hAnsi="Helvetica Neue" w:cs="Helvetica Neue" w:eastAsia="Helvetica Neue"/>
          <w:b/>
          <w:color w:val="2F7F95"/>
          <w:sz w:val="18"/>
          <w:szCs w:val="18"/>
          <w:bCs/>
          <w:rtl w:val="0"/>
        </w:rPr>
        <w:t xml:space="preserve">A: </w:t>
      </w:r>
      <w:r>
        <w:rPr>
          <w:rFonts w:ascii="Helvetica Neue" w:hAnsi="Helvetica Neue" w:cs="Helvetica Neue" w:eastAsia="Helvetica Neue"/>
          <w:b w:val="0"/>
          <w:color w:val="1A1A1A"/>
          <w:sz w:val="18"/>
          <w:szCs w:val="18"/>
          <w:rtl w:val="0"/>
        </w:rPr>
        <w:t>The “Missing entries” report measures the schedule against the teacher roster and names whoever has not registered yet.</w:t>
      </w:r>
    </w:p>
    <w:tbl>
      <w:tblPr>
        <w:bidiVisual/>
        <w:tblW w:w="5000" w:type="pct"/>
        <w:jc w:val="center"/>
        <w:tblBorders>
          <w:top w:val="single" w:sz="8" w:space="0" w:color="355E91"/>
          <w:left w:val="single" w:sz="8" w:space="0" w:color="355E91"/>
          <w:bottom w:val="single" w:sz="8" w:space="0" w:color="355E91"/>
          <w:right w:val="single" w:sz="8" w:space="0" w:color="355E91"/>
          <w:insideH w:val="single" w:sz="2" w:space="0" w:color="355E91"/>
          <w:insideV w:val="single" w:sz="2" w:space="0" w:color="355E91"/>
        </w:tblBorders>
        <w:tblLayout w:type="fixed"/>
        <w:tblCellMar>
          <w:top w:w="14" w:type="dxa"/>
          <w:left w:w="70" w:type="dxa"/>
          <w:bottom w:w="14" w:type="dxa"/>
          <w:right w:w="70" w:type="dxa"/>
        </w:tblCellMar>
        <w:tblLook w:firstColumn="1" w:firstRow="1" w:lastColumn="0" w:lastRow="0" w:noHBand="0" w:noVBand="1" w:val="04A0"/>
      </w:tblPr>
      <w:tblGrid>
        <w:gridCol w:w="10771"/>
      </w:tblGrid>
      <w:tr>
        <w:tc>
          <w:tcPr>
            <w:tcW w:w="5000" w:type="pct"/>
            <w:shd w:val="clear" w:color="auto" w:fill="355E91"/>
            <w:vAlign w:val="center"/>
          </w:tcPr>
          <w:p>
            <w:pPr>
              <w:spacing w:before="0" w:after="0" w:line="264" w:lineRule="exact"/>
            </w:pPr>
            <w:r/>
            <w:r>
              <w:rPr>
                <w:rFonts w:ascii="Helvetica Neue" w:hAnsi="Helvetica Neue" w:cs="Helvetica Neue" w:eastAsia="Helvetica Neue"/>
                <w:b/>
                <w:color w:val="FFFFFF"/>
                <w:sz w:val="20"/>
                <w:szCs w:val="20"/>
                <w:bCs/>
                <w:rtl w:val="0"/>
              </w:rPr>
              <w:t>Who to contact</w:t>
            </w:r>
          </w:p>
        </w:tc>
      </w:tr>
      <w:tr>
        <w:trPr>
          <w:cantSplit/>
        </w:trPr>
        <w:tc>
          <w:tcPr>
            <w:tcW w:w="5000" w:type="pct"/>
            <w:shd w:val="clear" w:color="auto" w:fill="F6F8FB"/>
            <w:vAlign w:val="center"/>
          </w:tcPr>
          <w:p>
            <w:pPr>
              <w:spacing w:before="0" w:after="0" w:line="248" w:lineRule="exact"/>
            </w:pPr>
            <w:r/>
            <w:r>
              <w:rPr>
                <w:rFonts w:ascii="Helvetica Neue" w:hAnsi="Helvetica Neue" w:cs="Helvetica Neue" w:eastAsia="Helvetica Neue"/>
                <w:b w:val="0"/>
                <w:color w:val="1A1A1A"/>
                <w:sz w:val="18"/>
                <w:szCs w:val="18"/>
                <w:rtl w:val="0"/>
              </w:rPr>
              <w:t>If what concerns you does not appear, or something that is not yours does — contact the Planning and School Accreditation Department.</w:t>
            </w:r>
          </w:p>
        </w:tc>
      </w:tr>
      <w:tr>
        <w:trPr>
          <w:cantSplit/>
        </w:trPr>
        <w:tc>
          <w:tcPr>
            <w:tcW w:w="5000" w:type="pct"/>
            <w:shd w:val="clear" w:color="auto" w:fill="F6F8FB"/>
            <w:vAlign w:val="center"/>
          </w:tcPr>
          <w:p>
            <w:pPr>
              <w:spacing w:before="0" w:after="0" w:line="248" w:lineRule="exact"/>
            </w:pPr>
            <w:r/>
            <w:r>
              <w:rPr>
                <w:rFonts w:ascii="Helvetica Neue" w:hAnsi="Helvetica Neue" w:cs="Helvetica Neue" w:eastAsia="Helvetica Neue"/>
                <w:b w:val="0"/>
                <w:color w:val="1A1A1A"/>
                <w:sz w:val="18"/>
                <w:szCs w:val="18"/>
                <w:rtl w:val="0"/>
              </w:rPr>
              <w:t>If the page does not open at all — check the link above and your connection.</w:t>
            </w:r>
          </w:p>
        </w:tc>
      </w:tr>
    </w:tbl>
    <w:p>
      <w:pPr>
        <w:spacing w:before="0" w:after="100"/>
      </w:pPr>
    </w:p>
    <w:p>
      <w:pPr>
        <w:spacing w:before="80" w:after="0"/>
        <w:jc w:val="center"/>
      </w:pPr>
      <w:r>
        <w:rPr>
          <w:rFonts w:ascii="Helvetica Neue" w:hAnsi="Helvetica Neue" w:cs="Helvetica Neue" w:eastAsia="Helvetica Neue"/>
          <w:b/>
          <w:color w:val="2F7F95"/>
          <w:sz w:val="19"/>
          <w:szCs w:val="19"/>
          <w:bCs/>
          <w:rtl w:val="0"/>
        </w:rPr>
        <w:t>https://ahseyam.github.io/unified-lesson/</w:t>
      </w:r>
    </w:p>
    <w:p>
      <w:pPr>
        <w:spacing w:before="0" w:after="0"/>
        <w:jc w:val="center"/>
      </w:pPr>
      <w:r>
        <w:rPr>
          <w:rFonts w:ascii="Helvetica Neue" w:hAnsi="Helvetica Neue" w:cs="Helvetica Neue" w:eastAsia="Helvetica Neue"/>
          <w:b w:val="0"/>
          <w:color w:val="7F7F7F"/>
          <w:sz w:val="16"/>
          <w:szCs w:val="16"/>
          <w:rtl w:val="0"/>
        </w:rPr>
        <w:t>Planning and School Accreditation Department  ·  Ahmed Seyam</w:t>
      </w:r>
    </w:p>
    <w:sectPr w:rsidR="00FC693F" w:rsidRPr="0006063C" w:rsidSect="00034616">
      <w:headerReference w:type="default" r:id="rId9"/>
      <w:pgSz w:w="11906" w:h="16838"/>
      <w:pgMar w:top="1616" w:right="567" w:bottom="1531" w:left="567" w:header="113" w:footer="90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klisha"/>
          <wp:cNvGraphicFramePr/>
          <a:graphic xmlns:a="http://schemas.openxmlformats.org/drawingml/2006/main" xmlns:pic="http://schemas.openxmlformats.org/drawingml/2006/picture">
            <a:graphicData uri="http://schemas.openxmlformats.org/drawingml/2006/picture">
              <pic:pic>
                <pic:nvPicPr>
                  <pic:cNvPr id="0" name="kl_portrait.jpg"/>
                  <pic:cNvPicPr/>
                </pic:nvPicPr>
                <pic:blipFill>
                  <a:blip r:embed="rId1"/>
                  <a:stretch>
                    <a:fillRect/>
                  </a:stretch>
                </pic:blipFill>
                <pic:spPr>
                  <a:xfrm>
                    <a:off x="0" y="0"/>
                    <a:ext cx="7560000" cy="10692000"/>
                  </a:xfrm>
                  <a:prstGeom prst="rect"/>
                </pic:spPr>
              </pic:pic>
            </a:graphicData>
          </a:graphic>
        </wp:anchor>
      </w:drawing>
    </w:r>
  </w:p>
  <w:p>
    <w:pPr>
      <w:framePr w:w="4450" w:h="556" w:hRule="exact" w:x="7228" w:y="578" w:hAnchor="page" w:vAnchor="page" w:wrap="notBeside"/>
      <w:spacing w:before="77" w:after="0" w:line="400" w:lineRule="exact"/>
      <w:jc w:val="center"/>
    </w:pPr>
    <w:r>
      <w:rPr>
        <w:rFonts w:ascii="Helvetica Neue" w:hAnsi="Helvetica Neue" w:cs="Helvetica Neue" w:eastAsia="Helvetica Neue"/>
        <w:b/>
        <w:color w:val="FFFFFF"/>
        <w:sz w:val="32"/>
        <w:szCs w:val="32"/>
        <w:bCs/>
        <w:rtl w:val="0"/>
      </w:rPr>
      <w:t>Unified Lesson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ubai" w:hAnsi="Dubai" w:cs="Dubai" w:eastAsia="Dubai"/>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