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Teaching Teacher</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every teacher with a lesson in the unified lesson schedule</w:t>
      </w:r>
    </w:p>
    <w:p>
      <w:pPr>
        <w:spacing w:before="40" w:after="120"/>
      </w:pPr>
      <w:r>
        <w:rPr>
          <w:rFonts w:ascii="Helvetica Neue" w:hAnsi="Helvetica Neue" w:cs="Helvetica Neue" w:eastAsia="Helvetica Neue"/>
          <w:b w:val="0"/>
          <w:color w:val="1A1A1A"/>
          <w:sz w:val="20"/>
          <w:szCs w:val="20"/>
          <w:rtl w:val="0"/>
        </w:rPr>
        <w:t>Your lesson in the external review starts from your cell in the schedule and ends with a documented score and one action you carry into your bridge card. This guide walks the whole way with you.</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with your role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“Teaching teacher” card, then enter your staff number and your name appears.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are asked for your subject — it is the subject you teach, and your row in the schedule is found by it.</w:t>
      </w: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_teacher.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Find your cell in the schedule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schedule is a matrix: rows are the week, the day and the visiting peer's subject; columns are the periods with their start times.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Find your subject's row on the day your lesson runs, then go down to your period's column.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Enter in the cell: your name, the strategy from the bank, the teaching approach, the class and the start time.</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Do not write in a cell that is not your subject or your period — whatever is entered there becomes its owner's lesson.</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2" name="Picture 2"/>
            <wp:cNvGraphicFramePr>
              <a:graphicFrameLocks noChangeAspect="1"/>
            </wp:cNvGraphicFramePr>
            <a:graphic>
              <a:graphicData uri="http://schemas.openxmlformats.org/drawingml/2006/picture">
                <pic:pic>
                  <pic:nvPicPr>
                    <pic:cNvPr id="0" name="t_grid.png"/>
                    <pic:cNvPicPr/>
                  </pic:nvPicPr>
                  <pic:blipFill>
                    <a:blip r:embed="rId11"/>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Start the lesson from its cell</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Press “Start lesson” in the cell — the planning screen opens with its data already filled in.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Complete the time map: warm-up, delivery, assessment and closure — their total is the lesson time.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 xml:space="preserve">The priority-care time and the gifted time sit </w:t>
      </w:r>
      <w:r>
        <w:rPr>
          <w:rFonts w:ascii="Helvetica Neue" w:hAnsi="Helvetica Neue" w:cs="Helvetica Neue" w:eastAsia="Helvetica Neue"/>
          <w:b/>
          <w:color w:val="1A1A1A"/>
          <w:sz w:val="19"/>
          <w:szCs w:val="19"/>
          <w:bCs/>
          <w:rtl w:val="0"/>
        </w:rPr>
        <w:t>inside</w:t>
      </w:r>
      <w:r>
        <w:rPr>
          <w:rFonts w:ascii="Helvetica Neue" w:hAnsi="Helvetica Neue" w:cs="Helvetica Neue" w:eastAsia="Helvetica Neue"/>
          <w:b w:val="0"/>
          <w:color w:val="1A1A1A"/>
          <w:sz w:val="19"/>
          <w:szCs w:val="19"/>
          <w:rtl w:val="0"/>
        </w:rPr>
        <w:t xml:space="preserve"> the delivery time; they are not added to it.</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Do not issue the plan before it is complete: once issued, peers and observers read it.</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3" name="Picture 3"/>
            <wp:cNvGraphicFramePr>
              <a:graphicFrameLocks noChangeAspect="1"/>
            </wp:cNvGraphicFramePr>
            <a:graphic>
              <a:graphicData uri="http://schemas.openxmlformats.org/drawingml/2006/picture">
                <pic:pic>
                  <pic:nvPicPr>
                    <pic:cNvPr id="0" name="t_prep.png"/>
                    <pic:cNvPicPr/>
                  </pic:nvPicPr>
                  <pic:blipFill>
                    <a:blip r:embed="rId12"/>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Read the run sheet</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 short sheet to read before you walk in: what you will deliver and what will be recorded on you.</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Print it or open it on your phone — your whole plan on one page.</w:t>
      </w:r>
    </w:p>
    <w:p>
      <w:pPr>
        <w:spacing w:before="40" w:after="80"/>
        <w:jc w:val="center"/>
      </w:pPr>
      <w:r>
        <w:drawing>
          <wp:inline xmlns:a="http://schemas.openxmlformats.org/drawingml/2006/main" xmlns:pic="http://schemas.openxmlformats.org/drawingml/2006/picture">
            <wp:extent cx="5934077" cy="3960000"/>
            <wp:docPr id="4" name="Picture 4"/>
            <wp:cNvGraphicFramePr>
              <a:graphicFrameLocks noChangeAspect="1"/>
            </wp:cNvGraphicFramePr>
            <a:graphic>
              <a:graphicData uri="http://schemas.openxmlformats.org/drawingml/2006/picture">
                <pic:pic>
                  <pic:nvPicPr>
                    <pic:cNvPr id="0" name="t_run.png"/>
                    <pic:cNvPicPr/>
                  </pic:nvPicPr>
                  <pic:blipFill>
                    <a:blip r:embed="rId13"/>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5</w:t>
      </w:r>
      <w:r>
        <w:rPr>
          <w:rFonts w:ascii="Helvetica Neue" w:hAnsi="Helvetica Neue" w:cs="Helvetica Neue" w:eastAsia="Helvetica Neue"/>
          <w:b/>
          <w:color w:val="355E91"/>
          <w:sz w:val="22"/>
          <w:szCs w:val="22"/>
          <w:bCs/>
          <w:rtl w:val="0"/>
        </w:rPr>
        <w:t xml:space="preserve">  Read your result and carry your action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After the visit your score and its level appear, together with what each observer wrote about you.</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“bridge action” is what you commit to in your next lesson — carry it into your card.</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The score locks on approval: after that the schedule, the plan and the observations cannot be changed.</w:t>
            </w:r>
          </w:p>
        </w:tc>
      </w:tr>
    </w:tbl>
    <w:p>
      <w:pPr>
        <w:spacing w:before="0" w:after="80"/>
      </w:pPr>
    </w:p>
    <w:p>
      <w:pPr>
        <w:spacing w:before="40" w:after="80"/>
        <w:jc w:val="center"/>
      </w:pPr>
      <w:r>
        <w:drawing>
          <wp:inline xmlns:a="http://schemas.openxmlformats.org/drawingml/2006/main" xmlns:pic="http://schemas.openxmlformats.org/drawingml/2006/picture">
            <wp:extent cx="6408000" cy="3933053"/>
            <wp:docPr id="5" name="Picture 5"/>
            <wp:cNvGraphicFramePr>
              <a:graphicFrameLocks noChangeAspect="1"/>
            </wp:cNvGraphicFramePr>
            <a:graphic>
              <a:graphicData uri="http://schemas.openxmlformats.org/drawingml/2006/picture">
                <pic:pic>
                  <pic:nvPicPr>
                    <pic:cNvPr id="0" name="t_report.png"/>
                    <pic:cNvPicPr/>
                  </pic:nvPicPr>
                  <pic:blipFill>
                    <a:blip r:embed="rId14"/>
                    <a:stretch>
                      <a:fillRect/>
                    </a:stretch>
                  </pic:blipFill>
                  <pic:spPr>
                    <a:xfrm>
                      <a:off x="0" y="0"/>
                      <a:ext cx="6408000" cy="3933053"/>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My lesson does not appear under “My schedule”</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Your lesson is matched by your staff number. Check you signed in with your own number; if the cell was filled by someone else with your name spelled differently, ask them to use the “Register me here” button instead.</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cannot type in a particular cell</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Either it belongs to a subject that is not yours, or its lesson has been approved and locked.</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Can anyone see my plan before I issue it?</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No. Before you issue it, it is your draft alone.</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My colleagues work in Arabic — do we see the same data?</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Yes. There is one shared store and one schedule; only the interface language differs. What you type stays exactly as you typed it.</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