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40" w:after="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355E91"/>
          <w:sz w:val="26"/>
          <w:szCs w:val="26"/>
          <w:rtl/>
        </w:rPr>
        <w:t>رحلة: مديرة المدرسة</w:t>
      </w:r>
    </w:p>
    <w:p>
      <w:pPr>
        <w:bidi/>
        <w:spacing w:before="0" w:after="12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الزمنُ المستهدف: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دقيقة  ·  </w:t>
      </w:r>
      <w:r>
        <w:rPr>
          <w:rFonts w:ascii="Sakkal Majalla" w:hAnsi="Sakkal Majalla" w:cs="Sakkal Majalla" w:eastAsia="Sakkal Majalla"/>
          <w:b/>
          <w:color w:val="2F7F95"/>
          <w:sz w:val="23"/>
          <w:szCs w:val="23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مشهداً  ·  مديرةُ المدرسة — ونطاقُها مدرستُها وحدها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قبل أن تضغط «تسجيل»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خمسُ قواعدَ لكل فيديو، وما يخصُّ هذا الدور</w:t>
      </w:r>
    </w:p>
    <w:tbl>
      <w:tblPr>
        <w:bidiVisual/>
        <w:tblW w:w="5000" w:type="pct"/>
        <w:jc w:val="center"/>
        <w:tblBorders>
          <w:top w:val="single" w:sz="6" w:space="0" w:color="355E91"/>
          <w:left w:val="single" w:sz="6" w:space="0" w:color="355E91"/>
          <w:bottom w:val="single" w:sz="6" w:space="0" w:color="355E91"/>
          <w:right w:val="single" w:sz="6" w:space="0" w:color="355E91"/>
          <w:insideH w:val="single" w:sz="6" w:space="0" w:color="355E91"/>
          <w:insideV w:val="single" w:sz="6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قواعدُ التسجيل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نافذةُ المتصفّح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(ملءُ الشاشة · تكبير ١٠٠٪) — ولا تُظهر أشرطةَ المفضّلة ولا تبويباتٍ أخرى — فالمشاهدُ يصوّر ما يراه.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ابدأ من صفحةٍ نظيفة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(نافذةٌ خاصة (Private) أو امسح بيانات الموقع) — فتظهر شاشةُ اختيار الدور من أولها، ولا يدخل الفيديوُ بحسابٍ سابق.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بياناتٌ مزروعةٌ لا حقيقية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(أسماءٌ تبدأ بـ«أ. نموذج») — لا يُصوَّر اسمُ معلمٍ حقيقيٍّ ولا رقمُه الوظيفيّ ولا درجتُه — الفيديو يُوزَّع.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صوتٌ واحدٌ هادئ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(تحدّث وأنت تنقر لا بعدها) — فيرى المشاهدُ النقرةَ ويسمع سببَها في اللحظة نفسِها.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تشرح ما لا يخصّه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(ابقَ في شاشاته) — ولكلِّ دورٍ ما يخصُّه فقط — فلا تفتح في فيديو المعلمة شاشةَ المشرفة.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2F7F95"/>
          <w:left w:val="single" w:sz="6" w:space="0" w:color="2F7F95"/>
          <w:bottom w:val="single" w:sz="6" w:space="0" w:color="2F7F95"/>
          <w:right w:val="single" w:sz="6" w:space="0" w:color="2F7F95"/>
          <w:insideH w:val="single" w:sz="6" w:space="0" w:color="2F7F95"/>
          <w:insideV w:val="single" w:sz="6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وما يُهيَّأ لهذا الدور بعينه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الدخولُ بقطاعٍ ومجمعٍ ومدرسة — فتُثبَّت المدرسةُ على الشاشة كلِّها.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جدولٌ فيه حصصٌ لمدرستك، منها حصةٌ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مشرفَ لتخصصها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فتظهر شارةُ «عليك».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>وحصةٌ رُصدت ولم تُعتمد نتيجتُها بعدُ — فيُرى زرُّ الاعتماد حيّاً.</w:t>
            </w:r>
          </w:p>
        </w:tc>
      </w:tr>
    </w:tbl>
    <w:p>
      <w:pPr>
        <w:bidi/>
        <w:spacing w:before="0" w:after="10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المشاهد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وما بين قوسين زمنُ المشهد في الشريط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الافتتاح — وأنتِ على شاشة اختيار الدور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اختيار الدور — أول الصفحة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ind w:right="220"/>
      </w:pPr>
      <w:r>
        <w:rPr>
          <w:rFonts w:ascii="Sakkal Majalla" w:hAnsi="Sakkal Majalla" w:cs="Sakkal Majalla" w:eastAsia="Sakkal Majalla"/>
          <w:b w:val="0"/>
          <w:color w:val="2F7F95"/>
          <w:sz w:val="20"/>
          <w:szCs w:val="20"/>
          <w:rtl/>
        </w:rPr>
        <w:t xml:space="preserve">•  </w:t>
      </w:r>
      <w:r>
        <w:rPr>
          <w:rFonts w:ascii="Sakkal Majalla" w:hAnsi="Sakkal Majalla" w:cs="Sakkal Majalla" w:eastAsia="Sakkal Majalla"/>
          <w:b w:val="0"/>
          <w:color w:val="1A1A1A"/>
          <w:sz w:val="23"/>
          <w:szCs w:val="23"/>
          <w:rtl/>
        </w:rPr>
        <w:t>افتحي الرابط وأنتِ صامتة، ثم ابدئي الكلام والشاشةُ ظاهرة:  https://ahseyam.github.io/unified-lesson/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مرحباً. أنتِ مديرةُ المدرسة: ترين مدرستكِ وحدها، وترصدين ما لا مشرفةَ لتخصصه، وتعتمدين النتائج. وهذا الفيديو يمشي معكِ في ذلك كلِّه.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ادخلي واختاري مدرستك مرّةً واحدة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الدخول بدور مديرة المدرسة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00951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0951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اختاري بطاقة «مديرة المدرسة»، فيُطلب منك القطاعُ والمجمعُ والمدرسة.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وتُثبَّت عليك بعدها — ولتغييرها تخرج وتدخل من جديد.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جدول مدرستي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جدول مدرستي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cho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ترى حصصَ مدرستك وحدها: من جُدولت له حصةٌ، وما اكتمل تحضيرُه وما لم يكتمل.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وتستطيع الكتابةَ في أي خانةٍ من مدرستك — فأنت مسؤولٌ عن اكتمالها.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وفوق الجدول عددُ من في الكشف بلا حصةٍ مسجَّلةٍ بعد، وزرُّ فتح الكشف.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ارصدي الحصة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استمارة الملاحظة الصفية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59154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9154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صفتُك في البطاقة تُملأ تلقائياً من دورك — لا تُسأل عنها ولا تُبدَّل.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املئي الاستمارة أثناء الحصة: المؤشراتُ بدرجاتها، والشواهدُ بما رأيتَه.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اعتمدي النتيجة واقفلي الحصة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اعتماد النتيجة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15692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ppr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692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بعد اكتمال الرصد تظهر الدرجةُ ومستواها وإجراءُ الجسر.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والاعتمادُ يقفل الحصة: لا يُعدَّل بعده جدولُها ولا تحضيرُها ولا رصدُها.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٦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لوحة المدرسة والتقارير</w:t>
      </w:r>
    </w:p>
    <w:p>
      <w:pPr>
        <w:bidi/>
        <w:spacing w:before="2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الشاشة:  </w:t>
      </w:r>
      <w:r>
        <w:rPr>
          <w:rFonts w:ascii="Sakkal Majalla" w:hAnsi="Sakkal Majalla" w:cs="Sakkal Majalla" w:eastAsia="Sakkal Majalla"/>
          <w:b w:val="0"/>
          <w:color w:val="355E91"/>
          <w:sz w:val="22"/>
          <w:szCs w:val="22"/>
          <w:rtl/>
        </w:rPr>
        <w:t>تقارير المدرسة</w:t>
      </w:r>
    </w:p>
    <w:p>
      <w:pPr>
        <w:bidi/>
        <w:spacing w:before="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5653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repor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5653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تقاريرُ التفعيل: من حضّر ومن لم يحضّر، ومن رُصد له ومن ينتظر.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وتقاريرُ النتائج بالمؤشر وبالمعلمة وبالمرحلة — وتُصدَّر CSV للتحليل.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shd w:val="clear" w:color="auto" w:fill="E9EEF6"/>
        <w:bidi/>
        <w:spacing w:before="12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مشهد </w:t>
      </w:r>
      <w:r>
        <w:rPr>
          <w:rFonts w:ascii="Sakkal Majalla" w:hAnsi="Sakkal Majalla" w:cs="Sakkal Majalla" w:eastAsia="Sakkal Majalla"/>
          <w:b/>
          <w:color w:val="C00000"/>
          <w:sz w:val="25"/>
          <w:szCs w:val="25"/>
          <w:bCs/>
          <w:rtl/>
        </w:rPr>
        <w:t>٧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٥٢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– 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>:</w:t>
      </w:r>
      <w:r>
        <w:rPr>
          <w:rFonts w:ascii="Sakkal Majalla" w:hAnsi="Sakkal Majalla" w:cs="Sakkal Majalla" w:eastAsia="Sakkal Majalla"/>
          <w:b/>
          <w:color w:val="2F7F95"/>
          <w:sz w:val="21"/>
          <w:szCs w:val="21"/>
          <w:bCs/>
          <w:rtl/>
        </w:rPr>
        <w:t>١٠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7"/>
          <w:szCs w:val="17"/>
          <w:rtl/>
        </w:rPr>
        <w:t xml:space="preserve">  </w:t>
      </w:r>
      <w:r>
        <w:rPr>
          <w:rFonts w:ascii="Al-Jazeera-Arabic-Bold" w:hAnsi="Al-Jazeera-Arabic-Bold" w:cs="Al-Jazeera-Arabic-Bold" w:eastAsia="Al-Jazeera-Arabic-Bold"/>
          <w:b w:val="0"/>
          <w:color w:val="355E91"/>
          <w:sz w:val="20"/>
          <w:szCs w:val="20"/>
          <w:rtl/>
        </w:rPr>
        <w:t xml:space="preserve">   الختام</w:t>
      </w:r>
    </w:p>
    <w:p>
      <w:pPr>
        <w:shd w:val="clear" w:color="auto" w:fill="F6F8FB"/>
        <w:bidi/>
        <w:spacing w:before="40" w:after="20"/>
        <w:ind w:right="22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18"/>
          <w:szCs w:val="18"/>
          <w:rtl/>
        </w:rPr>
        <w:t>تقولين وأنتِ تنقرين:</w:t>
      </w:r>
    </w:p>
    <w:p>
      <w:pPr>
        <w:bidi/>
        <w:spacing w:before="0" w:after="40"/>
        <w:ind w:right="400"/>
      </w:pP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«  </w:t>
      </w:r>
      <w:r>
        <w:rPr>
          <w:rFonts w:ascii="Sakkal Majalla" w:hAnsi="Sakkal Majalla" w:cs="Sakkal Majalla" w:eastAsia="Sakkal Majalla"/>
          <w:b w:val="0"/>
          <w:color w:val="1A1A1A"/>
          <w:sz w:val="24"/>
          <w:szCs w:val="24"/>
          <w:rtl/>
        </w:rPr>
        <w:t>مدرستُكِ مثبَّتةٌ عليكِ فلا ترين غيرها ولا يراها غيرُكِ. وتقاريرُكِ تُطبع وتُصدَّر كما هي بلا إعادة كتابة.</w:t>
      </w:r>
      <w:r>
        <w:rPr>
          <w:rFonts w:ascii="Sakkal Majalla" w:hAnsi="Sakkal Majalla" w:cs="Sakkal Majalla" w:eastAsia="Sakkal Majalla"/>
          <w:b w:val="0"/>
          <w:color w:val="2F7F95"/>
          <w:sz w:val="22"/>
          <w:szCs w:val="22"/>
          <w:rtl/>
        </w:rPr>
        <w:t xml:space="preserve">  »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2"/>
          <w:szCs w:val="22"/>
          <w:rtl/>
        </w:rPr>
        <w:t>❖  ما يُفسد التسجيل</w:t>
      </w: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 xml:space="preserve">    أعِد المشهدَ ولا تُكمل عليه — فالمشاهدُ يرى ما لا تراه</w:t>
      </w: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مصائدُ هذا الدور — قوليها في الفيديو ولا تقعي فيها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أرى «أين أزور — جدول المشرفات»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لأنك لا تدور على المجمعات. هذا للمشرفة التربوي وحده.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لا أرى «إسناد الزائرات»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الإسنادُ من اختصاص الوكيلة التعليمية — وهو من يراه.</w:t>
            </w:r>
          </w:p>
        </w:tc>
      </w:tr>
    </w:tbl>
    <w:p>
      <w:pPr>
        <w:bidi/>
        <w:spacing w:before="0" w:after="100"/>
      </w:pPr>
    </w:p>
    <w:tbl>
      <w:tblPr>
        <w:bidiVisual/>
        <w:tblW w:w="5000" w:type="pct"/>
        <w:jc w:val="center"/>
        <w:tblBorders>
          <w:top w:val="single" w:sz="6" w:space="0" w:color="E6B8B8"/>
          <w:left w:val="single" w:sz="6" w:space="0" w:color="E6B8B8"/>
          <w:bottom w:val="single" w:sz="6" w:space="0" w:color="E6B8B8"/>
          <w:right w:val="single" w:sz="6" w:space="0" w:color="E6B8B8"/>
          <w:insideH w:val="single" w:sz="6" w:space="0" w:color="E6B8B8"/>
          <w:insideV w:val="single" w:sz="6" w:space="0" w:color="E6B8B8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90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9"/>
                <w:szCs w:val="19"/>
                <w:rtl/>
              </w:rPr>
              <w:t>ومصائدُ التسجيل نفسِه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اسمٌ حقيقيٌّ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أوقف التسجيل وامسح البيانات وابدأ من جديد.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نقرةٌ بلا كلام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المشاهدُ يرى الشاشةَ تتغيّر ولا يعرف لماذا.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الشرحُ قبل النقر بثوانٍ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قُل وأنت تنقر، لا قبلها ولا بعدها.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فتحُ شاشةٍ ليست لهذا الدور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تُربك المشاهدَ وتُوهمه بصلاحيةٍ ليست له.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20" w:after="20"/>
            </w:pPr>
            <w:r/>
            <w:r>
              <w:rPr>
                <w:rFonts w:ascii="Sakkal Majalla" w:hAnsi="Sakkal Majalla" w:cs="Sakkal Majalla" w:eastAsia="Sakkal Majalla"/>
                <w:b w:val="0"/>
                <w:color w:val="2F7F95"/>
                <w:sz w:val="20"/>
                <w:szCs w:val="20"/>
                <w:rtl/>
              </w:rPr>
              <w:t xml:space="preserve">•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A1A1A"/>
                <w:sz w:val="18"/>
                <w:szCs w:val="18"/>
                <w:rtl/>
              </w:rPr>
              <w:t>رابطُ المخزن المشترك ظاهراً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3"/>
                <w:szCs w:val="23"/>
                <w:rtl/>
              </w:rPr>
              <w:t xml:space="preserve"> — فيه مفتاحُ القاعدة، فلا يُصوَّر.</w:t>
            </w:r>
          </w:p>
        </w:tc>
      </w:tr>
    </w:tbl>
    <w:p>
      <w:pPr>
        <w:bidi/>
        <w:spacing w:before="0" w:after="100"/>
      </w:pPr>
    </w:p>
    <w:p>
      <w:pPr>
        <w:bidi/>
        <w:spacing w:before="120" w:after="0"/>
        <w:jc w:val="center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9"/>
          <w:szCs w:val="19"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1"/>
          <w:szCs w:val="21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سيناريو تسجيل فيديو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