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19"/>
          <w:szCs w:val="19"/>
          <w:bCs/>
          <w:rtl/>
        </w:rPr>
        <w:t>بمجالات استمارة الملاحظة الصفية وترتيبها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٪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١  ·  التخطيط وتجهيز بيئة التعلم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40" w:lineRule="exact"/>
            </w:pPr>
            <w:r/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حل المشكلات والمشاريع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التعليم المتمايز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التفكير الناقد والإبداعي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التقويم من أجل التعلم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التقنية والذكاء الاصطناعي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على السبورة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على الشاشة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من بنك البطاقات التسع عشرة — ومقيَّدةٌ باتجاهك أعلاه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سمعي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بصري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حسّي/محسوسات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فيديو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مختبر افتراضي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Flash cards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مصدر للقراءة والكتابة في الصف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مصدر أو محسوس للحساب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فردية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زوجية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مجموعات تعاونية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7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</w:tr>
    </w:tbl>
    <w:p>
      <w:pPr>
        <w:bidi/>
        <w:spacing w:before="0" w:after="0" w:line="60" w:lineRule="exact"/>
      </w:pPr>
    </w:p>
    <w:p>
      <w:pPr>
        <w:spacing w:before="0" w:after="20"/>
      </w:pPr>
      <w:r>
        <w:rPr>
          <w:rFonts w:ascii="Dubai" w:hAnsi="Dubai" w:cs="Dubai" w:eastAsia="Dubai"/>
          <w:b/>
          <w:color w:val="2F7F95"/>
          <w:sz w:val="15"/>
          <w:szCs w:val="15"/>
          <w:bCs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5"/>
                <w:szCs w:val="15"/>
                <w:bCs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5"/>
                <w:szCs w:val="15"/>
                <w:bCs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٢  ·  العرض وإدارة الحصة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٢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6"/>
                <w:szCs w:val="16"/>
                <w:bCs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نمط العمل وتقويمه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التهيئة</w:t>
            </w:r>
          </w:p>
          <w:p>
            <w:pPr>
              <w:bidi/>
              <w:spacing w:before="0" w:after="20" w:line="216" w:lineRule="exact"/>
              <w:jc w:val="center"/>
            </w:pPr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مدخل الحصة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النشاط الأول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النشاط الثاني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الغلق</w:t>
            </w:r>
          </w:p>
          <w:p>
            <w:pPr>
              <w:bidi/>
              <w:spacing w:before="0" w:after="20" w:line="216" w:lineRule="exact"/>
              <w:jc w:val="center"/>
            </w:pPr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علم بالقلم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٢  ·  تابع: التمايز والتحفيز والربط بالحياة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٢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للفئات الأولى بالرعاية — ما هي، ولمن، ومتى تُسلَّم: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لسريعات التعلم والموهوبات — تنمّي تفكيراً أعلى لا مزيداً من التمارين: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تعزيز لفظي محدد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منافسة/لعبة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احتفاء بالمنجز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توزيع الأدوار بالأسماء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مثال أو تطبيق من حياة الطالبات: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أفعالٌ تُرى وتُسمع: تصوغ · تناقش · تسأل · تعرض — لا «تستمع» ولا «تنتبه»: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من تبدأ، وكيف تُشرَك من لم تشارك، وتوزيعُ الأدوار بالأسماء: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٤  ·  المهارات المستهدفة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نص تقرؤه الطالبات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كيف: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حساب تنفّذه الطالبات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كيف: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ناقد: تحليل · استنتاج · تقويم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إبداعي: طلاقة · مرونة · أصالة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السؤال أو المهمة التي تنمّي التفكير: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٥  ·  التقنية والتعلم الإلكتروني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Kahoot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Nearpod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Socrative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Wordwall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Quizizz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أخرى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الأداة بيد الطالبة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محتوى إلكتروني للدرس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سبورة ذكية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اسم المنصة والمهمة المُسنَدة: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٦  ·  التقويم والتغذية الراجعة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سؤال أو نشاط قبلي يكشف المعرفة السابقة: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بعد كل هدف — الأداة: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الأداة أو المعيار: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اللحظة التي توظّف فيها الطالبة الملاحظة لتحسين عملها: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س١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س٢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س٣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س٤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٧  ·  بناء شخصية الطالبة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وربطها بمحتوى الدرس: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SRKW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التلخيص الشفهي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علم بالقلم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التعبير أمام الزميلات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تمثيل أدوار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تقييم أقران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00" w:lineRule="exact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المجال ٨ (مهارات المعلمة وقدراتها) يُرصد في الزيارة ولا يُحضَّر.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</w:tr>
    </w:tbl>
    <w:p>
      <w:pPr>
        <w:bidi/>
        <w:spacing w:before="0" w:after="0" w:line="20" w:lineRule="exact"/>
      </w:pPr>
      <w:r>
        <w:rPr>
          <w:rFonts w:ascii="Dubai" w:hAnsi="Dubai" w:cs="Dubai" w:eastAsia="Dubai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Dubai Light" w:hAnsi="Dubai Light" w:cs="Dubai Light" w:eastAsia="Dubai Light"/>
        <w:b w:val="0"/>
        <w:color w:val="7F7F7F"/>
        <w:sz w:val="14"/>
        <w:szCs w:val="14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