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◆  </w:t>
      </w:r>
      <w:r>
        <w:rPr>
          <w:rFonts w:ascii="Dubai" w:hAnsi="Dubai" w:cs="Dubai" w:eastAsia="Dubai"/>
          <w:b/>
          <w:color w:val="C00000"/>
          <w:sz w:val="26"/>
          <w:szCs w:val="26"/>
          <w:bCs/>
          <w:rtl/>
        </w:rPr>
        <w:t>دليل استخدام المنصة — فريق متابعة التقويم الداخلي</w:t>
      </w: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  ◆</w:t>
      </w:r>
    </w:p>
    <w:p>
      <w:pPr>
        <w:bidi/>
        <w:spacing w:before="0" w:after="120"/>
        <w:jc w:val="center"/>
      </w:pPr>
      <w:r>
        <w:rPr>
          <w:rFonts w:ascii="Dubai" w:hAnsi="Dubai" w:cs="Dubai" w:eastAsia="Dubai"/>
          <w:b/>
          <w:color w:val="355E91"/>
          <w:sz w:val="19"/>
          <w:szCs w:val="19"/>
          <w:bCs/>
          <w:rtl/>
        </w:rPr>
        <w:t>لمن: اثنان من الإدارة العامة يتابعان ولا يرصدان</w:t>
      </w:r>
    </w:p>
    <w:p>
      <w:pPr>
        <w:bidi/>
        <w:spacing w:before="40" w:after="120"/>
      </w:pP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 xml:space="preserve">دورُكما </w:t>
      </w:r>
      <w:r>
        <w:rPr>
          <w:rFonts w:ascii="Dubai" w:hAnsi="Dubai" w:cs="Dubai" w:eastAsia="Dubai"/>
          <w:b/>
          <w:color w:val="1A1A1A"/>
          <w:sz w:val="20"/>
          <w:szCs w:val="20"/>
          <w:bCs/>
          <w:rtl/>
        </w:rPr>
        <w:t>المتابعةُ لا الرصد</w:t>
      </w: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>: تطّلعان على الحصص التي لا مشرفَ لتخصصها وتتأكدان أن أحداً لم يُنسَ، وتكتبان تعليقَكما — ولا تُفتح لكما استمارة. وهذا مقصودٌ: من تتابع غيرُ من يُقدِّر.</w:t>
      </w:r>
    </w:p>
    <w:tbl>
      <w:tblPr>
        <w:bidiVisual/>
        <w:tblW w:w="5000" w:type="pct"/>
        <w:jc w:val="center"/>
        <w:tblBorders>
          <w:top w:val="single" w:sz="8" w:space="0" w:color="2F7F95"/>
          <w:left w:val="single" w:sz="8" w:space="0" w:color="2F7F95"/>
          <w:bottom w:val="single" w:sz="8" w:space="0" w:color="2F7F95"/>
          <w:right w:val="single" w:sz="8" w:space="0" w:color="2F7F95"/>
          <w:insideH w:val="single" w:sz="2" w:space="0" w:color="2F7F95"/>
          <w:insideV w:val="single" w:sz="2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2F7F95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قبل أن تبدئي — ثلاثٌ تخصّ الجميع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١.  افتحي الرابط — https://ahseyam.github.io/unified-lesson/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٢.  اختاري دورك — بطاقةٌ لكل دور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٣.  اكتبي رقمك الوظيفي — به تُعرف لا باسمك</w:t>
            </w:r>
          </w:p>
        </w:tc>
      </w:tr>
    </w:tbl>
    <w:p>
      <w:pPr>
        <w:bidi/>
        <w:spacing w:before="0" w:after="100"/>
      </w:pP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افتحي الرابط: تعمل على الجوال والحاسب واللوح بلا تنزيلِ تطبيق. واحفظيه في المفضّلة — فهو مرجعُك الوحيد، ولا تعتمد نسخةً مرسَلةً على ون درايف فتقدَم بك.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اختاري دورك: ولكلِّ دورٍ ما يخصُّه فقط: أزرارُه وشاشاتُه وتقاريرُه. فلا ترى ما ليس لك، ولا تضغط زرّاً يضيع به عملُ غيرك.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اكتبي رقمك الوظيفي: الأسماءُ تتشابه وتُكتب بصيغٍ شتّى فيظهر الشخصُ مرّتين في التقارير. فإن وُجد رقمُك في الكشف استُدعي اسمُك وتخصصُك تلقائياً.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خطوةً خطوة — بالصور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كلُّ لقطةٍ مأخوذةٌ من المنصة نفسِها، لا رسماً ولا تخيّلاً</w:t>
      </w:r>
    </w:p>
    <w:p>
      <w:pPr>
        <w:keepNext/>
        <w:bidi/>
        <w:spacing w:before="4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١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ادخلا بدوركما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اختارا بطاقة «فريق متابعة التقويم الداخلي» — وهي آخرُ البطاقات.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ولا يُطلب منكما تخصصٌ ولا مجمع: نطاقُكما المنظومةُ كلُّها.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026308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i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6308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٢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اقرآ الجدول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ترَيان حصصَ المنظومة كلِّها: القطاعين والمجمعاتِ والمدارس.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ولا تُعدَّل خانةٌ — المتابعةُ قراءةٌ لا كتابة.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٣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تابعا ما لا مشرفَ له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تقريرُ «حصصٌ بلا مشرفٍ مختص» هو عملُكما الأول: من يرصدها، وهل رُصدت.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فإن بقيت بلا راصدٍ نبّهتما الوكيلَ أو مديرَ المجمع.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g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٤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اكتبا تعليقكما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في «بعد الحصة» بطاقةُ الاطّلاع والتعليق — تكتبان فيها ما تريان.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ويُحفظ تعليقُكما باسمكما ويراه من يفتح الحصة.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ولا تُفتح لكما الاستمارة — وهذا هو الصواب لا عطلٌ في المنصة.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no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ما يقع فيه الخطأُ عادةً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قبل أن تسأل — أكثرُ ما يتكرّر</w:t>
      </w:r>
    </w:p>
    <w:tbl>
      <w:tblPr>
        <w:bidiVisual/>
        <w:tblW w:w="5000" w:type="pct"/>
        <w:jc w:val="center"/>
        <w:tblBorders>
          <w:top w:val="single" w:sz="12" w:space="0" w:color="355E91"/>
          <w:left w:val="single" w:sz="12" w:space="0" w:color="355E91"/>
          <w:bottom w:val="single" w:sz="12" w:space="0" w:color="355E91"/>
          <w:right w:val="single" w:sz="12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3628"/>
        <w:gridCol w:w="7142"/>
      </w:tblGrid>
      <w:tr>
        <w:trPr>
          <w:tblHeader/>
        </w:trPr>
        <w:tc>
          <w:tcPr>
            <w:tcW w:w="1684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ما يحدث</w:t>
            </w:r>
          </w:p>
        </w:tc>
        <w:tc>
          <w:tcPr>
            <w:tcW w:w="3315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السبب وما تفعلينه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أين الاستمارة؟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لا تُفتح لكما بقرار الاجتماع: الرصدُ للمشرفة المختص، أو للفريق المعاون فيما لا مشرفَ له. وأنتما تتابعان.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أرى حصصَ المنظومة كلِّها — أهذا صواب؟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نعم: نطاقُكما المنظومةُ كلُّها، بخلاف مدير المجمع المقصورِ على مجمعه.</w:t>
            </w:r>
          </w:p>
        </w:tc>
      </w:tr>
    </w:tbl>
    <w:p>
      <w:pPr>
        <w:bidi/>
        <w:spacing w:before="0" w:after="12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أسئلةٌ متكرّرة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هل تُحسب متابعتُنا في متوسط الحصة؟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لا — التعليقُ لا درجةَ له، فلا تدخل أي متوسط.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كيف نعرف ما تأخّر؟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تقريرُ «الإدخالُ الناقص» تقيس الجدولَ على كشف المعلمات فتقول من لم تسجّل بعد.</w:t>
      </w:r>
    </w:p>
    <w:tbl>
      <w:tblPr>
        <w:bidiVisual/>
        <w:tblW w:w="5000" w:type="pct"/>
        <w:jc w:val="center"/>
        <w:tblBorders>
          <w:top w:val="single" w:sz="8" w:space="0" w:color="355E91"/>
          <w:left w:val="single" w:sz="8" w:space="0" w:color="355E91"/>
          <w:bottom w:val="single" w:sz="8" w:space="0" w:color="355E91"/>
          <w:right w:val="single" w:sz="8" w:space="0" w:color="355E91"/>
          <w:insideH w:val="single" w:sz="2" w:space="0" w:color="355E91"/>
          <w:insideV w:val="single" w:sz="2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355E91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بمن تتصل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إن لم يظهر لك ما يخصُّك، أو ظهر لك ما ليس لك — راجعي إدارة التخطيط والاعتماد المدرسي.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وإن لم تُفتح الصفحة أصلاً — تأكّدي من الرابط أعلاه، ومن أنك متصلٌ بالشبكة.</w:t>
            </w:r>
          </w:p>
        </w:tc>
      </w:tr>
    </w:tbl>
    <w:p>
      <w:pPr>
        <w:bidi/>
        <w:spacing w:before="0" w:after="100"/>
      </w:pPr>
    </w:p>
    <w:p>
      <w:pPr>
        <w:bidi/>
        <w:spacing w:before="80" w:after="0"/>
        <w:jc w:val="center"/>
      </w:pPr>
      <w:r>
        <w:rPr>
          <w:rFonts w:ascii="Dubai" w:hAnsi="Dubai" w:cs="Dubai" w:eastAsia="Dubai"/>
          <w:b/>
          <w:color w:val="2F7F95"/>
          <w:sz w:val="19"/>
          <w:szCs w:val="19"/>
          <w:bCs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Dubai" w:hAnsi="Dubai" w:cs="Dubai" w:eastAsia="Dubai"/>
        <w:b/>
        <w:color w:val="FFFFFF"/>
        <w:sz w:val="32"/>
        <w:szCs w:val="32"/>
        <w:bCs/>
        <w:rtl/>
      </w:rPr>
      <w:t>الحصة الموحَّدة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